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6A" w:rsidRDefault="0059736A" w:rsidP="0059736A">
      <w:pPr>
        <w:jc w:val="center"/>
        <w:rPr>
          <w:rStyle w:val="awspanawtext2"/>
          <w:b/>
          <w:bCs/>
          <w:color w:val="000000"/>
        </w:rPr>
      </w:pPr>
      <w:bookmarkStart w:id="0" w:name="_GoBack"/>
      <w:bookmarkEnd w:id="0"/>
      <w:r>
        <w:rPr>
          <w:rStyle w:val="awspanawtext2"/>
          <w:b/>
          <w:bCs/>
          <w:color w:val="000000"/>
        </w:rPr>
        <w:t>Dôvodová správa</w:t>
      </w:r>
    </w:p>
    <w:p w:rsidR="0059736A" w:rsidRDefault="0059736A" w:rsidP="0059736A">
      <w:pPr>
        <w:jc w:val="center"/>
        <w:rPr>
          <w:color w:val="000000"/>
          <w:sz w:val="27"/>
          <w:szCs w:val="27"/>
        </w:rPr>
      </w:pPr>
    </w:p>
    <w:p w:rsidR="0059736A" w:rsidRDefault="0059736A" w:rsidP="0059736A">
      <w:pPr>
        <w:rPr>
          <w:rStyle w:val="awspanawtext2"/>
          <w:b/>
          <w:bCs/>
          <w:color w:val="000000"/>
        </w:rPr>
      </w:pPr>
      <w:r>
        <w:rPr>
          <w:rStyle w:val="awspanawtext2"/>
          <w:b/>
          <w:bCs/>
          <w:color w:val="000000"/>
        </w:rPr>
        <w:t>Všeobecná časť</w:t>
      </w:r>
    </w:p>
    <w:p w:rsidR="0059736A" w:rsidRDefault="0059736A" w:rsidP="0059736A">
      <w:pPr>
        <w:rPr>
          <w:color w:val="000000"/>
          <w:sz w:val="27"/>
          <w:szCs w:val="27"/>
        </w:rPr>
      </w:pPr>
    </w:p>
    <w:p w:rsidR="0059736A" w:rsidRPr="00D34E9C" w:rsidRDefault="0002350F" w:rsidP="0059736A">
      <w:pPr>
        <w:ind w:firstLine="708"/>
        <w:rPr>
          <w:rStyle w:val="awspanawtext3"/>
          <w:color w:val="000000"/>
          <w:spacing w:val="217"/>
        </w:rPr>
      </w:pPr>
      <w:r w:rsidRPr="006933A9">
        <w:rPr>
          <w:rFonts w:cs="Times New Roman"/>
          <w:szCs w:val="24"/>
        </w:rPr>
        <w:t>Ministerstvo financií Slovenskej republiky</w:t>
      </w:r>
      <w:r w:rsidR="0059736A">
        <w:rPr>
          <w:rStyle w:val="awspanawtext3"/>
          <w:color w:val="000000"/>
        </w:rPr>
        <w:t xml:space="preserve"> predkladá návrh zákona, ktorým sa mení a dopĺňa zákon č. 222/2004 Z.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z.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o dani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z pridanej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hodnoty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v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znení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neskorších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predpisov</w:t>
      </w:r>
      <w:r w:rsidR="00116C53">
        <w:rPr>
          <w:rStyle w:val="awspanawtext3"/>
          <w:color w:val="000000"/>
        </w:rPr>
        <w:t xml:space="preserve"> </w:t>
      </w:r>
      <w:r w:rsidR="00116C53" w:rsidRPr="003E0B90">
        <w:rPr>
          <w:rFonts w:cs="Times New Roman"/>
          <w:szCs w:val="24"/>
        </w:rPr>
        <w:t>a ktorým sa mení zákon č. 331/2011 Z. z. v znení neskorších predpisov</w:t>
      </w:r>
      <w:r w:rsidR="0059736A">
        <w:rPr>
          <w:rStyle w:val="awspanawtext3"/>
          <w:color w:val="000000"/>
        </w:rPr>
        <w:t>,</w:t>
      </w:r>
      <w:r w:rsidR="0059736A">
        <w:rPr>
          <w:rStyle w:val="awspanawtext3"/>
          <w:color w:val="000000"/>
          <w:spacing w:val="7"/>
        </w:rPr>
        <w:t xml:space="preserve"> </w:t>
      </w:r>
      <w:r w:rsidR="0059736A">
        <w:rPr>
          <w:rStyle w:val="awspanawtext3"/>
          <w:color w:val="000000"/>
        </w:rPr>
        <w:t>ako iniciatívny materiál.</w:t>
      </w:r>
    </w:p>
    <w:p w:rsidR="0059736A" w:rsidRDefault="0059736A" w:rsidP="0059736A">
      <w:pPr>
        <w:ind w:firstLine="708"/>
        <w:rPr>
          <w:color w:val="000000"/>
          <w:sz w:val="27"/>
          <w:szCs w:val="27"/>
        </w:rPr>
      </w:pPr>
    </w:p>
    <w:p w:rsidR="0059736A" w:rsidRDefault="0059736A" w:rsidP="0059736A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Vláda Slovenskej republiky sa vo svojom programovom vyhlásení na roky 2023 – 2027 zaviazala, s ohľadom na zefektívnenie boja proti daňovým a colným únikom, </w:t>
      </w:r>
      <w:r w:rsidRPr="00CD361A">
        <w:rPr>
          <w:rFonts w:ascii="Times New Roman" w:hAnsi="Times New Roman"/>
          <w:sz w:val="24"/>
          <w:szCs w:val="24"/>
        </w:rPr>
        <w:t>elimin</w:t>
      </w:r>
      <w:r>
        <w:rPr>
          <w:rFonts w:ascii="Times New Roman" w:hAnsi="Times New Roman"/>
          <w:sz w:val="24"/>
          <w:szCs w:val="24"/>
        </w:rPr>
        <w:t xml:space="preserve">ovať legislatívne medzery </w:t>
      </w:r>
      <w:r w:rsidRPr="00C20650">
        <w:rPr>
          <w:rFonts w:ascii="Times New Roman" w:hAnsi="Times New Roman"/>
          <w:sz w:val="24"/>
          <w:szCs w:val="24"/>
        </w:rPr>
        <w:t>umožňujúce agresívne daňové plánovanie a podporujúce škodlivé daňové praktiky</w:t>
      </w:r>
      <w:r>
        <w:rPr>
          <w:rFonts w:ascii="Times New Roman" w:hAnsi="Times New Roman"/>
          <w:sz w:val="24"/>
          <w:szCs w:val="24"/>
        </w:rPr>
        <w:t xml:space="preserve">. Využitím existujúcich a </w:t>
      </w:r>
      <w:r w:rsidRPr="00C20650">
        <w:rPr>
          <w:rFonts w:ascii="Times New Roman" w:hAnsi="Times New Roman"/>
          <w:sz w:val="24"/>
          <w:szCs w:val="24"/>
        </w:rPr>
        <w:t>prijíman</w:t>
      </w:r>
      <w:r>
        <w:rPr>
          <w:rFonts w:ascii="Times New Roman" w:hAnsi="Times New Roman"/>
          <w:sz w:val="24"/>
          <w:szCs w:val="24"/>
        </w:rPr>
        <w:t>ím</w:t>
      </w:r>
      <w:r w:rsidRPr="00C20650">
        <w:rPr>
          <w:rFonts w:ascii="Times New Roman" w:hAnsi="Times New Roman"/>
          <w:sz w:val="24"/>
          <w:szCs w:val="24"/>
        </w:rPr>
        <w:t xml:space="preserve"> nových opatrení </w:t>
      </w:r>
      <w:r>
        <w:rPr>
          <w:rFonts w:ascii="Times New Roman" w:hAnsi="Times New Roman"/>
          <w:sz w:val="24"/>
          <w:szCs w:val="24"/>
        </w:rPr>
        <w:t>sa sleduje</w:t>
      </w:r>
      <w:r w:rsidRPr="00C20650">
        <w:rPr>
          <w:rFonts w:ascii="Times New Roman" w:hAnsi="Times New Roman"/>
          <w:sz w:val="24"/>
          <w:szCs w:val="24"/>
        </w:rPr>
        <w:t xml:space="preserve"> dosiahnu</w:t>
      </w:r>
      <w:r>
        <w:rPr>
          <w:rFonts w:ascii="Times New Roman" w:hAnsi="Times New Roman"/>
          <w:sz w:val="24"/>
          <w:szCs w:val="24"/>
        </w:rPr>
        <w:t>tie</w:t>
      </w:r>
      <w:r w:rsidRPr="00C20650">
        <w:rPr>
          <w:rFonts w:ascii="Times New Roman" w:hAnsi="Times New Roman"/>
          <w:sz w:val="24"/>
          <w:szCs w:val="24"/>
        </w:rPr>
        <w:t xml:space="preserve"> minimalizáci</w:t>
      </w:r>
      <w:r>
        <w:rPr>
          <w:rFonts w:ascii="Times New Roman" w:hAnsi="Times New Roman"/>
          <w:sz w:val="24"/>
          <w:szCs w:val="24"/>
        </w:rPr>
        <w:t>e</w:t>
      </w:r>
      <w:r w:rsidRPr="00C20650">
        <w:rPr>
          <w:rFonts w:ascii="Times New Roman" w:hAnsi="Times New Roman"/>
          <w:sz w:val="24"/>
          <w:szCs w:val="24"/>
        </w:rPr>
        <w:t xml:space="preserve"> počtu a objemu daňových únikov a zníženie daňovej medzery. </w:t>
      </w:r>
      <w:r w:rsidR="004F6448">
        <w:rPr>
          <w:rFonts w:ascii="Times New Roman" w:hAnsi="Times New Roman"/>
          <w:sz w:val="24"/>
          <w:szCs w:val="24"/>
        </w:rPr>
        <w:t>Pre tento účel vláda Slovenskej republiky</w:t>
      </w:r>
      <w:r>
        <w:rPr>
          <w:rFonts w:ascii="Times New Roman" w:hAnsi="Times New Roman"/>
          <w:sz w:val="24"/>
          <w:szCs w:val="24"/>
        </w:rPr>
        <w:t xml:space="preserve"> chce,</w:t>
      </w:r>
      <w:r w:rsidRPr="00C20650">
        <w:rPr>
          <w:rFonts w:ascii="Times New Roman" w:hAnsi="Times New Roman"/>
          <w:sz w:val="24"/>
          <w:szCs w:val="24"/>
        </w:rPr>
        <w:t xml:space="preserve"> okrem využitia represívnych opatrení</w:t>
      </w:r>
      <w:r>
        <w:rPr>
          <w:rFonts w:ascii="Times New Roman" w:hAnsi="Times New Roman"/>
          <w:sz w:val="24"/>
          <w:szCs w:val="24"/>
        </w:rPr>
        <w:t>,</w:t>
      </w:r>
      <w:r w:rsidRPr="00C20650">
        <w:rPr>
          <w:rFonts w:ascii="Times New Roman" w:hAnsi="Times New Roman"/>
          <w:sz w:val="24"/>
          <w:szCs w:val="24"/>
        </w:rPr>
        <w:t xml:space="preserve"> uplatňovať v čo najväčšej miere aj preventívne nástroje.</w:t>
      </w:r>
    </w:p>
    <w:p w:rsidR="008200FC" w:rsidRDefault="008200FC" w:rsidP="0059736A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36A" w:rsidRDefault="008200FC" w:rsidP="0059736A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Primárnym c</w:t>
      </w:r>
      <w:r w:rsidR="0059736A">
        <w:rPr>
          <w:rFonts w:ascii="Times New Roman" w:hAnsi="Times New Roman"/>
          <w:sz w:val="24"/>
          <w:szCs w:val="24"/>
        </w:rPr>
        <w:t xml:space="preserve">ieľom </w:t>
      </w:r>
      <w:r>
        <w:rPr>
          <w:rFonts w:ascii="Times New Roman" w:hAnsi="Times New Roman"/>
          <w:sz w:val="24"/>
          <w:szCs w:val="24"/>
        </w:rPr>
        <w:t>novelizácie</w:t>
      </w:r>
      <w:r w:rsidR="0059736A">
        <w:rPr>
          <w:rFonts w:ascii="Times New Roman" w:hAnsi="Times New Roman"/>
          <w:sz w:val="24"/>
          <w:szCs w:val="24"/>
        </w:rPr>
        <w:t xml:space="preserve"> zákona č. 222/2004 Z. z. o dani z pridanej hodnoty v znení neskorších predpisov (ďalej len „zákon o DPH“), je, v súlade s vyššie uvedeným, realizácia špecifických opatrení v oblasti práva na odpočítanie dane, ako aj jeho opráv a úprav. Sleduje sa prijatie takých pravidiel zodpovedajúcich základným požiadavkám spoločného systému DPH, cieľom ktorých je zabezpečiť presnosť odpočítanej dane z tovarov a služieb a tým aj neutralitu daňového zaťaženia. Zmenami a doplnením zákona o DPH dôjde najmä k rozšíreniu prípadov, na ktoré sa bude vzťahovať povinnosť opravy odpočítanej dane, k </w:t>
      </w:r>
      <w:r w:rsidR="0059736A" w:rsidRPr="00CD361A">
        <w:rPr>
          <w:rFonts w:ascii="Times New Roman" w:hAnsi="Times New Roman"/>
          <w:sz w:val="24"/>
          <w:szCs w:val="24"/>
        </w:rPr>
        <w:t>spresneniu</w:t>
      </w:r>
      <w:r w:rsidR="0059736A">
        <w:rPr>
          <w:rFonts w:ascii="Times New Roman" w:hAnsi="Times New Roman"/>
          <w:sz w:val="24"/>
          <w:szCs w:val="24"/>
        </w:rPr>
        <w:t xml:space="preserve"> legálnej definície pojmu „investičný majetok“ a k úprave pravidiel v oblasti úpravy odpočítanej dane pri investičnom majetku.</w:t>
      </w:r>
    </w:p>
    <w:p w:rsidR="0036259B" w:rsidRDefault="0036259B" w:rsidP="0036259B">
      <w:pPr>
        <w:autoSpaceDE w:val="0"/>
        <w:autoSpaceDN w:val="0"/>
        <w:adjustRightInd w:val="0"/>
        <w:rPr>
          <w:szCs w:val="24"/>
        </w:rPr>
      </w:pPr>
    </w:p>
    <w:p w:rsidR="0059736A" w:rsidRDefault="0036259B" w:rsidP="0059736A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V </w:t>
      </w:r>
      <w:r w:rsidR="0059736A">
        <w:rPr>
          <w:szCs w:val="24"/>
        </w:rPr>
        <w:t xml:space="preserve">oblasti opravy odpočítanej dane podľa § 53 zákona o DPH </w:t>
      </w:r>
      <w:r>
        <w:rPr>
          <w:szCs w:val="24"/>
        </w:rPr>
        <w:t>sa navrhuje zohľadniť aj iné</w:t>
      </w:r>
      <w:r w:rsidR="0059736A">
        <w:rPr>
          <w:szCs w:val="24"/>
        </w:rPr>
        <w:t xml:space="preserve"> prípady, </w:t>
      </w:r>
      <w:r>
        <w:rPr>
          <w:szCs w:val="24"/>
        </w:rPr>
        <w:t xml:space="preserve">ako len situácie, keď </w:t>
      </w:r>
      <w:r w:rsidR="0059736A">
        <w:rPr>
          <w:szCs w:val="24"/>
        </w:rPr>
        <w:t xml:space="preserve">oprave odpočítanej dane predchádza oprava základu dane na strane dodávateľa tovaru alebo služby. V praxi </w:t>
      </w:r>
      <w:r>
        <w:rPr>
          <w:szCs w:val="24"/>
        </w:rPr>
        <w:t>totiž</w:t>
      </w:r>
      <w:r w:rsidR="0059736A">
        <w:rPr>
          <w:szCs w:val="24"/>
        </w:rPr>
        <w:t xml:space="preserve"> môžu nastať aj iné situácie, ktoré by odôvodňovali vykonať opravu odpočítanej dane, a to vo všeobecnosti v prípade, keď nastane zmena vo faktoroch použitých pri určení výšky odpočítanej dane. Tieto situácie však nie sú v súčasnom znení zákona o DPH</w:t>
      </w:r>
      <w:r w:rsidR="0059736A" w:rsidRPr="008233C7">
        <w:rPr>
          <w:szCs w:val="24"/>
        </w:rPr>
        <w:t xml:space="preserve"> </w:t>
      </w:r>
      <w:r w:rsidR="0059736A">
        <w:rPr>
          <w:szCs w:val="24"/>
        </w:rPr>
        <w:t>zohľadnené</w:t>
      </w:r>
      <w:r w:rsidR="0059736A" w:rsidRPr="00D42155">
        <w:rPr>
          <w:i/>
          <w:szCs w:val="24"/>
        </w:rPr>
        <w:t>.</w:t>
      </w:r>
      <w:r w:rsidR="001F4AD4">
        <w:rPr>
          <w:szCs w:val="24"/>
        </w:rPr>
        <w:t xml:space="preserve"> V tejto súvislosti sa navrhuje doplniť § 53 zákona o DPH ďalšími situáciami, kedy je, s ohľadom na realizáciu zásady neutrality, potrebné pristúpiť k vykonaniu opravy odpočítanej dane.</w:t>
      </w:r>
      <w:r>
        <w:rPr>
          <w:szCs w:val="24"/>
        </w:rPr>
        <w:t xml:space="preserve"> Rozšírenie uplatňovania § 53 zákona o DPH sa navrhuje aj vo vzťahu k investičnému majetku.</w:t>
      </w:r>
    </w:p>
    <w:p w:rsidR="0036259B" w:rsidRPr="001F4AD4" w:rsidRDefault="0036259B" w:rsidP="0059736A">
      <w:pPr>
        <w:autoSpaceDE w:val="0"/>
        <w:autoSpaceDN w:val="0"/>
        <w:adjustRightInd w:val="0"/>
        <w:ind w:firstLine="708"/>
        <w:rPr>
          <w:szCs w:val="24"/>
        </w:rPr>
      </w:pPr>
    </w:p>
    <w:p w:rsidR="0036259B" w:rsidRDefault="0059736A" w:rsidP="0059736A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Zákon o DPH v platnom znení obsahuje pre svoje účely legálnu definíciu pojmu „investičný majetok“, ktorá sa uplatňuje naprieč celým týmto zákonom, no predovšetkým v rámci úpravy odpočítanej dane pri investičnom majetku. </w:t>
      </w:r>
      <w:r w:rsidR="0036259B">
        <w:rPr>
          <w:szCs w:val="24"/>
        </w:rPr>
        <w:t xml:space="preserve">Keďže súčasná </w:t>
      </w:r>
      <w:r>
        <w:rPr>
          <w:szCs w:val="24"/>
        </w:rPr>
        <w:t>definícia nie je dostatočná, nakoľko z nej nie je zrejmé, že pod tento pojem sa má zahŕňať výlučne dlhodobý majetok platiteľa</w:t>
      </w:r>
      <w:r w:rsidR="0036259B">
        <w:rPr>
          <w:szCs w:val="24"/>
        </w:rPr>
        <w:t>, navrhuje sa jej spresnenie, aby jednoznačne vylučovala zásoby</w:t>
      </w:r>
      <w:r>
        <w:rPr>
          <w:szCs w:val="24"/>
        </w:rPr>
        <w:t>.</w:t>
      </w:r>
    </w:p>
    <w:p w:rsidR="0059736A" w:rsidRDefault="0059736A" w:rsidP="0059736A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  </w:t>
      </w:r>
    </w:p>
    <w:p w:rsidR="0059736A" w:rsidRDefault="0059736A" w:rsidP="0059736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Aktuálne platný a účinný vzorec, ktorým sa určuje výška buď dodatočne odpočítateľnej dane, alebo dodatočne neodpočítateľnej dane pri investičnom majetku, nereflektuje požiadavky kladené Smernicou </w:t>
      </w:r>
      <w:r w:rsidRPr="00AB5369">
        <w:rPr>
          <w:rFonts w:cs="Times New Roman"/>
          <w:szCs w:val="24"/>
        </w:rPr>
        <w:t>Rady 2006/112/ES z 28. novembra 2006 o spoločnom systéme dane z pridanej hodnoty</w:t>
      </w:r>
      <w:r w:rsidR="00B82FF1">
        <w:rPr>
          <w:rFonts w:cs="Times New Roman"/>
          <w:szCs w:val="24"/>
        </w:rPr>
        <w:t xml:space="preserve"> (Ú. v. EÚ L 347 11.12.2006)</w:t>
      </w:r>
      <w:r>
        <w:rPr>
          <w:rFonts w:cs="Times New Roman"/>
          <w:szCs w:val="24"/>
        </w:rPr>
        <w:t xml:space="preserve"> v platnom znení.</w:t>
      </w:r>
      <w:r w:rsidR="0036259B">
        <w:rPr>
          <w:rFonts w:cs="Times New Roman"/>
          <w:szCs w:val="24"/>
        </w:rPr>
        <w:t xml:space="preserve"> V tejto súvislosti sa zavádza nový spôsob vykonávania úpravy odpočítanej dane pri investičnom majetku, a to tak pri zmene </w:t>
      </w:r>
      <w:r w:rsidR="0036259B">
        <w:rPr>
          <w:rFonts w:cs="Times New Roman"/>
          <w:szCs w:val="24"/>
        </w:rPr>
        <w:lastRenderedPageBreak/>
        <w:t xml:space="preserve">účelu použitia, ako aj pri zmene rozsahu použitia investičného majetku. </w:t>
      </w:r>
      <w:r w:rsidR="00317786">
        <w:rPr>
          <w:rFonts w:cs="Times New Roman"/>
          <w:szCs w:val="24"/>
        </w:rPr>
        <w:t>Pôvodná technika výkonu úpravy odpočítanej dane zostane zachovaná, v súlade so Smernicou Rady 2006/112/ES</w:t>
      </w:r>
      <w:r w:rsidR="00B82FF1">
        <w:rPr>
          <w:rFonts w:cs="Times New Roman"/>
          <w:szCs w:val="24"/>
        </w:rPr>
        <w:t xml:space="preserve"> v platnom znení</w:t>
      </w:r>
      <w:r w:rsidR="00317786">
        <w:rPr>
          <w:rFonts w:cs="Times New Roman"/>
          <w:szCs w:val="24"/>
        </w:rPr>
        <w:t>, len pre situáciu dodania investičného majetku pred uplynutím obdobia na úpravu odpočítanej dane.</w:t>
      </w:r>
    </w:p>
    <w:p w:rsidR="001F4AD4" w:rsidRDefault="001F4AD4" w:rsidP="0059736A">
      <w:pPr>
        <w:ind w:firstLine="708"/>
      </w:pPr>
    </w:p>
    <w:p w:rsidR="008200FC" w:rsidRDefault="0036259B" w:rsidP="0059736A">
      <w:pPr>
        <w:ind w:firstLine="708"/>
        <w:rPr>
          <w:color w:val="000000"/>
          <w:sz w:val="27"/>
          <w:szCs w:val="27"/>
        </w:rPr>
      </w:pPr>
      <w:r>
        <w:t>Zároveň z dôvodu požiadaviek vyplývajúcich z aplikačnej praxe dôjde k úprave niektorých ustanovení zákona o DPH.</w:t>
      </w:r>
    </w:p>
    <w:p w:rsidR="0059736A" w:rsidRPr="00541AB4" w:rsidRDefault="0059736A" w:rsidP="0059736A">
      <w:pPr>
        <w:rPr>
          <w:highlight w:val="yellow"/>
        </w:rPr>
      </w:pPr>
    </w:p>
    <w:p w:rsidR="0059736A" w:rsidRPr="00E206D4" w:rsidRDefault="0059736A" w:rsidP="0059736A">
      <w:pPr>
        <w:rPr>
          <w:color w:val="000000"/>
        </w:rPr>
      </w:pPr>
      <w:r w:rsidRPr="00541AB4">
        <w:tab/>
      </w:r>
      <w:r w:rsidRPr="00D24675">
        <w:rPr>
          <w:color w:val="000000"/>
        </w:rPr>
        <w:t xml:space="preserve">Návrh zákona </w:t>
      </w:r>
      <w:r w:rsidRPr="00FF0331">
        <w:rPr>
          <w:color w:val="000000"/>
        </w:rPr>
        <w:t>má pozitívny aj negatívny vplyv na podnikateľské prostredie</w:t>
      </w:r>
      <w:r w:rsidR="00F508EE">
        <w:rPr>
          <w:color w:val="000000"/>
        </w:rPr>
        <w:t>, pozitívny vplyv na informatizáciu spoločnosti</w:t>
      </w:r>
      <w:r w:rsidRPr="00FF0331">
        <w:rPr>
          <w:color w:val="000000"/>
        </w:rPr>
        <w:t>,</w:t>
      </w:r>
      <w:r w:rsidR="00D35E7A" w:rsidRPr="00FF0331">
        <w:rPr>
          <w:color w:val="000000"/>
        </w:rPr>
        <w:t xml:space="preserve"> </w:t>
      </w:r>
      <w:r w:rsidRPr="00E206D4">
        <w:rPr>
          <w:color w:val="000000"/>
        </w:rPr>
        <w:t xml:space="preserve">a nebude mať </w:t>
      </w:r>
      <w:r w:rsidR="00D35E7A">
        <w:rPr>
          <w:color w:val="000000"/>
        </w:rPr>
        <w:t xml:space="preserve">vplyv na </w:t>
      </w:r>
      <w:r w:rsidR="001E3FF9">
        <w:rPr>
          <w:color w:val="000000"/>
        </w:rPr>
        <w:t xml:space="preserve">rozpočet verejnej správy, </w:t>
      </w:r>
      <w:r w:rsidRPr="00E206D4">
        <w:rPr>
          <w:color w:val="000000"/>
        </w:rPr>
        <w:t xml:space="preserve">sociálne vplyvy, vplyvy na životné prostredie, vplyvy na služby verejnej správy pre občana ani vplyvy na manželstvo, rodičovstvo a rodinu. </w:t>
      </w:r>
    </w:p>
    <w:p w:rsidR="0059736A" w:rsidRDefault="0059736A" w:rsidP="0059736A">
      <w:pPr>
        <w:rPr>
          <w:i/>
          <w:color w:val="000000"/>
        </w:rPr>
      </w:pPr>
    </w:p>
    <w:p w:rsidR="0059736A" w:rsidRPr="00BA5E86" w:rsidRDefault="0059736A" w:rsidP="0059736A">
      <w:pPr>
        <w:ind w:firstLine="708"/>
        <w:rPr>
          <w:color w:val="000000"/>
        </w:rPr>
      </w:pPr>
      <w:r>
        <w:rPr>
          <w:rStyle w:val="awspanawtext3"/>
          <w:color w:val="000000"/>
        </w:rPr>
        <w:t>Predkladaný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návrh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zákona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je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v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súlade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s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Ústavou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Slovenskej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republiky,</w:t>
      </w:r>
      <w:r>
        <w:rPr>
          <w:rStyle w:val="awspanawtext3"/>
          <w:color w:val="000000"/>
          <w:spacing w:val="51"/>
        </w:rPr>
        <w:t xml:space="preserve"> </w:t>
      </w:r>
      <w:r>
        <w:rPr>
          <w:rStyle w:val="awspanawtext3"/>
          <w:color w:val="000000"/>
        </w:rPr>
        <w:t>ústavnými zákonmi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a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inými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právnymi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predpismi,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nálezmi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Ústavného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súdu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Slovenskej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republiky, medzinárodnými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zmluvami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a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dokumentmi,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ktorými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je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Slovenská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republika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viazaná,</w:t>
      </w:r>
      <w:r>
        <w:rPr>
          <w:rStyle w:val="awspanawtext3"/>
          <w:color w:val="000000"/>
          <w:spacing w:val="67"/>
        </w:rPr>
        <w:t xml:space="preserve"> </w:t>
      </w:r>
      <w:r>
        <w:rPr>
          <w:rStyle w:val="awspanawtext3"/>
          <w:color w:val="000000"/>
        </w:rPr>
        <w:t>ako aj v súlade s právom Európskej únie.</w:t>
      </w:r>
    </w:p>
    <w:p w:rsidR="0059736A" w:rsidRPr="00541AB4" w:rsidRDefault="0059736A" w:rsidP="0059736A">
      <w:pPr>
        <w:ind w:firstLine="708"/>
        <w:rPr>
          <w:color w:val="000000"/>
        </w:rPr>
      </w:pPr>
    </w:p>
    <w:p w:rsidR="0059736A" w:rsidRDefault="0059736A" w:rsidP="0059736A">
      <w:pPr>
        <w:rPr>
          <w:rStyle w:val="awspanawtext3"/>
          <w:color w:val="000000"/>
        </w:rPr>
      </w:pPr>
      <w:r w:rsidRPr="00541AB4">
        <w:tab/>
      </w:r>
    </w:p>
    <w:p w:rsidR="00136EAD" w:rsidRPr="0059736A" w:rsidRDefault="00136EAD" w:rsidP="0059736A"/>
    <w:sectPr w:rsidR="00136EAD" w:rsidRPr="0059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A1"/>
    <w:rsid w:val="0002350F"/>
    <w:rsid w:val="00116C53"/>
    <w:rsid w:val="00136EAD"/>
    <w:rsid w:val="001548E0"/>
    <w:rsid w:val="001E3FF9"/>
    <w:rsid w:val="001F4AD4"/>
    <w:rsid w:val="00317786"/>
    <w:rsid w:val="0036259B"/>
    <w:rsid w:val="004F6448"/>
    <w:rsid w:val="0059736A"/>
    <w:rsid w:val="007961A1"/>
    <w:rsid w:val="007A1FE1"/>
    <w:rsid w:val="008200FC"/>
    <w:rsid w:val="009F7847"/>
    <w:rsid w:val="00B545D6"/>
    <w:rsid w:val="00B82FF1"/>
    <w:rsid w:val="00D35E7A"/>
    <w:rsid w:val="00F508EE"/>
    <w:rsid w:val="00FA1928"/>
    <w:rsid w:val="00FA2A1A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86B7F-A3C8-4189-944A-6D340C6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5D6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awtext2">
    <w:name w:val="awspan awtext2"/>
    <w:basedOn w:val="Predvolenpsmoodseku"/>
    <w:rsid w:val="00B545D6"/>
  </w:style>
  <w:style w:type="character" w:customStyle="1" w:styleId="awspanawtext3">
    <w:name w:val="awspan awtext3"/>
    <w:basedOn w:val="Predvolenpsmoodseku"/>
    <w:rsid w:val="00B545D6"/>
  </w:style>
  <w:style w:type="paragraph" w:styleId="Bezriadkovania">
    <w:name w:val="No Spacing"/>
    <w:uiPriority w:val="1"/>
    <w:qFormat/>
    <w:rsid w:val="0059736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3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Filip</dc:creator>
  <cp:keywords/>
  <dc:description/>
  <cp:lastModifiedBy>Dancak Jan</cp:lastModifiedBy>
  <cp:revision>17</cp:revision>
  <cp:lastPrinted>2024-06-19T10:30:00Z</cp:lastPrinted>
  <dcterms:created xsi:type="dcterms:W3CDTF">2024-05-21T08:46:00Z</dcterms:created>
  <dcterms:modified xsi:type="dcterms:W3CDTF">2024-09-25T08:58:00Z</dcterms:modified>
</cp:coreProperties>
</file>