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9A3CA" w14:textId="77777777" w:rsidR="00ED6F91" w:rsidRPr="00181470" w:rsidRDefault="00ED6F91" w:rsidP="00B648DC">
      <w:pPr>
        <w:pStyle w:val="Nzov"/>
      </w:pPr>
      <w:r w:rsidRPr="00181470">
        <w:t>DOLOŽKA ZLUČITEĽNOSTI</w:t>
      </w:r>
    </w:p>
    <w:p w14:paraId="36ED261E" w14:textId="77777777" w:rsidR="00EB633F" w:rsidRPr="00181470" w:rsidRDefault="00EB633F" w:rsidP="00B648DC">
      <w:pPr>
        <w:pStyle w:val="Zkladntext0"/>
        <w:pBdr>
          <w:bottom w:val="single" w:sz="12" w:space="1" w:color="auto"/>
        </w:pBdr>
        <w:jc w:val="center"/>
        <w:rPr>
          <w:b/>
          <w:bCs/>
          <w:szCs w:val="24"/>
        </w:rPr>
      </w:pPr>
    </w:p>
    <w:p w14:paraId="42DC2D68" w14:textId="754F2969" w:rsidR="00ED6F91" w:rsidRPr="00181470" w:rsidRDefault="00B550E2" w:rsidP="00B648DC">
      <w:pPr>
        <w:pStyle w:val="Zkladntext0"/>
        <w:pBdr>
          <w:bottom w:val="single" w:sz="12" w:space="1" w:color="auto"/>
        </w:pBdr>
        <w:jc w:val="center"/>
        <w:rPr>
          <w:b/>
          <w:bCs/>
          <w:szCs w:val="24"/>
        </w:rPr>
      </w:pPr>
      <w:r w:rsidRPr="00181470">
        <w:rPr>
          <w:b/>
          <w:bCs/>
          <w:szCs w:val="24"/>
        </w:rPr>
        <w:t xml:space="preserve">návrhu </w:t>
      </w:r>
      <w:r w:rsidR="00815440">
        <w:rPr>
          <w:b/>
          <w:szCs w:val="24"/>
        </w:rPr>
        <w:t xml:space="preserve">zákona </w:t>
      </w:r>
      <w:r w:rsidR="001664F5" w:rsidRPr="00181470">
        <w:rPr>
          <w:b/>
          <w:bCs/>
          <w:szCs w:val="24"/>
        </w:rPr>
        <w:t>s</w:t>
      </w:r>
      <w:r w:rsidR="00ED6F91" w:rsidRPr="00181470">
        <w:rPr>
          <w:b/>
          <w:bCs/>
          <w:szCs w:val="24"/>
        </w:rPr>
        <w:t> právom Európskej únie</w:t>
      </w:r>
    </w:p>
    <w:p w14:paraId="13C6C6D3" w14:textId="77777777" w:rsidR="00EB633F" w:rsidRPr="00181470" w:rsidRDefault="00EB633F" w:rsidP="00B648DC">
      <w:pPr>
        <w:pStyle w:val="Zkladntext0"/>
        <w:pBdr>
          <w:bottom w:val="single" w:sz="12" w:space="1" w:color="auto"/>
        </w:pBdr>
        <w:jc w:val="center"/>
        <w:rPr>
          <w:b/>
          <w:bCs/>
          <w:szCs w:val="24"/>
        </w:rPr>
      </w:pPr>
    </w:p>
    <w:p w14:paraId="4BC65089" w14:textId="77777777" w:rsidR="007A4ABF" w:rsidRPr="00181470" w:rsidRDefault="007A4ABF" w:rsidP="00B648DC">
      <w:pPr>
        <w:pStyle w:val="Zkladntext0"/>
        <w:jc w:val="both"/>
        <w:rPr>
          <w:szCs w:val="24"/>
        </w:rPr>
      </w:pPr>
    </w:p>
    <w:p w14:paraId="120C8757" w14:textId="77777777" w:rsidR="00ED6F91" w:rsidRPr="00181470" w:rsidRDefault="00ED6F91" w:rsidP="00B648DC">
      <w:pPr>
        <w:jc w:val="center"/>
        <w:rPr>
          <w:rFonts w:ascii="Times New Roman" w:hAnsi="Times New Roman" w:cs="Times New Roman"/>
          <w:b/>
          <w:bCs/>
        </w:rPr>
      </w:pPr>
    </w:p>
    <w:p w14:paraId="05B0D9D8" w14:textId="77777777" w:rsidR="00ED6F91" w:rsidRPr="00181470" w:rsidRDefault="00AB1CCC" w:rsidP="00B648DC">
      <w:pPr>
        <w:numPr>
          <w:ilvl w:val="0"/>
          <w:numId w:val="1"/>
        </w:numPr>
        <w:jc w:val="both"/>
        <w:rPr>
          <w:rFonts w:ascii="Times New Roman" w:hAnsi="Times New Roman" w:cs="Times New Roman"/>
        </w:rPr>
      </w:pPr>
      <w:r w:rsidRPr="00181470">
        <w:rPr>
          <w:rFonts w:ascii="Times New Roman" w:hAnsi="Times New Roman" w:cs="Times New Roman"/>
          <w:b/>
          <w:bCs/>
        </w:rPr>
        <w:t>Navrhovateľ</w:t>
      </w:r>
      <w:r w:rsidR="00F7772C" w:rsidRPr="00181470">
        <w:rPr>
          <w:rFonts w:ascii="Times New Roman" w:hAnsi="Times New Roman" w:cs="Times New Roman"/>
          <w:b/>
          <w:bCs/>
        </w:rPr>
        <w:t xml:space="preserve"> </w:t>
      </w:r>
      <w:r w:rsidR="00ED6F91" w:rsidRPr="00181470">
        <w:rPr>
          <w:rFonts w:ascii="Times New Roman" w:hAnsi="Times New Roman" w:cs="Times New Roman"/>
          <w:b/>
          <w:bCs/>
        </w:rPr>
        <w:t>zákona:</w:t>
      </w:r>
    </w:p>
    <w:p w14:paraId="6CA1E0A6" w14:textId="0954F1EF" w:rsidR="00B648DC" w:rsidRDefault="00D64D69" w:rsidP="00B648DC">
      <w:pPr>
        <w:ind w:firstLine="425"/>
        <w:jc w:val="both"/>
        <w:rPr>
          <w:rFonts w:ascii="Times New Roman" w:hAnsi="Times New Roman" w:cs="Times New Roman"/>
        </w:rPr>
      </w:pPr>
      <w:r w:rsidRPr="00F94322">
        <w:rPr>
          <w:rFonts w:ascii="Times New Roman" w:hAnsi="Times New Roman" w:cs="Times New Roman"/>
        </w:rPr>
        <w:t>Vláda</w:t>
      </w:r>
      <w:r w:rsidR="009643F5">
        <w:rPr>
          <w:rFonts w:ascii="Times New Roman" w:hAnsi="Times New Roman" w:cs="Times New Roman"/>
        </w:rPr>
        <w:t xml:space="preserve"> Slovenskej republiky</w:t>
      </w:r>
      <w:r w:rsidR="00ED6F91" w:rsidRPr="00181470">
        <w:rPr>
          <w:rFonts w:ascii="Times New Roman" w:hAnsi="Times New Roman" w:cs="Times New Roman"/>
        </w:rPr>
        <w:t xml:space="preserve">. </w:t>
      </w:r>
    </w:p>
    <w:p w14:paraId="19342E74" w14:textId="77777777" w:rsidR="00B648DC" w:rsidRPr="00B648DC" w:rsidRDefault="00B648DC" w:rsidP="00B648DC">
      <w:pPr>
        <w:ind w:firstLine="425"/>
        <w:jc w:val="both"/>
        <w:rPr>
          <w:rFonts w:ascii="Times New Roman" w:hAnsi="Times New Roman" w:cs="Times New Roman"/>
        </w:rPr>
      </w:pPr>
    </w:p>
    <w:p w14:paraId="01E6CC38" w14:textId="77777777" w:rsidR="00ED6F91" w:rsidRPr="00181470" w:rsidRDefault="00ED6F91" w:rsidP="00B648DC">
      <w:pPr>
        <w:numPr>
          <w:ilvl w:val="0"/>
          <w:numId w:val="1"/>
        </w:numPr>
        <w:jc w:val="both"/>
        <w:rPr>
          <w:rFonts w:ascii="Times New Roman" w:hAnsi="Times New Roman" w:cs="Times New Roman"/>
          <w:b/>
          <w:bCs/>
        </w:rPr>
      </w:pPr>
      <w:r w:rsidRPr="00181470">
        <w:rPr>
          <w:rFonts w:ascii="Times New Roman" w:hAnsi="Times New Roman" w:cs="Times New Roman"/>
          <w:b/>
          <w:bCs/>
        </w:rPr>
        <w:t>Názov návrhu zákona:</w:t>
      </w:r>
    </w:p>
    <w:p w14:paraId="0E353D0A" w14:textId="456BB08C" w:rsidR="00ED6F91" w:rsidRPr="00181470" w:rsidRDefault="00B550E2" w:rsidP="00B648DC">
      <w:pPr>
        <w:pStyle w:val="Zkladntext0"/>
        <w:ind w:left="426"/>
        <w:jc w:val="both"/>
        <w:rPr>
          <w:szCs w:val="24"/>
        </w:rPr>
      </w:pPr>
      <w:r w:rsidRPr="00181470">
        <w:rPr>
          <w:szCs w:val="24"/>
        </w:rPr>
        <w:t>Návrh zákona, ktorým sa mení a dopĺňa zákon č. 222/2004 Z. z. o dani z pridanej hodno</w:t>
      </w:r>
      <w:r w:rsidR="009E1AF9" w:rsidRPr="00181470">
        <w:rPr>
          <w:szCs w:val="24"/>
        </w:rPr>
        <w:t>ty v znení neskorších predpisov</w:t>
      </w:r>
      <w:r w:rsidR="00864CB2" w:rsidRPr="00864CB2">
        <w:rPr>
          <w:rFonts w:eastAsiaTheme="minorHAnsi"/>
          <w:b/>
          <w:bCs/>
          <w:color w:val="auto"/>
          <w:sz w:val="20"/>
          <w:lang w:eastAsia="en-US"/>
        </w:rPr>
        <w:t xml:space="preserve"> </w:t>
      </w:r>
      <w:r w:rsidR="00864CB2" w:rsidRPr="00864CB2">
        <w:rPr>
          <w:szCs w:val="24"/>
        </w:rPr>
        <w:t>a ktorým sa mení zákon č. 331/2011 Z. z. v znení neskorších predpisov</w:t>
      </w:r>
      <w:r w:rsidR="00ED6F91" w:rsidRPr="00181470">
        <w:rPr>
          <w:szCs w:val="24"/>
        </w:rPr>
        <w:t>.</w:t>
      </w:r>
    </w:p>
    <w:p w14:paraId="2B73610F" w14:textId="77777777" w:rsidR="00ED6F91" w:rsidRPr="00181470" w:rsidRDefault="00ED6F91" w:rsidP="00B648DC">
      <w:pPr>
        <w:jc w:val="both"/>
        <w:rPr>
          <w:rFonts w:ascii="Times New Roman" w:hAnsi="Times New Roman" w:cs="Times New Roman"/>
          <w:bCs/>
        </w:rPr>
      </w:pPr>
    </w:p>
    <w:p w14:paraId="045F3E51" w14:textId="77777777" w:rsidR="009F1C17" w:rsidRPr="001C19A1" w:rsidRDefault="00ED6F91" w:rsidP="00B648DC">
      <w:pPr>
        <w:numPr>
          <w:ilvl w:val="0"/>
          <w:numId w:val="1"/>
        </w:numPr>
        <w:jc w:val="both"/>
        <w:rPr>
          <w:rFonts w:ascii="Times New Roman" w:hAnsi="Times New Roman" w:cs="Times New Roman"/>
          <w:b/>
          <w:bCs/>
        </w:rPr>
      </w:pPr>
      <w:r w:rsidRPr="00181470">
        <w:rPr>
          <w:rFonts w:ascii="Times New Roman" w:hAnsi="Times New Roman" w:cs="Times New Roman"/>
          <w:b/>
          <w:bCs/>
        </w:rPr>
        <w:t>Pr</w:t>
      </w:r>
      <w:r w:rsidR="00B32AF9" w:rsidRPr="00181470">
        <w:rPr>
          <w:rFonts w:ascii="Times New Roman" w:hAnsi="Times New Roman" w:cs="Times New Roman"/>
          <w:b/>
          <w:bCs/>
        </w:rPr>
        <w:t xml:space="preserve">edmet návrhu zákona </w:t>
      </w:r>
      <w:r w:rsidR="006B206F" w:rsidRPr="00181470">
        <w:rPr>
          <w:rFonts w:ascii="Times New Roman" w:hAnsi="Times New Roman" w:cs="Times New Roman"/>
          <w:b/>
        </w:rPr>
        <w:t xml:space="preserve">je </w:t>
      </w:r>
      <w:r w:rsidR="009F1C17" w:rsidRPr="00181470">
        <w:rPr>
          <w:rFonts w:ascii="Times New Roman" w:hAnsi="Times New Roman" w:cs="Times New Roman"/>
          <w:b/>
        </w:rPr>
        <w:t>upraven</w:t>
      </w:r>
      <w:r w:rsidR="00B32AF9" w:rsidRPr="00181470">
        <w:rPr>
          <w:rFonts w:ascii="Times New Roman" w:hAnsi="Times New Roman" w:cs="Times New Roman"/>
          <w:b/>
        </w:rPr>
        <w:t>ý</w:t>
      </w:r>
      <w:r w:rsidR="009F1C17" w:rsidRPr="00181470">
        <w:rPr>
          <w:rFonts w:ascii="Times New Roman" w:hAnsi="Times New Roman" w:cs="Times New Roman"/>
          <w:b/>
        </w:rPr>
        <w:t xml:space="preserve"> v práve Európskej únie:</w:t>
      </w:r>
    </w:p>
    <w:p w14:paraId="54E64FF0" w14:textId="77777777" w:rsidR="001C19A1" w:rsidRPr="00181470" w:rsidRDefault="001C19A1" w:rsidP="001C19A1">
      <w:pPr>
        <w:ind w:left="425"/>
        <w:jc w:val="both"/>
        <w:rPr>
          <w:rFonts w:ascii="Times New Roman" w:hAnsi="Times New Roman" w:cs="Times New Roman"/>
          <w:b/>
          <w:bCs/>
        </w:rPr>
      </w:pPr>
    </w:p>
    <w:p w14:paraId="229591F7" w14:textId="77777777" w:rsidR="00ED6F91" w:rsidRDefault="005D34AF" w:rsidP="00B648DC">
      <w:pPr>
        <w:pStyle w:val="Zkladntext"/>
        <w:numPr>
          <w:ilvl w:val="1"/>
          <w:numId w:val="1"/>
        </w:numPr>
        <w:tabs>
          <w:tab w:val="left" w:pos="709"/>
          <w:tab w:val="left" w:pos="851"/>
        </w:tabs>
        <w:spacing w:after="0"/>
        <w:rPr>
          <w:b/>
          <w:bCs/>
          <w:iCs/>
        </w:rPr>
      </w:pPr>
      <w:r w:rsidRPr="00181470">
        <w:rPr>
          <w:b/>
          <w:bCs/>
          <w:iCs/>
        </w:rPr>
        <w:t>P</w:t>
      </w:r>
      <w:r w:rsidR="00ED6F91" w:rsidRPr="00181470">
        <w:rPr>
          <w:b/>
          <w:bCs/>
          <w:iCs/>
        </w:rPr>
        <w:t>rimárn</w:t>
      </w:r>
      <w:r w:rsidRPr="00181470">
        <w:rPr>
          <w:b/>
          <w:bCs/>
          <w:iCs/>
        </w:rPr>
        <w:t>e</w:t>
      </w:r>
      <w:r w:rsidR="00ED6F91" w:rsidRPr="00181470">
        <w:rPr>
          <w:b/>
          <w:bCs/>
          <w:iCs/>
        </w:rPr>
        <w:t xml:space="preserve"> práv</w:t>
      </w:r>
      <w:r w:rsidRPr="00181470">
        <w:rPr>
          <w:b/>
          <w:bCs/>
          <w:iCs/>
        </w:rPr>
        <w:t>o</w:t>
      </w:r>
      <w:r w:rsidR="00ED6F91" w:rsidRPr="00181470">
        <w:rPr>
          <w:b/>
          <w:bCs/>
          <w:iCs/>
        </w:rPr>
        <w:t xml:space="preserve">: </w:t>
      </w:r>
    </w:p>
    <w:p w14:paraId="5F0D7A29" w14:textId="77777777" w:rsidR="002D26AA" w:rsidRPr="00181470" w:rsidRDefault="002D26AA" w:rsidP="002D26AA">
      <w:pPr>
        <w:pStyle w:val="Zkladntext"/>
        <w:tabs>
          <w:tab w:val="left" w:pos="709"/>
          <w:tab w:val="left" w:pos="851"/>
        </w:tabs>
        <w:spacing w:after="0"/>
        <w:ind w:left="850"/>
        <w:rPr>
          <w:b/>
          <w:bCs/>
          <w:iCs/>
        </w:rPr>
      </w:pPr>
    </w:p>
    <w:p w14:paraId="23145109" w14:textId="6C55F64D" w:rsidR="00F45BD2" w:rsidRPr="00EF09FE" w:rsidRDefault="00293A0E" w:rsidP="00DC6F58">
      <w:pPr>
        <w:pStyle w:val="Zkladntext"/>
        <w:numPr>
          <w:ilvl w:val="0"/>
          <w:numId w:val="3"/>
        </w:numPr>
        <w:tabs>
          <w:tab w:val="clear" w:pos="900"/>
          <w:tab w:val="num" w:pos="851"/>
        </w:tabs>
        <w:spacing w:after="0"/>
        <w:ind w:left="896" w:hanging="329"/>
        <w:jc w:val="both"/>
      </w:pPr>
      <w:r w:rsidRPr="00181470">
        <w:t xml:space="preserve">čl. </w:t>
      </w:r>
      <w:r w:rsidR="009F1C17" w:rsidRPr="00181470">
        <w:t>11</w:t>
      </w:r>
      <w:r w:rsidRPr="00181470">
        <w:t xml:space="preserve">0 až </w:t>
      </w:r>
      <w:r w:rsidR="009F1C17" w:rsidRPr="00181470">
        <w:t>11</w:t>
      </w:r>
      <w:r w:rsidRPr="00181470">
        <w:t>3</w:t>
      </w:r>
      <w:r w:rsidR="005D3AB9" w:rsidRPr="00181470">
        <w:t>, čl. 349 a 355 ods. 1</w:t>
      </w:r>
      <w:r w:rsidRPr="00181470">
        <w:t xml:space="preserve"> </w:t>
      </w:r>
      <w:r w:rsidR="00ED6F91" w:rsidRPr="00181470">
        <w:t>Zmluv</w:t>
      </w:r>
      <w:r w:rsidRPr="00181470">
        <w:t>y</w:t>
      </w:r>
      <w:r w:rsidR="00ED6F91" w:rsidRPr="00181470">
        <w:t xml:space="preserve"> o </w:t>
      </w:r>
      <w:r w:rsidR="009F1C17" w:rsidRPr="00181470">
        <w:t>fungova</w:t>
      </w:r>
      <w:r w:rsidR="00ED6F91" w:rsidRPr="00181470">
        <w:t>ní Európske</w:t>
      </w:r>
      <w:r w:rsidR="009F1C17" w:rsidRPr="00181470">
        <w:t>j</w:t>
      </w:r>
      <w:r w:rsidR="00ED6F91" w:rsidRPr="00181470">
        <w:t xml:space="preserve"> </w:t>
      </w:r>
      <w:r w:rsidR="00A07632" w:rsidRPr="00181470">
        <w:t>únie</w:t>
      </w:r>
      <w:r w:rsidR="003C5EB0">
        <w:t xml:space="preserve"> (Ú. v. EÚ C 202, 7.6.2016</w:t>
      </w:r>
      <w:r w:rsidR="003C5EB0" w:rsidRPr="00EF09FE">
        <w:t>)</w:t>
      </w:r>
      <w:r w:rsidR="00E5013C" w:rsidRPr="00EF09FE">
        <w:t>,</w:t>
      </w:r>
    </w:p>
    <w:p w14:paraId="5D758D73" w14:textId="38D6E780" w:rsidR="003C5EB0" w:rsidRPr="00EF09FE" w:rsidRDefault="003C5EB0" w:rsidP="00B648DC">
      <w:pPr>
        <w:pStyle w:val="Zkladntext"/>
        <w:numPr>
          <w:ilvl w:val="0"/>
          <w:numId w:val="3"/>
        </w:numPr>
        <w:tabs>
          <w:tab w:val="clear" w:pos="900"/>
          <w:tab w:val="num" w:pos="851"/>
        </w:tabs>
        <w:spacing w:after="0"/>
        <w:ind w:left="896" w:hanging="329"/>
      </w:pPr>
      <w:r w:rsidRPr="00EF09FE">
        <w:t>čl. 52 Zmluvy o Európskej únii (Ú. v. EÚ C 202, 7.6.2016)</w:t>
      </w:r>
      <w:bookmarkStart w:id="0" w:name="_GoBack"/>
      <w:bookmarkEnd w:id="0"/>
      <w:r w:rsidR="00E5013C" w:rsidRPr="00EF09FE">
        <w:t>.</w:t>
      </w:r>
    </w:p>
    <w:p w14:paraId="01C0640D" w14:textId="77777777" w:rsidR="002D26AA" w:rsidRPr="00181470" w:rsidRDefault="002D26AA" w:rsidP="002D26AA">
      <w:pPr>
        <w:pStyle w:val="Zkladntext"/>
        <w:spacing w:after="0"/>
        <w:ind w:left="896"/>
      </w:pPr>
    </w:p>
    <w:p w14:paraId="4CCAF015" w14:textId="77777777" w:rsidR="003A7AE4" w:rsidRPr="005E68BC" w:rsidRDefault="003A7AE4" w:rsidP="002D26AA">
      <w:pPr>
        <w:pStyle w:val="Zarkazkladnhotextu"/>
        <w:numPr>
          <w:ilvl w:val="1"/>
          <w:numId w:val="1"/>
        </w:numPr>
      </w:pPr>
      <w:r w:rsidRPr="005E68BC">
        <w:rPr>
          <w:b/>
          <w:bCs/>
          <w:iCs/>
        </w:rPr>
        <w:t>Sekundárne právo</w:t>
      </w:r>
      <w:r w:rsidR="003E3DB6" w:rsidRPr="005E68BC">
        <w:rPr>
          <w:b/>
          <w:bCs/>
          <w:iCs/>
        </w:rPr>
        <w:t>:</w:t>
      </w:r>
    </w:p>
    <w:p w14:paraId="206939AA" w14:textId="77777777" w:rsidR="00925F9D" w:rsidRPr="005E68BC" w:rsidRDefault="00925F9D" w:rsidP="00B648DC">
      <w:pPr>
        <w:pStyle w:val="Zarkazkladnhotextu"/>
        <w:ind w:left="850" w:firstLine="0"/>
      </w:pPr>
    </w:p>
    <w:p w14:paraId="2FC34A11" w14:textId="7218D9AB" w:rsidR="004C74C4" w:rsidRPr="00EF09FE" w:rsidRDefault="004C74C4" w:rsidP="004771E9">
      <w:pPr>
        <w:pStyle w:val="Odsekzoznamu"/>
        <w:numPr>
          <w:ilvl w:val="0"/>
          <w:numId w:val="3"/>
        </w:numPr>
        <w:shd w:val="clear" w:color="auto" w:fill="FFFFFF"/>
        <w:spacing w:after="60"/>
        <w:ind w:right="-113"/>
        <w:jc w:val="both"/>
        <w:rPr>
          <w:rStyle w:val="Zvraznenie"/>
          <w:i w:val="0"/>
          <w:iCs w:val="0"/>
        </w:rPr>
      </w:pPr>
      <w:r w:rsidRPr="00EF09FE">
        <w:t xml:space="preserve">trinásta smernica Rady zo 17. novembra 1986 o harmonizácii zákonov členských štátov týkajúcich sa daní z obratu - postup vrátenia dane z pridanej hodnoty osobám podliehajúcim zdaneniu, ktoré nesídlia na území spoločenstva </w:t>
      </w:r>
      <w:r w:rsidR="004771E9" w:rsidRPr="00EF09FE">
        <w:t xml:space="preserve">(86/560/EHS) </w:t>
      </w:r>
      <w:r w:rsidRPr="00EF09FE">
        <w:t>(Ú. v. ES L 326, 21.11.1986</w:t>
      </w:r>
      <w:r w:rsidRPr="00EF09FE">
        <w:rPr>
          <w:rStyle w:val="Zvraznenie"/>
          <w:i w:val="0"/>
        </w:rPr>
        <w:t>; Mimoriadne vydanie Ú.</w:t>
      </w:r>
      <w:r w:rsidR="004771E9" w:rsidRPr="00EF09FE">
        <w:rPr>
          <w:rStyle w:val="Zvraznenie"/>
          <w:i w:val="0"/>
        </w:rPr>
        <w:t xml:space="preserve"> </w:t>
      </w:r>
      <w:r w:rsidRPr="00EF09FE">
        <w:rPr>
          <w:rStyle w:val="Zvraznenie"/>
          <w:i w:val="0"/>
        </w:rPr>
        <w:t>v. EÚ, kap.  9/ zv. 1),</w:t>
      </w:r>
      <w:r w:rsidRPr="00EF09FE">
        <w:t xml:space="preserve"> gestor: MF SR</w:t>
      </w:r>
      <w:r w:rsidRPr="00EF09FE">
        <w:rPr>
          <w:rStyle w:val="Zvraznenie"/>
          <w:i w:val="0"/>
        </w:rPr>
        <w:t>,</w:t>
      </w:r>
    </w:p>
    <w:p w14:paraId="5A68CC50" w14:textId="77777777" w:rsidR="004771E9" w:rsidRPr="008F6B32" w:rsidRDefault="004771E9" w:rsidP="004771E9">
      <w:pPr>
        <w:pStyle w:val="Odsekzoznamu"/>
        <w:shd w:val="clear" w:color="auto" w:fill="FFFFFF"/>
        <w:spacing w:after="60"/>
        <w:ind w:left="900" w:right="-113"/>
        <w:jc w:val="both"/>
        <w:rPr>
          <w:rStyle w:val="Zvraznenie"/>
          <w:i w:val="0"/>
          <w:iCs w:val="0"/>
        </w:rPr>
      </w:pPr>
    </w:p>
    <w:p w14:paraId="7FD5E5AD" w14:textId="5E596F04" w:rsidR="00C30F8B" w:rsidRDefault="00A87643" w:rsidP="004771E9">
      <w:pPr>
        <w:pStyle w:val="Odsekzoznamu"/>
        <w:numPr>
          <w:ilvl w:val="0"/>
          <w:numId w:val="3"/>
        </w:numPr>
        <w:shd w:val="clear" w:color="auto" w:fill="FFFFFF"/>
        <w:spacing w:after="120"/>
        <w:ind w:right="-113"/>
        <w:jc w:val="both"/>
      </w:pPr>
      <w:r w:rsidRPr="008F6B32">
        <w:t>s</w:t>
      </w:r>
      <w:r w:rsidR="00C30F8B" w:rsidRPr="008F6B32">
        <w:t>mernica Rady 2006/112/ES z  28. novembra 2006 o spoločnom systéme dane z pridanej hodnoty (</w:t>
      </w:r>
      <w:r w:rsidR="00C30F8B" w:rsidRPr="008F6B32">
        <w:rPr>
          <w:rStyle w:val="Zvraznenie"/>
          <w:i w:val="0"/>
        </w:rPr>
        <w:t>Ú. v. EÚ L 347, 11.12.2006) v platnom znení</w:t>
      </w:r>
      <w:r w:rsidR="00C30F8B" w:rsidRPr="008F6B32">
        <w:rPr>
          <w:rStyle w:val="Zvraznenie"/>
        </w:rPr>
        <w:t xml:space="preserve">, </w:t>
      </w:r>
      <w:r w:rsidR="00C30F8B" w:rsidRPr="008F6B32">
        <w:t xml:space="preserve">gestor: MF </w:t>
      </w:r>
      <w:r w:rsidR="00DA7642" w:rsidRPr="008F6B32">
        <w:t>SR</w:t>
      </w:r>
      <w:r w:rsidR="00606262" w:rsidRPr="008F6B32">
        <w:t>,</w:t>
      </w:r>
    </w:p>
    <w:p w14:paraId="2804C432" w14:textId="77777777" w:rsidR="00B53ABB" w:rsidRDefault="00B53ABB" w:rsidP="00B53ABB">
      <w:pPr>
        <w:pStyle w:val="Odsekzoznamu"/>
        <w:shd w:val="clear" w:color="auto" w:fill="FFFFFF"/>
        <w:spacing w:after="120"/>
        <w:ind w:left="900" w:right="-113"/>
        <w:jc w:val="both"/>
      </w:pPr>
    </w:p>
    <w:p w14:paraId="0A707893" w14:textId="694098A7" w:rsidR="00B53ABB" w:rsidRPr="00B53ABB" w:rsidRDefault="00B53ABB" w:rsidP="00B53ABB">
      <w:pPr>
        <w:pStyle w:val="Odsekzoznamu"/>
        <w:numPr>
          <w:ilvl w:val="0"/>
          <w:numId w:val="3"/>
        </w:numPr>
        <w:shd w:val="clear" w:color="auto" w:fill="FFFFFF"/>
        <w:ind w:right="-115"/>
        <w:jc w:val="both"/>
      </w:pPr>
      <w:r>
        <w:t>smernica Rady 2008/8</w:t>
      </w:r>
      <w:r w:rsidRPr="00EF09FE">
        <w:t>/ES z  12. februára 2008</w:t>
      </w:r>
      <w:r>
        <w:t xml:space="preserve">, </w:t>
      </w:r>
      <w:r w:rsidRPr="00B53ABB">
        <w:t>ktorou  sa mení a dopĺňa smernica 2006/112/ES, pokiaľ ide o miesto poskytovania služieb (Ú. v. EÚ L 44, 20.2.</w:t>
      </w:r>
      <w:r w:rsidRPr="00B5737E">
        <w:t>2008)</w:t>
      </w:r>
      <w:r w:rsidRPr="00B5737E">
        <w:rPr>
          <w:rStyle w:val="Zvraznenie"/>
          <w:i w:val="0"/>
        </w:rPr>
        <w:t>,</w:t>
      </w:r>
      <w:r w:rsidRPr="00B5737E">
        <w:t xml:space="preserve"> gestor:</w:t>
      </w:r>
      <w:r w:rsidRPr="00EF09FE">
        <w:t xml:space="preserve"> MF SR</w:t>
      </w:r>
      <w:r w:rsidRPr="00EF09FE">
        <w:rPr>
          <w:rStyle w:val="Zvraznenie"/>
          <w:i w:val="0"/>
        </w:rPr>
        <w:t>,</w:t>
      </w:r>
    </w:p>
    <w:p w14:paraId="157607E1" w14:textId="77777777" w:rsidR="00EF09FE" w:rsidRDefault="00EF09FE" w:rsidP="00EF09FE">
      <w:pPr>
        <w:pStyle w:val="Odsekzoznamu"/>
        <w:shd w:val="clear" w:color="auto" w:fill="FFFFFF"/>
        <w:spacing w:after="120"/>
        <w:ind w:left="900" w:right="-113"/>
        <w:jc w:val="both"/>
      </w:pPr>
    </w:p>
    <w:p w14:paraId="1B92AEF0" w14:textId="0BD52EE5" w:rsidR="00EF09FE" w:rsidRPr="00EF09FE" w:rsidRDefault="00EF09FE" w:rsidP="00EF09FE">
      <w:pPr>
        <w:pStyle w:val="Odsekzoznamu"/>
        <w:numPr>
          <w:ilvl w:val="0"/>
          <w:numId w:val="3"/>
        </w:numPr>
        <w:shd w:val="clear" w:color="auto" w:fill="FFFFFF"/>
        <w:ind w:right="-115"/>
        <w:jc w:val="both"/>
        <w:rPr>
          <w:rStyle w:val="Zvraznenie"/>
          <w:i w:val="0"/>
          <w:iCs w:val="0"/>
        </w:rPr>
      </w:pPr>
      <w:r w:rsidRPr="00EF09FE">
        <w:t>smernica Rady 2008/9/ES z  12. februára 2008, ktorou sa ustanovujú podrobné pravidlá pre vrátenie dane z pridanej hodnoty ustanovené v smernici 2006/112/ES zdaniteľným osobám, ktoré nie sú usadené v členskom štáte vrátenia dane, ale ktoré sú usadené v inom členskom štáte (Ú. v. EÚ L 44, 20.2.2008</w:t>
      </w:r>
      <w:r w:rsidR="00501CF4">
        <w:rPr>
          <w:rStyle w:val="Zvraznenie"/>
          <w:i w:val="0"/>
        </w:rPr>
        <w:t>)</w:t>
      </w:r>
      <w:r w:rsidRPr="00EF09FE">
        <w:rPr>
          <w:rStyle w:val="Zvraznenie"/>
          <w:i w:val="0"/>
        </w:rPr>
        <w:t xml:space="preserve"> v platnom znení,</w:t>
      </w:r>
      <w:r w:rsidRPr="00EF09FE">
        <w:t xml:space="preserve"> gestor: MF SR</w:t>
      </w:r>
      <w:r w:rsidRPr="00EF09FE">
        <w:rPr>
          <w:rStyle w:val="Zvraznenie"/>
          <w:i w:val="0"/>
        </w:rPr>
        <w:t>,</w:t>
      </w:r>
    </w:p>
    <w:p w14:paraId="09B1C2A8" w14:textId="77777777" w:rsidR="00145E52" w:rsidRPr="008F6B32" w:rsidRDefault="00145E52" w:rsidP="00145E52">
      <w:pPr>
        <w:pStyle w:val="Odsekzoznamu"/>
        <w:shd w:val="clear" w:color="auto" w:fill="FFFFFF"/>
        <w:spacing w:after="120"/>
        <w:ind w:left="900" w:right="-113"/>
        <w:jc w:val="both"/>
      </w:pPr>
    </w:p>
    <w:p w14:paraId="3D660838" w14:textId="4B1431D3" w:rsidR="00145E52" w:rsidRPr="008A49B8" w:rsidRDefault="00145E52" w:rsidP="004771E9">
      <w:pPr>
        <w:pStyle w:val="Odsekzoznamu"/>
        <w:numPr>
          <w:ilvl w:val="0"/>
          <w:numId w:val="3"/>
        </w:numPr>
        <w:shd w:val="clear" w:color="auto" w:fill="FFFFFF"/>
        <w:spacing w:after="120"/>
        <w:ind w:right="-113"/>
        <w:jc w:val="both"/>
        <w:rPr>
          <w:rStyle w:val="Zvraznenie"/>
          <w:i w:val="0"/>
          <w:iCs w:val="0"/>
        </w:rPr>
      </w:pPr>
      <w:r w:rsidRPr="00EF09FE">
        <w:rPr>
          <w:bCs/>
          <w:shd w:val="clear" w:color="auto" w:fill="FFFFFF"/>
        </w:rPr>
        <w:t>smernica Rady 2008/117/ES zo 16. decembra 2008, ktorou sa mení a dopĺňa smernica 2006/112/ES o spoločnom systéme dane z pridanej hodnoty s cieľom bojovať proti daňovým podvodom spojeným s transakciami v rámci Spoločenstva (</w:t>
      </w:r>
      <w:r w:rsidRPr="00EF09FE">
        <w:rPr>
          <w:rStyle w:val="Zvraznenie"/>
          <w:i w:val="0"/>
          <w:shd w:val="clear" w:color="auto" w:fill="FFFFFF"/>
        </w:rPr>
        <w:t xml:space="preserve">Ú. v. EÚ L 14, 20.1.2009), </w:t>
      </w:r>
      <w:r w:rsidRPr="00EF09FE">
        <w:t>gestor: MF SR,</w:t>
      </w:r>
      <w:r w:rsidRPr="00EF09FE">
        <w:rPr>
          <w:rStyle w:val="Zvraznenie"/>
          <w:i w:val="0"/>
          <w:shd w:val="clear" w:color="auto" w:fill="FFFFFF"/>
        </w:rPr>
        <w:t xml:space="preserve">  </w:t>
      </w:r>
    </w:p>
    <w:p w14:paraId="18FFE299" w14:textId="77777777" w:rsidR="00864CB2" w:rsidRPr="00864CB2" w:rsidRDefault="00864CB2" w:rsidP="00864CB2">
      <w:pPr>
        <w:pStyle w:val="Odsekzoznamu"/>
        <w:shd w:val="clear" w:color="auto" w:fill="FFFFFF"/>
        <w:spacing w:after="120"/>
        <w:ind w:left="900" w:right="-113"/>
        <w:jc w:val="both"/>
      </w:pPr>
    </w:p>
    <w:p w14:paraId="7FA95B2C" w14:textId="262C9FEC" w:rsidR="008A49B8" w:rsidRPr="00815717" w:rsidRDefault="008A49B8" w:rsidP="008A49B8">
      <w:pPr>
        <w:pStyle w:val="Odsekzoznamu"/>
        <w:numPr>
          <w:ilvl w:val="0"/>
          <w:numId w:val="3"/>
        </w:numPr>
        <w:shd w:val="clear" w:color="auto" w:fill="FFFFFF"/>
        <w:spacing w:after="120"/>
        <w:ind w:right="-113"/>
        <w:jc w:val="both"/>
        <w:rPr>
          <w:rStyle w:val="Zvraznenie"/>
          <w:i w:val="0"/>
          <w:iCs w:val="0"/>
        </w:rPr>
      </w:pPr>
      <w:r w:rsidRPr="008A49B8">
        <w:rPr>
          <w:bCs/>
          <w:shd w:val="clear" w:color="auto" w:fill="FFFFFF"/>
        </w:rPr>
        <w:t>smernica Rady</w:t>
      </w:r>
      <w:r>
        <w:rPr>
          <w:bCs/>
          <w:shd w:val="clear" w:color="auto" w:fill="FFFFFF"/>
        </w:rPr>
        <w:t xml:space="preserve"> 2009/162/EÚ z 22. decembra </w:t>
      </w:r>
      <w:r w:rsidRPr="008A49B8">
        <w:rPr>
          <w:bCs/>
          <w:shd w:val="clear" w:color="auto" w:fill="FFFFFF"/>
        </w:rPr>
        <w:t>2009, ktorou sa menia a dopĺňajú niektoré ustanovenia smernice 2006/112/ES o spoločnom systéme dane z pridanej hodnoty</w:t>
      </w:r>
      <w:r>
        <w:rPr>
          <w:bCs/>
          <w:shd w:val="clear" w:color="auto" w:fill="FFFFFF"/>
        </w:rPr>
        <w:t xml:space="preserve"> </w:t>
      </w:r>
      <w:r>
        <w:rPr>
          <w:rStyle w:val="Zvraznenie"/>
          <w:i w:val="0"/>
          <w:shd w:val="clear" w:color="auto" w:fill="FFFFFF"/>
        </w:rPr>
        <w:t>Ú. v. EÚ L 10</w:t>
      </w:r>
      <w:r w:rsidRPr="00EF09FE">
        <w:rPr>
          <w:rStyle w:val="Zvraznenie"/>
          <w:i w:val="0"/>
          <w:shd w:val="clear" w:color="auto" w:fill="FFFFFF"/>
        </w:rPr>
        <w:t xml:space="preserve">, </w:t>
      </w:r>
      <w:r>
        <w:rPr>
          <w:rStyle w:val="Zvraznenie"/>
          <w:i w:val="0"/>
          <w:shd w:val="clear" w:color="auto" w:fill="FFFFFF"/>
        </w:rPr>
        <w:t>15</w:t>
      </w:r>
      <w:r w:rsidRPr="00EF09FE">
        <w:rPr>
          <w:rStyle w:val="Zvraznenie"/>
          <w:i w:val="0"/>
          <w:shd w:val="clear" w:color="auto" w:fill="FFFFFF"/>
        </w:rPr>
        <w:t>.1.20</w:t>
      </w:r>
      <w:r>
        <w:rPr>
          <w:rStyle w:val="Zvraznenie"/>
          <w:i w:val="0"/>
          <w:shd w:val="clear" w:color="auto" w:fill="FFFFFF"/>
        </w:rPr>
        <w:t>10</w:t>
      </w:r>
      <w:r w:rsidRPr="00EF09FE">
        <w:rPr>
          <w:rStyle w:val="Zvraznenie"/>
          <w:i w:val="0"/>
          <w:shd w:val="clear" w:color="auto" w:fill="FFFFFF"/>
        </w:rPr>
        <w:t xml:space="preserve">), </w:t>
      </w:r>
      <w:r w:rsidRPr="00EF09FE">
        <w:t>gestor: MF SR,</w:t>
      </w:r>
      <w:r w:rsidRPr="00EF09FE">
        <w:rPr>
          <w:rStyle w:val="Zvraznenie"/>
          <w:i w:val="0"/>
          <w:shd w:val="clear" w:color="auto" w:fill="FFFFFF"/>
        </w:rPr>
        <w:t xml:space="preserve">  </w:t>
      </w:r>
    </w:p>
    <w:p w14:paraId="541D99D8" w14:textId="51F95D03" w:rsidR="001F2552" w:rsidRPr="00223D15" w:rsidRDefault="00815717" w:rsidP="00815717">
      <w:pPr>
        <w:shd w:val="clear" w:color="auto" w:fill="FFFFFF"/>
        <w:spacing w:after="120"/>
        <w:ind w:left="851" w:right="-113" w:hanging="284"/>
        <w:jc w:val="both"/>
        <w:rPr>
          <w:rFonts w:ascii="Times New Roman" w:hAnsi="Times New Roman" w:cs="Times New Roman"/>
          <w:bCs/>
          <w:shd w:val="clear" w:color="auto" w:fill="FFFFFF"/>
        </w:rPr>
      </w:pPr>
      <w:r>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ab/>
        <w:t>s</w:t>
      </w:r>
      <w:r w:rsidRPr="00815717">
        <w:rPr>
          <w:rFonts w:ascii="Times New Roman" w:hAnsi="Times New Roman" w:cs="Times New Roman"/>
          <w:bCs/>
          <w:shd w:val="clear" w:color="auto" w:fill="FFFFFF"/>
        </w:rPr>
        <w:t>mernica Rady (EÚ) 2017/2455 z 5. decembra 2017, ktorou sa mení smernica 2006/112/ES a smernica 2009/132/ES, pokiaľ ide o určité povinnosti týkajúce sa dane z pridanej hodnoty pri poskytovaní služieb a predaji tovaru na diaľku (Ú. v. EÚ L 348, 29.12.2017)</w:t>
      </w:r>
      <w:r>
        <w:rPr>
          <w:rFonts w:ascii="Times New Roman" w:hAnsi="Times New Roman" w:cs="Times New Roman"/>
          <w:bCs/>
          <w:shd w:val="clear" w:color="auto" w:fill="FFFFFF"/>
        </w:rPr>
        <w:t xml:space="preserve"> </w:t>
      </w:r>
      <w:r w:rsidR="00223D15" w:rsidRPr="00B5737E">
        <w:rPr>
          <w:rStyle w:val="Zvraznenie"/>
          <w:rFonts w:ascii="Times New Roman" w:hAnsi="Times New Roman" w:cs="Times New Roman"/>
          <w:i w:val="0"/>
        </w:rPr>
        <w:t>v platnom znení</w:t>
      </w:r>
      <w:r w:rsidR="00223D15" w:rsidRPr="00B5737E">
        <w:rPr>
          <w:rFonts w:ascii="Times New Roman" w:hAnsi="Times New Roman" w:cs="Times New Roman"/>
          <w:bCs/>
          <w:shd w:val="clear" w:color="auto" w:fill="FFFFFF"/>
        </w:rPr>
        <w:t xml:space="preserve">, </w:t>
      </w:r>
      <w:r w:rsidRPr="00223D15">
        <w:rPr>
          <w:rFonts w:ascii="Times New Roman" w:hAnsi="Times New Roman" w:cs="Times New Roman"/>
          <w:bCs/>
          <w:shd w:val="clear" w:color="auto" w:fill="FFFFFF"/>
        </w:rPr>
        <w:t>gestor: MF SR,</w:t>
      </w:r>
      <w:r w:rsidRPr="00223D15">
        <w:rPr>
          <w:rFonts w:ascii="Times New Roman" w:hAnsi="Times New Roman" w:cs="Times New Roman"/>
          <w:bCs/>
          <w:iCs/>
        </w:rPr>
        <w:t xml:space="preserve">  </w:t>
      </w:r>
    </w:p>
    <w:p w14:paraId="61F58A6C" w14:textId="77777777" w:rsidR="001F2552" w:rsidRPr="00EF09FE" w:rsidRDefault="001F2552" w:rsidP="001F2552">
      <w:pPr>
        <w:pStyle w:val="Odsekzoznamu"/>
        <w:numPr>
          <w:ilvl w:val="0"/>
          <w:numId w:val="3"/>
        </w:numPr>
        <w:shd w:val="clear" w:color="auto" w:fill="FFFFFF"/>
        <w:ind w:right="-115"/>
        <w:jc w:val="both"/>
        <w:rPr>
          <w:rStyle w:val="Zvraznenie"/>
          <w:i w:val="0"/>
          <w:iCs w:val="0"/>
        </w:rPr>
      </w:pPr>
      <w:r w:rsidRPr="00EF09FE">
        <w:rPr>
          <w:bCs/>
          <w:shd w:val="clear" w:color="auto" w:fill="FFFFFF"/>
        </w:rPr>
        <w:t>smernica Rady (EÚ) 2018/1695 zo 6. novembra 2018, ktorou sa mení smernica 2006/112/ES o spoločnom systéme dane z pridanej hodnoty, pokiaľ ide o obdobie uplatňovania voliteľného mechanizmu prenesenia daňovej povinnosti v súvislosti s dodaním určitého tovaru a poskytovaním určitých služieb, ktoré sú náchylné na podvod, a mechanizmu rýchlej reakcie proti podvodom v oblasti DPH (</w:t>
      </w:r>
      <w:r w:rsidRPr="00EF09FE">
        <w:rPr>
          <w:rStyle w:val="Zvraznenie"/>
          <w:i w:val="0"/>
          <w:shd w:val="clear" w:color="auto" w:fill="FFFFFF"/>
        </w:rPr>
        <w:t xml:space="preserve">Ú. v. EÚ L 282, 12.11.2018) </w:t>
      </w:r>
      <w:r w:rsidRPr="00EF09FE">
        <w:rPr>
          <w:rStyle w:val="Zvraznenie"/>
          <w:i w:val="0"/>
        </w:rPr>
        <w:t>v platnom znení,</w:t>
      </w:r>
      <w:r w:rsidRPr="00EF09FE">
        <w:t xml:space="preserve"> gestor: MF SR</w:t>
      </w:r>
      <w:r w:rsidRPr="00EF09FE">
        <w:rPr>
          <w:rStyle w:val="Zvraznenie"/>
          <w:i w:val="0"/>
        </w:rPr>
        <w:t>,</w:t>
      </w:r>
    </w:p>
    <w:p w14:paraId="3F5207CC" w14:textId="77777777" w:rsidR="00CB40F0" w:rsidRPr="00EF09FE" w:rsidRDefault="00CB40F0" w:rsidP="00CB40F0">
      <w:pPr>
        <w:pStyle w:val="Odsekzoznamu"/>
        <w:shd w:val="clear" w:color="auto" w:fill="FFFFFF"/>
        <w:spacing w:after="120"/>
        <w:ind w:left="900" w:right="-113"/>
        <w:jc w:val="both"/>
      </w:pPr>
    </w:p>
    <w:p w14:paraId="47A14722" w14:textId="77777777" w:rsidR="00CB40F0" w:rsidRPr="00EF09FE" w:rsidRDefault="00CB40F0" w:rsidP="00CB40F0">
      <w:pPr>
        <w:pStyle w:val="Odsekzoznamu"/>
        <w:numPr>
          <w:ilvl w:val="0"/>
          <w:numId w:val="3"/>
        </w:numPr>
        <w:shd w:val="clear" w:color="auto" w:fill="FFFFFF"/>
        <w:ind w:right="-115"/>
        <w:jc w:val="both"/>
      </w:pPr>
      <w:r w:rsidRPr="00EF09FE">
        <w:t xml:space="preserve">smernica </w:t>
      </w:r>
      <w:r w:rsidRPr="00EF09FE">
        <w:rPr>
          <w:bCs/>
          <w:shd w:val="clear" w:color="auto" w:fill="FFFFFF"/>
        </w:rPr>
        <w:t>Rady (EÚ) 2020/285 z 18. februára 2020</w:t>
      </w:r>
      <w:r w:rsidRPr="00EF09FE">
        <w:t xml:space="preserve">, ktorou sa mení smernica 2006/112/ES o spoločnom systéme dane z pridanej hodnoty, </w:t>
      </w:r>
      <w:r w:rsidRPr="00EF09FE">
        <w:rPr>
          <w:bCs/>
          <w:shd w:val="clear" w:color="auto" w:fill="FFFFFF"/>
        </w:rPr>
        <w:t>pokiaľ ide o osobitnú úpravu pre malé podniky, a nariadenie (EÚ) č. 904/2010, pokiaľ ide o administratívnu spoluprácu a výmenu informácií na účely monitorovania správneho uplatňovania osobitnej úpravy pre malé podniky</w:t>
      </w:r>
      <w:r w:rsidRPr="00EF09FE">
        <w:t xml:space="preserve"> (Ú. v. EÚ L 62, 2.3.2020) v platnom znení, gestor: MF SR, </w:t>
      </w:r>
    </w:p>
    <w:p w14:paraId="09B1E90C" w14:textId="77777777" w:rsidR="00CB40F0" w:rsidRPr="008F6B32" w:rsidRDefault="00CB40F0" w:rsidP="00B61855">
      <w:pPr>
        <w:pStyle w:val="Odsekzoznamu"/>
        <w:shd w:val="clear" w:color="auto" w:fill="FFFFFF"/>
        <w:spacing w:after="120"/>
        <w:ind w:left="900" w:right="-113"/>
        <w:jc w:val="both"/>
      </w:pPr>
    </w:p>
    <w:p w14:paraId="2121FF3B" w14:textId="38EE285F" w:rsidR="00954930" w:rsidRPr="00EF09FE" w:rsidRDefault="00954930" w:rsidP="00C30F8B">
      <w:pPr>
        <w:pStyle w:val="Odsekzoznamu"/>
        <w:numPr>
          <w:ilvl w:val="0"/>
          <w:numId w:val="3"/>
        </w:numPr>
        <w:shd w:val="clear" w:color="auto" w:fill="FFFFFF"/>
        <w:ind w:right="-115"/>
        <w:jc w:val="both"/>
      </w:pPr>
      <w:r w:rsidRPr="00EF09FE">
        <w:t xml:space="preserve">nariadenie Rady (EHS, Euratom) č. 1182/71 z 3. júna 1971, ktorým sa </w:t>
      </w:r>
      <w:r w:rsidR="00B3296C" w:rsidRPr="00EF09FE">
        <w:t>stanovujú</w:t>
      </w:r>
      <w:r w:rsidRPr="00EF09FE">
        <w:t xml:space="preserve"> pravidlá pre lehoty, dátumy a termíny (</w:t>
      </w:r>
      <w:r w:rsidRPr="00EF09FE">
        <w:rPr>
          <w:rStyle w:val="Zvraznenie"/>
          <w:i w:val="0"/>
        </w:rPr>
        <w:t>Ú. v. E</w:t>
      </w:r>
      <w:r w:rsidR="00B61855" w:rsidRPr="00EF09FE">
        <w:rPr>
          <w:rStyle w:val="Zvraznenie"/>
          <w:i w:val="0"/>
        </w:rPr>
        <w:t>S</w:t>
      </w:r>
      <w:r w:rsidRPr="00EF09FE">
        <w:rPr>
          <w:rStyle w:val="Zvraznenie"/>
          <w:i w:val="0"/>
        </w:rPr>
        <w:t xml:space="preserve"> L 124, 8.6.1971</w:t>
      </w:r>
      <w:r w:rsidR="00B61855" w:rsidRPr="00EF09FE">
        <w:rPr>
          <w:rStyle w:val="Zvraznenie"/>
          <w:i w:val="0"/>
        </w:rPr>
        <w:t>; Mimoriadne vydanie Ú. v. EÚ, kap.  1/ zv. 1</w:t>
      </w:r>
      <w:r w:rsidRPr="00EF09FE">
        <w:rPr>
          <w:rStyle w:val="Zvraznenie"/>
          <w:i w:val="0"/>
        </w:rPr>
        <w:t>)</w:t>
      </w:r>
      <w:r w:rsidR="00B61855" w:rsidRPr="00EF09FE">
        <w:rPr>
          <w:rStyle w:val="Zvraznenie"/>
          <w:i w:val="0"/>
        </w:rPr>
        <w:t>, ge</w:t>
      </w:r>
      <w:r w:rsidR="00183A06" w:rsidRPr="00EF09FE">
        <w:rPr>
          <w:rStyle w:val="Zvraznenie"/>
          <w:i w:val="0"/>
        </w:rPr>
        <w:t>stori: MPSVR SR, MS SR, MF SR, MV SR</w:t>
      </w:r>
      <w:r w:rsidR="00342AFF" w:rsidRPr="00EF09FE">
        <w:rPr>
          <w:rStyle w:val="Zvraznenie"/>
          <w:i w:val="0"/>
        </w:rPr>
        <w:t>.</w:t>
      </w:r>
    </w:p>
    <w:p w14:paraId="0E1D52CB" w14:textId="2E9AA360" w:rsidR="003C5EB0" w:rsidRDefault="003C5EB0" w:rsidP="00645C06"/>
    <w:p w14:paraId="6093569E" w14:textId="377B2306" w:rsidR="00CC3ADA" w:rsidRDefault="00CE4115" w:rsidP="006E30D6">
      <w:pPr>
        <w:pStyle w:val="Zkladntext"/>
        <w:numPr>
          <w:ilvl w:val="1"/>
          <w:numId w:val="1"/>
        </w:numPr>
        <w:tabs>
          <w:tab w:val="left" w:pos="851"/>
        </w:tabs>
        <w:spacing w:after="0"/>
        <w:jc w:val="both"/>
        <w:rPr>
          <w:b/>
        </w:rPr>
      </w:pPr>
      <w:r w:rsidRPr="00086851">
        <w:rPr>
          <w:b/>
        </w:rPr>
        <w:t>J</w:t>
      </w:r>
      <w:r w:rsidR="002865EC" w:rsidRPr="00086851">
        <w:rPr>
          <w:b/>
        </w:rPr>
        <w:t>udikatúr</w:t>
      </w:r>
      <w:r w:rsidRPr="00086851">
        <w:rPr>
          <w:b/>
        </w:rPr>
        <w:t>a</w:t>
      </w:r>
      <w:r w:rsidR="002865EC" w:rsidRPr="00086851">
        <w:rPr>
          <w:b/>
        </w:rPr>
        <w:t xml:space="preserve"> Súdneho dvora Európsk</w:t>
      </w:r>
      <w:r w:rsidR="00B55479" w:rsidRPr="00086851">
        <w:rPr>
          <w:b/>
        </w:rPr>
        <w:t>ej</w:t>
      </w:r>
      <w:r w:rsidR="002865EC" w:rsidRPr="00086851">
        <w:rPr>
          <w:b/>
        </w:rPr>
        <w:t xml:space="preserve"> </w:t>
      </w:r>
      <w:r w:rsidR="00B55479" w:rsidRPr="00086851">
        <w:rPr>
          <w:b/>
        </w:rPr>
        <w:t>únie</w:t>
      </w:r>
      <w:r w:rsidRPr="00086851">
        <w:rPr>
          <w:b/>
        </w:rPr>
        <w:t>:</w:t>
      </w:r>
    </w:p>
    <w:p w14:paraId="09FB64E4" w14:textId="22E5D304" w:rsidR="002A42A2" w:rsidRDefault="002A42A2" w:rsidP="002A42A2">
      <w:pPr>
        <w:pStyle w:val="Zkladntext"/>
        <w:tabs>
          <w:tab w:val="left" w:pos="851"/>
        </w:tabs>
        <w:spacing w:after="0"/>
        <w:jc w:val="both"/>
        <w:rPr>
          <w:b/>
        </w:rPr>
      </w:pPr>
    </w:p>
    <w:p w14:paraId="69696970" w14:textId="13BC90B4" w:rsidR="002A42A2" w:rsidRPr="00EF09FE" w:rsidRDefault="00497B7B" w:rsidP="002A42A2">
      <w:pPr>
        <w:pStyle w:val="Normlnywebov"/>
        <w:numPr>
          <w:ilvl w:val="0"/>
          <w:numId w:val="13"/>
        </w:numPr>
        <w:spacing w:before="0" w:after="0"/>
        <w:ind w:left="896" w:right="-113" w:hanging="357"/>
        <w:jc w:val="both"/>
        <w:rPr>
          <w:sz w:val="24"/>
          <w:szCs w:val="24"/>
          <w:lang w:eastAsia="cs-CZ"/>
        </w:rPr>
      </w:pPr>
      <w:r w:rsidRPr="00EF09FE">
        <w:rPr>
          <w:sz w:val="24"/>
          <w:szCs w:val="24"/>
          <w:lang w:eastAsia="cs-CZ"/>
        </w:rPr>
        <w:t>r</w:t>
      </w:r>
      <w:r w:rsidR="002A42A2" w:rsidRPr="00EF09FE">
        <w:rPr>
          <w:sz w:val="24"/>
          <w:szCs w:val="24"/>
          <w:lang w:eastAsia="cs-CZ"/>
        </w:rPr>
        <w:t xml:space="preserve">ozsudok Súdneho dvora vo veci </w:t>
      </w:r>
      <w:r w:rsidR="005B6487" w:rsidRPr="00EF09FE">
        <w:rPr>
          <w:sz w:val="24"/>
          <w:szCs w:val="24"/>
          <w:lang w:eastAsia="cs-CZ"/>
        </w:rPr>
        <w:t>C-322/99 a C-323/99</w:t>
      </w:r>
      <w:r w:rsidR="000E0D2B" w:rsidRPr="00EF09FE">
        <w:rPr>
          <w:sz w:val="24"/>
          <w:szCs w:val="24"/>
          <w:lang w:eastAsia="cs-CZ"/>
        </w:rPr>
        <w:t>,</w:t>
      </w:r>
      <w:r w:rsidR="005B6487" w:rsidRPr="00EF09FE">
        <w:rPr>
          <w:sz w:val="24"/>
          <w:szCs w:val="24"/>
          <w:lang w:eastAsia="cs-CZ"/>
        </w:rPr>
        <w:t xml:space="preserve"> </w:t>
      </w:r>
      <w:r w:rsidRPr="00EF09FE">
        <w:rPr>
          <w:bCs/>
          <w:sz w:val="24"/>
          <w:szCs w:val="24"/>
        </w:rPr>
        <w:t>Finanzamt Burgdorf proti Hans-Georg Fischer a Finanzamt Düsseldorf-Mettmann proti Klaus Brandenstein</w:t>
      </w:r>
    </w:p>
    <w:p w14:paraId="2E40AEEB" w14:textId="77777777" w:rsidR="002A42A2" w:rsidRPr="00021CF0" w:rsidRDefault="002A42A2" w:rsidP="002A42A2">
      <w:pPr>
        <w:pStyle w:val="Normlnywebov"/>
        <w:spacing w:before="0" w:after="0"/>
        <w:ind w:left="750" w:right="-113" w:firstLine="146"/>
        <w:jc w:val="both"/>
        <w:rPr>
          <w:sz w:val="24"/>
          <w:szCs w:val="24"/>
        </w:rPr>
      </w:pPr>
      <w:r w:rsidRPr="00021CF0">
        <w:rPr>
          <w:sz w:val="24"/>
          <w:szCs w:val="24"/>
        </w:rPr>
        <w:t>Výrok rozsudku:</w:t>
      </w:r>
    </w:p>
    <w:p w14:paraId="068D3D1F" w14:textId="59F49EFC" w:rsidR="00DE6083" w:rsidRPr="00DE6083" w:rsidRDefault="002A42A2" w:rsidP="00DE6083">
      <w:pPr>
        <w:pStyle w:val="Normlnywebov"/>
        <w:spacing w:before="0" w:after="0"/>
        <w:ind w:left="896" w:right="-113"/>
        <w:jc w:val="both"/>
        <w:rPr>
          <w:sz w:val="24"/>
          <w:szCs w:val="24"/>
          <w:lang w:eastAsia="cs-CZ"/>
        </w:rPr>
      </w:pPr>
      <w:r w:rsidRPr="002A42A2">
        <w:t>„</w:t>
      </w:r>
      <w:r w:rsidR="00F10917">
        <w:rPr>
          <w:sz w:val="24"/>
          <w:szCs w:val="24"/>
          <w:lang w:eastAsia="cs-CZ"/>
        </w:rPr>
        <w:t>1.</w:t>
      </w:r>
      <w:r w:rsidR="00DE6083" w:rsidRPr="00DE6083">
        <w:rPr>
          <w:sz w:val="24"/>
          <w:szCs w:val="24"/>
          <w:lang w:eastAsia="cs-CZ"/>
        </w:rPr>
        <w:t xml:space="preserve"> Keď osoba podliehajúca dani </w:t>
      </w:r>
      <w:r w:rsidR="002E2C98">
        <w:rPr>
          <w:sz w:val="24"/>
          <w:szCs w:val="24"/>
          <w:lang w:eastAsia="cs-CZ"/>
        </w:rPr>
        <w:t>alokuje</w:t>
      </w:r>
      <w:r w:rsidR="00DE6083" w:rsidRPr="00DE6083">
        <w:rPr>
          <w:sz w:val="24"/>
          <w:szCs w:val="24"/>
          <w:lang w:eastAsia="cs-CZ"/>
        </w:rPr>
        <w:t xml:space="preserve"> na účely iné ako podnikateľské tovar (v tomto prípade </w:t>
      </w:r>
      <w:r w:rsidR="00654B7A">
        <w:rPr>
          <w:sz w:val="24"/>
          <w:szCs w:val="24"/>
          <w:lang w:eastAsia="cs-CZ"/>
        </w:rPr>
        <w:t xml:space="preserve">motorové </w:t>
      </w:r>
      <w:r w:rsidR="00DE6083" w:rsidRPr="00DE6083">
        <w:rPr>
          <w:sz w:val="24"/>
          <w:szCs w:val="24"/>
          <w:lang w:eastAsia="cs-CZ"/>
        </w:rPr>
        <w:t>vozidlo)</w:t>
      </w:r>
      <w:r w:rsidR="00654B7A">
        <w:rPr>
          <w:sz w:val="24"/>
          <w:szCs w:val="24"/>
          <w:lang w:eastAsia="cs-CZ"/>
        </w:rPr>
        <w:t>,</w:t>
      </w:r>
      <w:r w:rsidR="00DE6083" w:rsidRPr="00DE6083">
        <w:rPr>
          <w:sz w:val="24"/>
          <w:szCs w:val="24"/>
          <w:lang w:eastAsia="cs-CZ"/>
        </w:rPr>
        <w:t xml:space="preserve"> </w:t>
      </w:r>
      <w:r w:rsidR="00654B7A">
        <w:rPr>
          <w:sz w:val="24"/>
          <w:szCs w:val="24"/>
          <w:lang w:eastAsia="cs-CZ"/>
        </w:rPr>
        <w:t>pri nadobudnutí</w:t>
      </w:r>
      <w:r w:rsidR="00DE6083" w:rsidRPr="00DE6083">
        <w:rPr>
          <w:sz w:val="24"/>
          <w:szCs w:val="24"/>
          <w:lang w:eastAsia="cs-CZ"/>
        </w:rPr>
        <w:t xml:space="preserve"> </w:t>
      </w:r>
      <w:r w:rsidR="00654B7A">
        <w:rPr>
          <w:sz w:val="24"/>
          <w:szCs w:val="24"/>
          <w:lang w:eastAsia="cs-CZ"/>
        </w:rPr>
        <w:t xml:space="preserve">ktorého </w:t>
      </w:r>
      <w:r w:rsidR="00DE6083" w:rsidRPr="00DE6083">
        <w:rPr>
          <w:sz w:val="24"/>
          <w:szCs w:val="24"/>
          <w:lang w:eastAsia="cs-CZ"/>
        </w:rPr>
        <w:t>n</w:t>
      </w:r>
      <w:r w:rsidR="00654B7A">
        <w:rPr>
          <w:sz w:val="24"/>
          <w:szCs w:val="24"/>
          <w:lang w:eastAsia="cs-CZ"/>
        </w:rPr>
        <w:t>ebola</w:t>
      </w:r>
      <w:r w:rsidR="00DE6083" w:rsidRPr="00DE6083">
        <w:rPr>
          <w:sz w:val="24"/>
          <w:szCs w:val="24"/>
          <w:lang w:eastAsia="cs-CZ"/>
        </w:rPr>
        <w:t xml:space="preserve"> DPH</w:t>
      </w:r>
      <w:r w:rsidR="00654B7A">
        <w:rPr>
          <w:sz w:val="24"/>
          <w:szCs w:val="24"/>
          <w:lang w:eastAsia="cs-CZ"/>
        </w:rPr>
        <w:t xml:space="preserve"> odpočítateľná</w:t>
      </w:r>
      <w:r w:rsidR="00DE6083" w:rsidRPr="00DE6083">
        <w:rPr>
          <w:sz w:val="24"/>
          <w:szCs w:val="24"/>
          <w:lang w:eastAsia="cs-CZ"/>
        </w:rPr>
        <w:t xml:space="preserve"> a, ktorý bol neskôr po nadobudnutí predmetom prác, </w:t>
      </w:r>
      <w:r w:rsidR="00654B7A">
        <w:rPr>
          <w:sz w:val="24"/>
          <w:szCs w:val="24"/>
          <w:lang w:eastAsia="cs-CZ"/>
        </w:rPr>
        <w:t>pri</w:t>
      </w:r>
      <w:r w:rsidR="00DE6083" w:rsidRPr="00DE6083">
        <w:rPr>
          <w:sz w:val="24"/>
          <w:szCs w:val="24"/>
          <w:lang w:eastAsia="cs-CZ"/>
        </w:rPr>
        <w:t xml:space="preserve"> ktorých sa </w:t>
      </w:r>
      <w:r w:rsidR="00654B7A">
        <w:rPr>
          <w:sz w:val="24"/>
          <w:szCs w:val="24"/>
          <w:lang w:eastAsia="cs-CZ"/>
        </w:rPr>
        <w:t>DPH</w:t>
      </w:r>
      <w:r w:rsidR="00DE6083" w:rsidRPr="00DE6083">
        <w:rPr>
          <w:sz w:val="24"/>
          <w:szCs w:val="24"/>
          <w:lang w:eastAsia="cs-CZ"/>
        </w:rPr>
        <w:t xml:space="preserve"> odpočítala, daň z pridanej hodnoty splatná uplatňovaním článku 5</w:t>
      </w:r>
      <w:r w:rsidR="00654B7A">
        <w:rPr>
          <w:sz w:val="24"/>
          <w:szCs w:val="24"/>
          <w:lang w:eastAsia="cs-CZ"/>
        </w:rPr>
        <w:t xml:space="preserve"> </w:t>
      </w:r>
      <w:r w:rsidR="00DE6083" w:rsidRPr="00DE6083">
        <w:rPr>
          <w:sz w:val="24"/>
          <w:szCs w:val="24"/>
          <w:lang w:eastAsia="cs-CZ"/>
        </w:rPr>
        <w:t>ods</w:t>
      </w:r>
      <w:r w:rsidR="00654B7A">
        <w:rPr>
          <w:sz w:val="24"/>
          <w:szCs w:val="24"/>
          <w:lang w:eastAsia="cs-CZ"/>
        </w:rPr>
        <w:t>.</w:t>
      </w:r>
      <w:r w:rsidR="00DE6083" w:rsidRPr="00DE6083">
        <w:rPr>
          <w:sz w:val="24"/>
          <w:szCs w:val="24"/>
          <w:lang w:eastAsia="cs-CZ"/>
        </w:rPr>
        <w:t xml:space="preserve"> 6, š</w:t>
      </w:r>
      <w:r w:rsidR="00654B7A">
        <w:rPr>
          <w:sz w:val="24"/>
          <w:szCs w:val="24"/>
          <w:lang w:eastAsia="cs-CZ"/>
        </w:rPr>
        <w:t>iestej smernice 77/388/EHS Rady</w:t>
      </w:r>
      <w:r w:rsidR="00DE6083" w:rsidRPr="00DE6083">
        <w:rPr>
          <w:sz w:val="24"/>
          <w:szCs w:val="24"/>
          <w:lang w:eastAsia="cs-CZ"/>
        </w:rPr>
        <w:t xml:space="preserve"> zo 17. mája 1977 o zosúladení právnych predpisov členských štátov týkajúcich sa dan</w:t>
      </w:r>
      <w:r w:rsidR="005D3501">
        <w:rPr>
          <w:sz w:val="24"/>
          <w:szCs w:val="24"/>
          <w:lang w:eastAsia="cs-CZ"/>
        </w:rPr>
        <w:t>e</w:t>
      </w:r>
      <w:r w:rsidR="00654B7A">
        <w:rPr>
          <w:sz w:val="24"/>
          <w:szCs w:val="24"/>
          <w:lang w:eastAsia="cs-CZ"/>
        </w:rPr>
        <w:t xml:space="preserve"> z obratu – s</w:t>
      </w:r>
      <w:r w:rsidR="00DE6083" w:rsidRPr="00DE6083">
        <w:rPr>
          <w:sz w:val="24"/>
          <w:szCs w:val="24"/>
          <w:lang w:eastAsia="cs-CZ"/>
        </w:rPr>
        <w:t>poločný systém dane z pridanej hodnoty: jednotný základ jej stanovenia, sa týka iba "súčastí tovaru",</w:t>
      </w:r>
      <w:r w:rsidR="00654B7A">
        <w:rPr>
          <w:sz w:val="24"/>
          <w:szCs w:val="24"/>
          <w:lang w:eastAsia="cs-CZ"/>
        </w:rPr>
        <w:t xml:space="preserve"> pri ktorých bolo</w:t>
      </w:r>
      <w:r w:rsidR="00DE6083" w:rsidRPr="00DE6083">
        <w:rPr>
          <w:sz w:val="24"/>
          <w:szCs w:val="24"/>
          <w:lang w:eastAsia="cs-CZ"/>
        </w:rPr>
        <w:t xml:space="preserve"> právo na odpočet, to znamená súčastí, ktoré definitívne stratili </w:t>
      </w:r>
      <w:r w:rsidR="00654B7A">
        <w:rPr>
          <w:sz w:val="24"/>
          <w:szCs w:val="24"/>
          <w:lang w:eastAsia="cs-CZ"/>
        </w:rPr>
        <w:t>fyzickú a ekonomickú rozlišovaciu spôsobilosť</w:t>
      </w:r>
      <w:r w:rsidR="00DE6083" w:rsidRPr="00DE6083">
        <w:rPr>
          <w:sz w:val="24"/>
          <w:szCs w:val="24"/>
          <w:lang w:eastAsia="cs-CZ"/>
        </w:rPr>
        <w:t>, keď boli vložené do vozidla, neskôr po</w:t>
      </w:r>
      <w:r w:rsidR="006465FA">
        <w:rPr>
          <w:sz w:val="24"/>
          <w:szCs w:val="24"/>
          <w:lang w:eastAsia="cs-CZ"/>
        </w:rPr>
        <w:t xml:space="preserve"> ich nákupe, po transakciách zahŕňajúcich dodanie</w:t>
      </w:r>
      <w:r w:rsidR="00DE6083" w:rsidRPr="00DE6083">
        <w:rPr>
          <w:sz w:val="24"/>
          <w:szCs w:val="24"/>
          <w:lang w:eastAsia="cs-CZ"/>
        </w:rPr>
        <w:t xml:space="preserve"> tovaru, ktoré spôsobili trvalé navýšenie hodnoty vozidla, nie úplne spotrebovanej v čase </w:t>
      </w:r>
      <w:r w:rsidR="002E2C98">
        <w:rPr>
          <w:sz w:val="24"/>
          <w:szCs w:val="24"/>
          <w:lang w:eastAsia="cs-CZ"/>
        </w:rPr>
        <w:t>alokácie</w:t>
      </w:r>
      <w:r w:rsidR="00DE6083" w:rsidRPr="00DE6083">
        <w:rPr>
          <w:sz w:val="24"/>
          <w:szCs w:val="24"/>
          <w:lang w:eastAsia="cs-CZ"/>
        </w:rPr>
        <w:t xml:space="preserve">.   </w:t>
      </w:r>
    </w:p>
    <w:p w14:paraId="736E8E19" w14:textId="0BCA1C2D" w:rsidR="00DE6083" w:rsidRPr="00DE6083" w:rsidRDefault="00F10917" w:rsidP="00DE6083">
      <w:pPr>
        <w:pStyle w:val="Normlnywebov"/>
        <w:spacing w:before="0" w:after="0"/>
        <w:ind w:left="896" w:right="-113"/>
        <w:jc w:val="both"/>
        <w:rPr>
          <w:sz w:val="24"/>
          <w:szCs w:val="24"/>
          <w:lang w:eastAsia="cs-CZ"/>
        </w:rPr>
      </w:pPr>
      <w:r>
        <w:rPr>
          <w:sz w:val="24"/>
          <w:szCs w:val="24"/>
          <w:lang w:eastAsia="cs-CZ"/>
        </w:rPr>
        <w:t>2.</w:t>
      </w:r>
      <w:r w:rsidR="00DE6083" w:rsidRPr="00DE6083">
        <w:rPr>
          <w:sz w:val="24"/>
          <w:szCs w:val="24"/>
          <w:lang w:eastAsia="cs-CZ"/>
        </w:rPr>
        <w:t xml:space="preserve"> V rámci </w:t>
      </w:r>
      <w:r w:rsidR="002E2C98">
        <w:rPr>
          <w:sz w:val="24"/>
          <w:szCs w:val="24"/>
          <w:lang w:eastAsia="cs-CZ"/>
        </w:rPr>
        <w:t>alokácie</w:t>
      </w:r>
      <w:r w:rsidR="00DE6083" w:rsidRPr="00DE6083">
        <w:rPr>
          <w:sz w:val="24"/>
          <w:szCs w:val="24"/>
          <w:lang w:eastAsia="cs-CZ"/>
        </w:rPr>
        <w:t xml:space="preserve"> podliehajúcej</w:t>
      </w:r>
      <w:r w:rsidR="006465FA">
        <w:rPr>
          <w:sz w:val="24"/>
          <w:szCs w:val="24"/>
          <w:lang w:eastAsia="cs-CZ"/>
        </w:rPr>
        <w:t xml:space="preserve"> zdaneniu uplatňovaním článku 5</w:t>
      </w:r>
      <w:r w:rsidR="00DE6083" w:rsidRPr="00DE6083">
        <w:rPr>
          <w:sz w:val="24"/>
          <w:szCs w:val="24"/>
          <w:lang w:eastAsia="cs-CZ"/>
        </w:rPr>
        <w:t xml:space="preserve"> ods</w:t>
      </w:r>
      <w:r w:rsidR="006465FA">
        <w:rPr>
          <w:sz w:val="24"/>
          <w:szCs w:val="24"/>
          <w:lang w:eastAsia="cs-CZ"/>
        </w:rPr>
        <w:t>.</w:t>
      </w:r>
      <w:r w:rsidR="002E2C98">
        <w:rPr>
          <w:sz w:val="24"/>
          <w:szCs w:val="24"/>
          <w:lang w:eastAsia="cs-CZ"/>
        </w:rPr>
        <w:t xml:space="preserve"> 6</w:t>
      </w:r>
      <w:r w:rsidR="00DE6083" w:rsidRPr="00DE6083">
        <w:rPr>
          <w:sz w:val="24"/>
          <w:szCs w:val="24"/>
          <w:lang w:eastAsia="cs-CZ"/>
        </w:rPr>
        <w:t xml:space="preserve"> šiestej smernice 77/388 týkajúc sa konkrétne </w:t>
      </w:r>
      <w:r w:rsidR="002E2C98">
        <w:rPr>
          <w:sz w:val="24"/>
          <w:szCs w:val="24"/>
          <w:lang w:eastAsia="cs-CZ"/>
        </w:rPr>
        <w:t>alokácie</w:t>
      </w:r>
      <w:r w:rsidR="00DE6083" w:rsidRPr="00DE6083">
        <w:rPr>
          <w:sz w:val="24"/>
          <w:szCs w:val="24"/>
          <w:lang w:eastAsia="cs-CZ"/>
        </w:rPr>
        <w:t xml:space="preserve"> tovaru (v tomto prípade</w:t>
      </w:r>
      <w:r w:rsidR="006465FA">
        <w:rPr>
          <w:sz w:val="24"/>
          <w:szCs w:val="24"/>
          <w:lang w:eastAsia="cs-CZ"/>
        </w:rPr>
        <w:t xml:space="preserve"> motorového</w:t>
      </w:r>
      <w:r w:rsidR="00DE6083" w:rsidRPr="00DE6083">
        <w:rPr>
          <w:sz w:val="24"/>
          <w:szCs w:val="24"/>
          <w:lang w:eastAsia="cs-CZ"/>
        </w:rPr>
        <w:t xml:space="preserve"> vozidla)</w:t>
      </w:r>
    </w:p>
    <w:p w14:paraId="734E4BFE" w14:textId="54EDE1C8" w:rsidR="00DE6083" w:rsidRPr="00DE6083" w:rsidRDefault="00DE6083" w:rsidP="00DE6083">
      <w:pPr>
        <w:pStyle w:val="Normlnywebov"/>
        <w:spacing w:before="0" w:after="0"/>
        <w:ind w:left="896" w:right="-113"/>
        <w:jc w:val="both"/>
        <w:rPr>
          <w:sz w:val="24"/>
          <w:szCs w:val="24"/>
          <w:lang w:eastAsia="cs-CZ"/>
        </w:rPr>
      </w:pPr>
      <w:r w:rsidRPr="00DE6083">
        <w:rPr>
          <w:sz w:val="24"/>
          <w:szCs w:val="24"/>
          <w:lang w:eastAsia="cs-CZ"/>
        </w:rPr>
        <w:t xml:space="preserve">- </w:t>
      </w:r>
      <w:r w:rsidR="006465FA">
        <w:rPr>
          <w:sz w:val="24"/>
          <w:szCs w:val="24"/>
          <w:lang w:eastAsia="cs-CZ"/>
        </w:rPr>
        <w:t>nadobudnutého bez toho, aby bol</w:t>
      </w:r>
      <w:r w:rsidRPr="00DE6083">
        <w:rPr>
          <w:sz w:val="24"/>
          <w:szCs w:val="24"/>
          <w:lang w:eastAsia="cs-CZ"/>
        </w:rPr>
        <w:t xml:space="preserve"> </w:t>
      </w:r>
      <w:r w:rsidR="006465FA">
        <w:rPr>
          <w:sz w:val="24"/>
          <w:szCs w:val="24"/>
          <w:lang w:eastAsia="cs-CZ"/>
        </w:rPr>
        <w:t>nárok</w:t>
      </w:r>
      <w:r w:rsidRPr="00DE6083">
        <w:rPr>
          <w:sz w:val="24"/>
          <w:szCs w:val="24"/>
          <w:lang w:eastAsia="cs-CZ"/>
        </w:rPr>
        <w:t xml:space="preserve"> na odpočet, </w:t>
      </w:r>
    </w:p>
    <w:p w14:paraId="1DC6334E" w14:textId="58E298B7" w:rsidR="00DE6083" w:rsidRPr="00DE6083" w:rsidRDefault="00DE6083" w:rsidP="00DE6083">
      <w:pPr>
        <w:pStyle w:val="Normlnywebov"/>
        <w:spacing w:before="0" w:after="0"/>
        <w:ind w:left="896" w:right="-113"/>
        <w:jc w:val="both"/>
        <w:rPr>
          <w:sz w:val="24"/>
          <w:szCs w:val="24"/>
          <w:lang w:eastAsia="cs-CZ"/>
        </w:rPr>
      </w:pPr>
      <w:r w:rsidRPr="00DE6083">
        <w:rPr>
          <w:sz w:val="24"/>
          <w:szCs w:val="24"/>
          <w:lang w:eastAsia="cs-CZ"/>
        </w:rPr>
        <w:t>- na ktorom boli urobené práce</w:t>
      </w:r>
      <w:r w:rsidR="006465FA">
        <w:rPr>
          <w:sz w:val="24"/>
          <w:szCs w:val="24"/>
          <w:lang w:eastAsia="cs-CZ"/>
        </w:rPr>
        <w:t xml:space="preserve"> s</w:t>
      </w:r>
      <w:r w:rsidRPr="00DE6083">
        <w:rPr>
          <w:sz w:val="24"/>
          <w:szCs w:val="24"/>
          <w:lang w:eastAsia="cs-CZ"/>
        </w:rPr>
        <w:t xml:space="preserve"> </w:t>
      </w:r>
      <w:r w:rsidR="006465FA">
        <w:rPr>
          <w:sz w:val="24"/>
          <w:szCs w:val="24"/>
          <w:lang w:eastAsia="cs-CZ"/>
        </w:rPr>
        <w:t>nárokom</w:t>
      </w:r>
      <w:r w:rsidRPr="00DE6083">
        <w:rPr>
          <w:sz w:val="24"/>
          <w:szCs w:val="24"/>
          <w:lang w:eastAsia="cs-CZ"/>
        </w:rPr>
        <w:t xml:space="preserve"> na odpočet a spôsobili vloženie "súčastí tovaru",</w:t>
      </w:r>
    </w:p>
    <w:p w14:paraId="57AAFDB1" w14:textId="0092C3E8" w:rsidR="00DE6083" w:rsidRPr="00DE6083" w:rsidRDefault="00DE6083" w:rsidP="00DE6083">
      <w:pPr>
        <w:pStyle w:val="Normlnywebov"/>
        <w:spacing w:before="0" w:after="0"/>
        <w:ind w:left="896" w:right="-113"/>
        <w:jc w:val="both"/>
        <w:rPr>
          <w:sz w:val="24"/>
          <w:szCs w:val="24"/>
          <w:lang w:eastAsia="cs-CZ"/>
        </w:rPr>
      </w:pPr>
      <w:r>
        <w:rPr>
          <w:sz w:val="24"/>
          <w:szCs w:val="24"/>
          <w:lang w:eastAsia="cs-CZ"/>
        </w:rPr>
        <w:t>d</w:t>
      </w:r>
      <w:r w:rsidR="006465FA">
        <w:rPr>
          <w:sz w:val="24"/>
          <w:szCs w:val="24"/>
          <w:lang w:eastAsia="cs-CZ"/>
        </w:rPr>
        <w:t>aňový základ podľa článku 11 A </w:t>
      </w:r>
      <w:r w:rsidRPr="00DE6083">
        <w:rPr>
          <w:sz w:val="24"/>
          <w:szCs w:val="24"/>
          <w:lang w:eastAsia="cs-CZ"/>
        </w:rPr>
        <w:t>ods</w:t>
      </w:r>
      <w:r w:rsidR="006465FA">
        <w:rPr>
          <w:sz w:val="24"/>
          <w:szCs w:val="24"/>
          <w:lang w:eastAsia="cs-CZ"/>
        </w:rPr>
        <w:t>.</w:t>
      </w:r>
      <w:r w:rsidRPr="00DE6083">
        <w:rPr>
          <w:sz w:val="24"/>
          <w:szCs w:val="24"/>
          <w:lang w:eastAsia="cs-CZ"/>
        </w:rPr>
        <w:t xml:space="preserve"> 1 </w:t>
      </w:r>
      <w:r w:rsidR="006465FA">
        <w:rPr>
          <w:sz w:val="24"/>
          <w:szCs w:val="24"/>
          <w:lang w:eastAsia="cs-CZ"/>
        </w:rPr>
        <w:t>písm.</w:t>
      </w:r>
      <w:r w:rsidRPr="00DE6083">
        <w:rPr>
          <w:sz w:val="24"/>
          <w:szCs w:val="24"/>
          <w:lang w:eastAsia="cs-CZ"/>
        </w:rPr>
        <w:t xml:space="preserve"> b) šiestej smernice 77/388 musí byť určený s odvolaním sa na cenu v momente </w:t>
      </w:r>
      <w:r w:rsidR="002E2C98">
        <w:rPr>
          <w:sz w:val="24"/>
          <w:szCs w:val="24"/>
          <w:lang w:eastAsia="cs-CZ"/>
        </w:rPr>
        <w:t>alokácie</w:t>
      </w:r>
      <w:r w:rsidRPr="00DE6083">
        <w:rPr>
          <w:sz w:val="24"/>
          <w:szCs w:val="24"/>
          <w:lang w:eastAsia="cs-CZ"/>
        </w:rPr>
        <w:t xml:space="preserve">, tovarov vložených do vozidla, ktoré predstavujú súčasti </w:t>
      </w:r>
      <w:r w:rsidR="002E2C98">
        <w:rPr>
          <w:sz w:val="24"/>
          <w:szCs w:val="24"/>
          <w:lang w:eastAsia="cs-CZ"/>
        </w:rPr>
        <w:t>alokovaného</w:t>
      </w:r>
      <w:r w:rsidR="006465FA">
        <w:rPr>
          <w:sz w:val="24"/>
          <w:szCs w:val="24"/>
          <w:lang w:eastAsia="cs-CZ"/>
        </w:rPr>
        <w:t xml:space="preserve"> tovaru podľa článku 5</w:t>
      </w:r>
      <w:r w:rsidRPr="00DE6083">
        <w:rPr>
          <w:sz w:val="24"/>
          <w:szCs w:val="24"/>
          <w:lang w:eastAsia="cs-CZ"/>
        </w:rPr>
        <w:t xml:space="preserve"> ods</w:t>
      </w:r>
      <w:r w:rsidR="006465FA">
        <w:rPr>
          <w:sz w:val="24"/>
          <w:szCs w:val="24"/>
          <w:lang w:eastAsia="cs-CZ"/>
        </w:rPr>
        <w:t>.</w:t>
      </w:r>
      <w:r w:rsidRPr="00DE6083">
        <w:rPr>
          <w:sz w:val="24"/>
          <w:szCs w:val="24"/>
          <w:lang w:eastAsia="cs-CZ"/>
        </w:rPr>
        <w:t xml:space="preserve"> 6 tej istej smernice. </w:t>
      </w:r>
    </w:p>
    <w:p w14:paraId="65DD1053" w14:textId="1220B04E" w:rsidR="002A42A2" w:rsidRPr="00DE6083" w:rsidRDefault="00F10917" w:rsidP="002E2C98">
      <w:pPr>
        <w:pStyle w:val="Normlnywebov"/>
        <w:spacing w:before="0" w:after="0"/>
        <w:ind w:left="896" w:right="-113"/>
        <w:jc w:val="both"/>
        <w:rPr>
          <w:sz w:val="24"/>
          <w:szCs w:val="24"/>
          <w:lang w:eastAsia="cs-CZ"/>
        </w:rPr>
      </w:pPr>
      <w:r>
        <w:rPr>
          <w:sz w:val="24"/>
          <w:szCs w:val="24"/>
          <w:lang w:eastAsia="cs-CZ"/>
        </w:rPr>
        <w:t>3.</w:t>
      </w:r>
      <w:r w:rsidR="00DE6083" w:rsidRPr="00DE6083">
        <w:rPr>
          <w:sz w:val="24"/>
          <w:szCs w:val="24"/>
          <w:lang w:eastAsia="cs-CZ"/>
        </w:rPr>
        <w:t xml:space="preserve"> V prípade, kedy práce vykonané neskôr po kúpe tovaru (v tomto prípade</w:t>
      </w:r>
      <w:r w:rsidR="006465FA">
        <w:rPr>
          <w:sz w:val="24"/>
          <w:szCs w:val="24"/>
          <w:lang w:eastAsia="cs-CZ"/>
        </w:rPr>
        <w:t xml:space="preserve"> motorového</w:t>
      </w:r>
      <w:r w:rsidR="00DE6083" w:rsidRPr="00DE6083">
        <w:rPr>
          <w:sz w:val="24"/>
          <w:szCs w:val="24"/>
          <w:lang w:eastAsia="cs-CZ"/>
        </w:rPr>
        <w:t xml:space="preserve"> vozidla) a</w:t>
      </w:r>
      <w:r w:rsidR="006465FA">
        <w:rPr>
          <w:sz w:val="24"/>
          <w:szCs w:val="24"/>
          <w:lang w:eastAsia="cs-CZ"/>
        </w:rPr>
        <w:t> pri ktorých</w:t>
      </w:r>
      <w:r w:rsidR="00DE6083" w:rsidRPr="00DE6083">
        <w:rPr>
          <w:sz w:val="24"/>
          <w:szCs w:val="24"/>
          <w:lang w:eastAsia="cs-CZ"/>
        </w:rPr>
        <w:t xml:space="preserve"> </w:t>
      </w:r>
      <w:r w:rsidR="006465FA">
        <w:rPr>
          <w:sz w:val="24"/>
          <w:szCs w:val="24"/>
          <w:lang w:eastAsia="cs-CZ"/>
        </w:rPr>
        <w:t>vstupná DPH bola</w:t>
      </w:r>
      <w:r w:rsidR="00DE6083" w:rsidRPr="00DE6083">
        <w:rPr>
          <w:sz w:val="24"/>
          <w:szCs w:val="24"/>
          <w:lang w:eastAsia="cs-CZ"/>
        </w:rPr>
        <w:t xml:space="preserve"> odpoč</w:t>
      </w:r>
      <w:r w:rsidR="006465FA">
        <w:rPr>
          <w:sz w:val="24"/>
          <w:szCs w:val="24"/>
          <w:lang w:eastAsia="cs-CZ"/>
        </w:rPr>
        <w:t>ítaná</w:t>
      </w:r>
      <w:r w:rsidR="002E2C98">
        <w:rPr>
          <w:sz w:val="24"/>
          <w:szCs w:val="24"/>
          <w:lang w:eastAsia="cs-CZ"/>
        </w:rPr>
        <w:t>,</w:t>
      </w:r>
      <w:r w:rsidR="00DE6083" w:rsidRPr="00DE6083">
        <w:rPr>
          <w:sz w:val="24"/>
          <w:szCs w:val="24"/>
          <w:lang w:eastAsia="cs-CZ"/>
        </w:rPr>
        <w:t xml:space="preserve"> nespôsobujú podliehanie dani z pridanej hodnoty uplatňovaním článku 5 ods</w:t>
      </w:r>
      <w:r w:rsidR="002E2C98">
        <w:rPr>
          <w:sz w:val="24"/>
          <w:szCs w:val="24"/>
          <w:lang w:eastAsia="cs-CZ"/>
        </w:rPr>
        <w:t>.</w:t>
      </w:r>
      <w:r w:rsidR="00DE6083" w:rsidRPr="00DE6083">
        <w:rPr>
          <w:sz w:val="24"/>
          <w:szCs w:val="24"/>
          <w:lang w:eastAsia="cs-CZ"/>
        </w:rPr>
        <w:t xml:space="preserve"> 6 šiestej smernice 77/38</w:t>
      </w:r>
      <w:r w:rsidR="002E2C98">
        <w:rPr>
          <w:sz w:val="24"/>
          <w:szCs w:val="24"/>
          <w:lang w:eastAsia="cs-CZ"/>
        </w:rPr>
        <w:t>8 počas aplikácii vozidla, musí</w:t>
      </w:r>
      <w:r w:rsidR="00DE6083" w:rsidRPr="00DE6083">
        <w:rPr>
          <w:sz w:val="24"/>
          <w:szCs w:val="24"/>
          <w:lang w:eastAsia="cs-CZ"/>
        </w:rPr>
        <w:t xml:space="preserve"> byť </w:t>
      </w:r>
      <w:r w:rsidR="002E2C98">
        <w:rPr>
          <w:sz w:val="24"/>
          <w:szCs w:val="24"/>
          <w:lang w:eastAsia="cs-CZ"/>
        </w:rPr>
        <w:t>DPH odpočítaná v súvislosti s vykonanou</w:t>
      </w:r>
      <w:r w:rsidR="00DE6083" w:rsidRPr="00DE6083">
        <w:rPr>
          <w:sz w:val="24"/>
          <w:szCs w:val="24"/>
          <w:lang w:eastAsia="cs-CZ"/>
        </w:rPr>
        <w:t xml:space="preserve"> prác</w:t>
      </w:r>
      <w:r w:rsidR="002E2C98">
        <w:rPr>
          <w:sz w:val="24"/>
          <w:szCs w:val="24"/>
          <w:lang w:eastAsia="cs-CZ"/>
        </w:rPr>
        <w:t>ou</w:t>
      </w:r>
      <w:r w:rsidR="00DE6083" w:rsidRPr="00DE6083">
        <w:rPr>
          <w:sz w:val="24"/>
          <w:szCs w:val="24"/>
          <w:lang w:eastAsia="cs-CZ"/>
        </w:rPr>
        <w:t xml:space="preserve"> predmetom </w:t>
      </w:r>
      <w:r w:rsidR="002E2C98">
        <w:rPr>
          <w:sz w:val="24"/>
          <w:szCs w:val="24"/>
          <w:lang w:eastAsia="cs-CZ"/>
        </w:rPr>
        <w:t>úpravy podľa článku 20</w:t>
      </w:r>
      <w:r w:rsidR="00DE6083" w:rsidRPr="00DE6083">
        <w:rPr>
          <w:sz w:val="24"/>
          <w:szCs w:val="24"/>
          <w:lang w:eastAsia="cs-CZ"/>
        </w:rPr>
        <w:t xml:space="preserve"> ods</w:t>
      </w:r>
      <w:r w:rsidR="002E2C98">
        <w:rPr>
          <w:sz w:val="24"/>
          <w:szCs w:val="24"/>
          <w:lang w:eastAsia="cs-CZ"/>
        </w:rPr>
        <w:t>.</w:t>
      </w:r>
      <w:r w:rsidR="00DE6083" w:rsidRPr="00DE6083">
        <w:rPr>
          <w:sz w:val="24"/>
          <w:szCs w:val="24"/>
          <w:lang w:eastAsia="cs-CZ"/>
        </w:rPr>
        <w:t xml:space="preserve"> 1</w:t>
      </w:r>
      <w:r w:rsidR="002E2C98">
        <w:rPr>
          <w:sz w:val="24"/>
          <w:szCs w:val="24"/>
          <w:lang w:eastAsia="cs-CZ"/>
        </w:rPr>
        <w:t xml:space="preserve"> </w:t>
      </w:r>
      <w:r w:rsidR="00DE6083" w:rsidRPr="00DE6083">
        <w:rPr>
          <w:sz w:val="24"/>
          <w:szCs w:val="24"/>
          <w:lang w:eastAsia="cs-CZ"/>
        </w:rPr>
        <w:t>p</w:t>
      </w:r>
      <w:r w:rsidR="002E2C98">
        <w:rPr>
          <w:sz w:val="24"/>
          <w:szCs w:val="24"/>
          <w:lang w:eastAsia="cs-CZ"/>
        </w:rPr>
        <w:t>ísm.</w:t>
      </w:r>
      <w:r w:rsidR="00DE6083" w:rsidRPr="00DE6083">
        <w:rPr>
          <w:sz w:val="24"/>
          <w:szCs w:val="24"/>
          <w:lang w:eastAsia="cs-CZ"/>
        </w:rPr>
        <w:t xml:space="preserve"> b) tejto smernice</w:t>
      </w:r>
      <w:r w:rsidR="00DE6083">
        <w:rPr>
          <w:sz w:val="24"/>
          <w:szCs w:val="24"/>
          <w:lang w:eastAsia="cs-CZ"/>
        </w:rPr>
        <w:t>,</w:t>
      </w:r>
      <w:r w:rsidR="00DE6083" w:rsidRPr="00DE6083">
        <w:rPr>
          <w:sz w:val="24"/>
          <w:szCs w:val="24"/>
          <w:lang w:eastAsia="cs-CZ"/>
        </w:rPr>
        <w:t xml:space="preserve"> ak hodnota spomínaných prác nebola úplne spotrebovaná v rámci profesionálnej činnosti osoby podliehajúcej dani pred</w:t>
      </w:r>
      <w:r w:rsidR="002E2C98">
        <w:rPr>
          <w:sz w:val="24"/>
          <w:szCs w:val="24"/>
          <w:lang w:eastAsia="cs-CZ"/>
        </w:rPr>
        <w:t xml:space="preserve"> tým ako alokovala</w:t>
      </w:r>
      <w:r w:rsidR="00DE6083" w:rsidRPr="00DE6083">
        <w:rPr>
          <w:sz w:val="24"/>
          <w:szCs w:val="24"/>
          <w:lang w:eastAsia="cs-CZ"/>
        </w:rPr>
        <w:t xml:space="preserve"> </w:t>
      </w:r>
      <w:r w:rsidR="002E2C98">
        <w:rPr>
          <w:sz w:val="24"/>
          <w:szCs w:val="24"/>
          <w:lang w:eastAsia="cs-CZ"/>
        </w:rPr>
        <w:t>vozidlo</w:t>
      </w:r>
      <w:r w:rsidR="00DE6083" w:rsidRPr="00DE6083">
        <w:rPr>
          <w:sz w:val="24"/>
          <w:szCs w:val="24"/>
          <w:lang w:eastAsia="cs-CZ"/>
        </w:rPr>
        <w:t xml:space="preserve"> do súkromného majetku.</w:t>
      </w:r>
      <w:r w:rsidR="002A42A2" w:rsidRPr="00DE6083">
        <w:rPr>
          <w:sz w:val="24"/>
          <w:szCs w:val="24"/>
          <w:lang w:eastAsia="cs-CZ"/>
        </w:rPr>
        <w:t>“.</w:t>
      </w:r>
    </w:p>
    <w:p w14:paraId="5ED3CD0B" w14:textId="32CE4769" w:rsidR="005B6487" w:rsidRDefault="005B6487" w:rsidP="002A42A2">
      <w:pPr>
        <w:ind w:left="851" w:firstLine="45"/>
        <w:jc w:val="both"/>
        <w:rPr>
          <w:rFonts w:ascii="Times New Roman" w:hAnsi="Times New Roman" w:cs="Times New Roman"/>
        </w:rPr>
      </w:pPr>
    </w:p>
    <w:p w14:paraId="2F4C0179" w14:textId="5BFB0446" w:rsidR="005B6487" w:rsidRPr="00EF09FE" w:rsidRDefault="006F2CA7" w:rsidP="005B6487">
      <w:pPr>
        <w:pStyle w:val="Normlnywebov"/>
        <w:numPr>
          <w:ilvl w:val="0"/>
          <w:numId w:val="13"/>
        </w:numPr>
        <w:spacing w:before="0" w:after="0"/>
        <w:ind w:left="896" w:right="-113" w:hanging="357"/>
        <w:jc w:val="both"/>
        <w:rPr>
          <w:sz w:val="24"/>
          <w:szCs w:val="24"/>
          <w:lang w:eastAsia="cs-CZ"/>
        </w:rPr>
      </w:pPr>
      <w:r w:rsidRPr="00EF09FE">
        <w:rPr>
          <w:sz w:val="24"/>
          <w:szCs w:val="24"/>
          <w:lang w:eastAsia="cs-CZ"/>
        </w:rPr>
        <w:t>r</w:t>
      </w:r>
      <w:r w:rsidR="005B6487" w:rsidRPr="00EF09FE">
        <w:rPr>
          <w:sz w:val="24"/>
          <w:szCs w:val="24"/>
          <w:lang w:eastAsia="cs-CZ"/>
        </w:rPr>
        <w:t>ozsudok Súdneho dvora vo veci C-791/18 Stichting Schoonzicht</w:t>
      </w:r>
      <w:r w:rsidR="00185427" w:rsidRPr="00EF09FE">
        <w:rPr>
          <w:sz w:val="24"/>
          <w:szCs w:val="24"/>
          <w:lang w:eastAsia="cs-CZ"/>
        </w:rPr>
        <w:t xml:space="preserve"> </w:t>
      </w:r>
      <w:r w:rsidR="00185427" w:rsidRPr="00EF09FE">
        <w:rPr>
          <w:bCs/>
          <w:sz w:val="24"/>
          <w:szCs w:val="24"/>
        </w:rPr>
        <w:t>proti</w:t>
      </w:r>
      <w:r w:rsidR="00EA68D3">
        <w:rPr>
          <w:bCs/>
          <w:sz w:val="24"/>
          <w:szCs w:val="24"/>
        </w:rPr>
        <w:t xml:space="preserve"> Staatssecretaris van Financiën</w:t>
      </w:r>
    </w:p>
    <w:p w14:paraId="2ED61413" w14:textId="77777777" w:rsidR="009C70BE" w:rsidRDefault="005B6487" w:rsidP="009C70BE">
      <w:pPr>
        <w:pStyle w:val="Normlnywebov"/>
        <w:spacing w:before="0" w:after="0"/>
        <w:ind w:left="187" w:right="-113" w:firstLine="709"/>
        <w:jc w:val="both"/>
        <w:rPr>
          <w:sz w:val="24"/>
          <w:szCs w:val="24"/>
          <w:lang w:eastAsia="cs-CZ"/>
        </w:rPr>
      </w:pPr>
      <w:r w:rsidRPr="00021CF0">
        <w:rPr>
          <w:sz w:val="24"/>
          <w:szCs w:val="24"/>
          <w:lang w:eastAsia="cs-CZ"/>
        </w:rPr>
        <w:t>Výrok rozsudku:</w:t>
      </w:r>
    </w:p>
    <w:p w14:paraId="70FE558C" w14:textId="15CB2EFB" w:rsidR="009C70BE" w:rsidRPr="00476EFA" w:rsidRDefault="009C70BE" w:rsidP="009C70BE">
      <w:pPr>
        <w:pStyle w:val="Normlnywebov"/>
        <w:spacing w:before="0" w:after="0"/>
        <w:ind w:left="851" w:right="-113"/>
        <w:jc w:val="both"/>
        <w:rPr>
          <w:sz w:val="24"/>
          <w:szCs w:val="24"/>
          <w:lang w:eastAsia="cs-CZ"/>
        </w:rPr>
      </w:pPr>
      <w:r w:rsidRPr="009C70BE">
        <w:rPr>
          <w:lang w:eastAsia="cs-CZ"/>
        </w:rPr>
        <w:t>„</w:t>
      </w:r>
      <w:r w:rsidRPr="009C70BE">
        <w:rPr>
          <w:sz w:val="24"/>
          <w:szCs w:val="24"/>
          <w:lang w:eastAsia="cs-CZ"/>
        </w:rPr>
        <w:t>Články 184 až 187 smernice Rady 2006/112/ES z 28. novembra 2006 o spoločnom systéme dane z pridanej hodnoty sa majú vykladať v tom zmysle, že nebránia vnútroštátnej právnej úprave, ktorá obsahuje režim úpravy uplatňujúci sa na investičný majetok, ktorý stanovuje rozloženie úpravy na niekoľko rokov a podľa ktorého počas roka, keď bol prvýkrát použitý dotknutý majetok, zodpovedajúceho tiež prvému roku úpravy, je celé pôvodne uplatnené odpočítanie dane z tohto majetku predmetom jednorazovej úpravy, ak sa pri tomto skutočnom používaní zistí, že toto odpočítanie nezodpovedá odpočítaniu, ktoré bola zdaniteľná osoba oprávnená uplatniť na základe skutočného použitia uvedeného majetku.</w:t>
      </w:r>
      <w:r w:rsidRPr="00DE6083">
        <w:rPr>
          <w:sz w:val="24"/>
          <w:szCs w:val="24"/>
          <w:lang w:eastAsia="cs-CZ"/>
        </w:rPr>
        <w:t>“.</w:t>
      </w:r>
    </w:p>
    <w:p w14:paraId="49CDBA0D" w14:textId="77777777" w:rsidR="009C70BE" w:rsidRPr="005B6487" w:rsidRDefault="009C70BE" w:rsidP="002A42A2">
      <w:pPr>
        <w:ind w:left="851" w:firstLine="45"/>
        <w:jc w:val="both"/>
        <w:rPr>
          <w:rFonts w:ascii="Times New Roman" w:hAnsi="Times New Roman" w:cs="Times New Roman"/>
          <w:lang w:eastAsia="cs-CZ"/>
        </w:rPr>
      </w:pPr>
    </w:p>
    <w:p w14:paraId="28F52A68" w14:textId="2E9FB104" w:rsidR="005B6487" w:rsidRPr="00EF09FE" w:rsidRDefault="00185427" w:rsidP="005B6487">
      <w:pPr>
        <w:pStyle w:val="Normlnywebov"/>
        <w:numPr>
          <w:ilvl w:val="0"/>
          <w:numId w:val="13"/>
        </w:numPr>
        <w:spacing w:before="0" w:after="0"/>
        <w:ind w:left="896" w:right="-113" w:hanging="357"/>
        <w:jc w:val="both"/>
        <w:rPr>
          <w:sz w:val="24"/>
          <w:szCs w:val="24"/>
          <w:lang w:eastAsia="cs-CZ"/>
        </w:rPr>
      </w:pPr>
      <w:r w:rsidRPr="00EF09FE">
        <w:rPr>
          <w:sz w:val="24"/>
          <w:szCs w:val="24"/>
          <w:lang w:eastAsia="cs-CZ"/>
        </w:rPr>
        <w:t>r</w:t>
      </w:r>
      <w:r w:rsidR="005B6487" w:rsidRPr="00EF09FE">
        <w:rPr>
          <w:sz w:val="24"/>
          <w:szCs w:val="24"/>
          <w:lang w:eastAsia="cs-CZ"/>
        </w:rPr>
        <w:t>ozsudok Súdneho dvora vo veci C-207/23 Finanzamt X</w:t>
      </w:r>
      <w:r w:rsidRPr="00EF09FE">
        <w:rPr>
          <w:sz w:val="24"/>
          <w:szCs w:val="24"/>
          <w:lang w:eastAsia="cs-CZ"/>
        </w:rPr>
        <w:t xml:space="preserve"> </w:t>
      </w:r>
      <w:r w:rsidR="00EA68D3">
        <w:rPr>
          <w:sz w:val="24"/>
          <w:szCs w:val="24"/>
          <w:lang w:eastAsia="cs-CZ"/>
        </w:rPr>
        <w:t>proti Y KG</w:t>
      </w:r>
    </w:p>
    <w:p w14:paraId="75191F8E" w14:textId="77777777" w:rsidR="009C70BE" w:rsidRDefault="005B6487" w:rsidP="009C70BE">
      <w:pPr>
        <w:pStyle w:val="Normlnywebov"/>
        <w:spacing w:before="0" w:after="0"/>
        <w:ind w:left="187" w:right="-113" w:firstLine="709"/>
        <w:jc w:val="both"/>
        <w:rPr>
          <w:sz w:val="24"/>
          <w:szCs w:val="24"/>
        </w:rPr>
      </w:pPr>
      <w:r w:rsidRPr="00021CF0">
        <w:rPr>
          <w:sz w:val="24"/>
          <w:szCs w:val="24"/>
        </w:rPr>
        <w:t>Výrok rozsudku:</w:t>
      </w:r>
    </w:p>
    <w:p w14:paraId="58F0565B" w14:textId="63C881DA" w:rsidR="009C70BE" w:rsidRPr="009C70BE" w:rsidRDefault="009C70BE" w:rsidP="009C70BE">
      <w:pPr>
        <w:pStyle w:val="Normlnywebov"/>
        <w:spacing w:before="0" w:after="0"/>
        <w:ind w:left="851" w:right="-113"/>
        <w:jc w:val="both"/>
        <w:rPr>
          <w:sz w:val="24"/>
          <w:szCs w:val="24"/>
          <w:lang w:eastAsia="cs-CZ"/>
        </w:rPr>
      </w:pPr>
      <w:r>
        <w:rPr>
          <w:sz w:val="24"/>
          <w:szCs w:val="24"/>
          <w:lang w:eastAsia="cs-CZ"/>
        </w:rPr>
        <w:t xml:space="preserve">„1. </w:t>
      </w:r>
      <w:r w:rsidRPr="009C70BE">
        <w:rPr>
          <w:sz w:val="24"/>
          <w:szCs w:val="24"/>
          <w:lang w:eastAsia="cs-CZ"/>
        </w:rPr>
        <w:t>Článok 16 prvý odsek smernice Rady 2006/112/ES z 28. novembra 2006 o spoločnom systéme dane z pridanej hodnoty</w:t>
      </w:r>
      <w:r>
        <w:rPr>
          <w:sz w:val="24"/>
          <w:szCs w:val="24"/>
          <w:lang w:eastAsia="cs-CZ"/>
        </w:rPr>
        <w:t xml:space="preserve"> </w:t>
      </w:r>
      <w:r w:rsidRPr="009C70BE">
        <w:rPr>
          <w:sz w:val="24"/>
          <w:szCs w:val="24"/>
          <w:lang w:eastAsia="cs-CZ"/>
        </w:rPr>
        <w:t>sa má vykladať v tom zmysle, že:</w:t>
      </w:r>
    </w:p>
    <w:p w14:paraId="172DC16B" w14:textId="7D6D1E9F" w:rsidR="009C70BE" w:rsidRDefault="009C70BE" w:rsidP="009C70BE">
      <w:pPr>
        <w:ind w:left="851"/>
        <w:jc w:val="both"/>
        <w:rPr>
          <w:rFonts w:ascii="Times New Roman" w:hAnsi="Times New Roman" w:cs="Times New Roman"/>
          <w:lang w:eastAsia="cs-CZ"/>
        </w:rPr>
      </w:pPr>
      <w:r w:rsidRPr="009C70BE">
        <w:rPr>
          <w:rFonts w:ascii="Times New Roman" w:hAnsi="Times New Roman" w:cs="Times New Roman"/>
          <w:lang w:eastAsia="cs-CZ"/>
        </w:rPr>
        <w:t>bezodplatné poskytnutie tepla vyrobeného touto zdaniteľnou osobou iným zdaniteľným osobám na účely ich ekonomických činností predstavuje použitie zdaniteľnou osobou tovaru, ktorý je súčasťou majetku jej podniku, ktorý bezodplatne poskytuje v zmysle tohto ustanovenia podobne ako dodanie tovaru za protihodnotu, pričom skutočnosť, že tieto iné zdaniteľné osoby používajú toto teplo na plnenia, ktoré im zakladajú právo na odpočítanie dane z pridanej hodnoty, nemá v tejto súvislosti vplyv.</w:t>
      </w:r>
    </w:p>
    <w:p w14:paraId="335CB3D9" w14:textId="5E53017D" w:rsidR="009C70BE" w:rsidRDefault="009C70BE" w:rsidP="009C70BE">
      <w:pPr>
        <w:ind w:left="851"/>
        <w:jc w:val="both"/>
        <w:rPr>
          <w:rFonts w:ascii="Times New Roman" w:hAnsi="Times New Roman" w:cs="Times New Roman"/>
          <w:lang w:eastAsia="cs-CZ"/>
        </w:rPr>
      </w:pPr>
      <w:r>
        <w:rPr>
          <w:rFonts w:ascii="Times New Roman" w:hAnsi="Times New Roman" w:cs="Times New Roman"/>
          <w:lang w:eastAsia="cs-CZ"/>
        </w:rPr>
        <w:t xml:space="preserve">2. </w:t>
      </w:r>
      <w:r w:rsidRPr="009C70BE">
        <w:rPr>
          <w:rFonts w:ascii="Times New Roman" w:hAnsi="Times New Roman" w:cs="Times New Roman"/>
          <w:lang w:eastAsia="cs-CZ"/>
        </w:rPr>
        <w:t>Článok 74 smernice 2006/112</w:t>
      </w:r>
      <w:r>
        <w:rPr>
          <w:rFonts w:ascii="Times New Roman" w:hAnsi="Times New Roman" w:cs="Times New Roman"/>
          <w:lang w:eastAsia="cs-CZ"/>
        </w:rPr>
        <w:t xml:space="preserve"> </w:t>
      </w:r>
      <w:r w:rsidRPr="009C70BE">
        <w:rPr>
          <w:rFonts w:ascii="Times New Roman" w:hAnsi="Times New Roman" w:cs="Times New Roman"/>
          <w:lang w:eastAsia="cs-CZ"/>
        </w:rPr>
        <w:t>sa má vykladať v tom zmysle, že:</w:t>
      </w:r>
    </w:p>
    <w:p w14:paraId="7EE11538" w14:textId="3F161BB4" w:rsidR="00E522E4" w:rsidRDefault="009C70BE" w:rsidP="009C70BE">
      <w:pPr>
        <w:ind w:left="851"/>
        <w:jc w:val="both"/>
        <w:rPr>
          <w:rFonts w:ascii="Times New Roman" w:hAnsi="Times New Roman" w:cs="Times New Roman"/>
          <w:lang w:eastAsia="cs-CZ"/>
        </w:rPr>
      </w:pPr>
      <w:r w:rsidRPr="009C70BE">
        <w:rPr>
          <w:rFonts w:ascii="Times New Roman" w:hAnsi="Times New Roman" w:cs="Times New Roman"/>
          <w:lang w:eastAsia="cs-CZ"/>
        </w:rPr>
        <w:t>cena predstavujúca náklady v zmysle tohto ustanovenia zahŕňa nielen priame produkčné alebo výrobné náklady, ale aj nepriamo pripočítateľné náklady, akými sú finančné výdavky, bez ohľadu na to, či sa na tieto náklady vzťahuje alebo nevzťahuje daň z pridanej hodnoty zaplatená na vstupe.</w:t>
      </w:r>
      <w:r>
        <w:rPr>
          <w:rFonts w:ascii="Times New Roman" w:hAnsi="Times New Roman" w:cs="Times New Roman"/>
          <w:lang w:eastAsia="cs-CZ"/>
        </w:rPr>
        <w:t>“.</w:t>
      </w:r>
    </w:p>
    <w:p w14:paraId="4E31AE4B" w14:textId="77777777" w:rsidR="009C70BE" w:rsidRPr="009C70BE" w:rsidRDefault="009C70BE" w:rsidP="009C70BE">
      <w:pPr>
        <w:ind w:left="851"/>
        <w:jc w:val="both"/>
        <w:rPr>
          <w:rFonts w:ascii="Times New Roman" w:hAnsi="Times New Roman" w:cs="Times New Roman"/>
          <w:lang w:eastAsia="cs-CZ"/>
        </w:rPr>
      </w:pPr>
    </w:p>
    <w:p w14:paraId="4D096C08" w14:textId="712ACB09" w:rsidR="00ED6F91" w:rsidRDefault="00ED6F91" w:rsidP="00B648DC">
      <w:pPr>
        <w:numPr>
          <w:ilvl w:val="0"/>
          <w:numId w:val="1"/>
        </w:numPr>
        <w:tabs>
          <w:tab w:val="left" w:pos="360"/>
        </w:tabs>
        <w:jc w:val="both"/>
        <w:rPr>
          <w:rFonts w:ascii="Times New Roman" w:hAnsi="Times New Roman" w:cs="Times New Roman"/>
          <w:b/>
          <w:bCs/>
        </w:rPr>
      </w:pPr>
      <w:r w:rsidRPr="00181470">
        <w:rPr>
          <w:rFonts w:ascii="Times New Roman" w:hAnsi="Times New Roman" w:cs="Times New Roman"/>
          <w:b/>
          <w:bCs/>
        </w:rPr>
        <w:t>Záväzky Slovenskej republiky vo vzťahu k Európskej únii:</w:t>
      </w:r>
    </w:p>
    <w:p w14:paraId="11BC15ED" w14:textId="77777777" w:rsidR="00362B8D" w:rsidRPr="00181470" w:rsidRDefault="00362B8D" w:rsidP="00362B8D">
      <w:pPr>
        <w:tabs>
          <w:tab w:val="left" w:pos="360"/>
        </w:tabs>
        <w:ind w:left="425"/>
        <w:jc w:val="both"/>
        <w:rPr>
          <w:rFonts w:ascii="Times New Roman" w:hAnsi="Times New Roman" w:cs="Times New Roman"/>
          <w:b/>
          <w:bCs/>
        </w:rPr>
      </w:pPr>
    </w:p>
    <w:p w14:paraId="05F87158" w14:textId="07FD1AD5" w:rsidR="00E53538" w:rsidRPr="00EA68D3" w:rsidRDefault="00532B42" w:rsidP="00513148">
      <w:pPr>
        <w:pStyle w:val="Zkladntext"/>
        <w:numPr>
          <w:ilvl w:val="0"/>
          <w:numId w:val="5"/>
        </w:numPr>
        <w:tabs>
          <w:tab w:val="left" w:pos="360"/>
          <w:tab w:val="left" w:pos="540"/>
        </w:tabs>
        <w:spacing w:after="0"/>
        <w:jc w:val="both"/>
      </w:pPr>
      <w:r w:rsidRPr="006E74BA">
        <w:t>L</w:t>
      </w:r>
      <w:r w:rsidR="00E53538">
        <w:t xml:space="preserve">ehota na prebratie trinástej </w:t>
      </w:r>
      <w:r w:rsidR="00E53538" w:rsidRPr="00EA68D3">
        <w:t xml:space="preserve">smernice 86/560/EHS bola stanovená </w:t>
      </w:r>
      <w:r w:rsidR="00F438AD" w:rsidRPr="00EA68D3">
        <w:t>dňom vstupu SR do EÚ, t. j. do 1.5.2004</w:t>
      </w:r>
      <w:r w:rsidR="005E4CDC" w:rsidRPr="00EA68D3">
        <w:t>.</w:t>
      </w:r>
    </w:p>
    <w:p w14:paraId="647980FE" w14:textId="6B118B41" w:rsidR="00532B42" w:rsidRDefault="00E53538" w:rsidP="00E53538">
      <w:pPr>
        <w:pStyle w:val="Zkladntext"/>
        <w:tabs>
          <w:tab w:val="left" w:pos="360"/>
          <w:tab w:val="left" w:pos="540"/>
        </w:tabs>
        <w:spacing w:after="0"/>
        <w:ind w:left="785"/>
        <w:jc w:val="both"/>
      </w:pPr>
      <w:r>
        <w:t>L</w:t>
      </w:r>
      <w:r w:rsidR="00532B42" w:rsidRPr="006E74BA">
        <w:t xml:space="preserve">ehota </w:t>
      </w:r>
      <w:r w:rsidR="00532B42" w:rsidRPr="00F75C2B">
        <w:t>na prebratie smernice 2006/112/ES bola stanovená do 1.1.2008.</w:t>
      </w:r>
    </w:p>
    <w:p w14:paraId="5C38D24B" w14:textId="316FB41C" w:rsidR="000A72EC" w:rsidRDefault="000A72EC" w:rsidP="000A72EC">
      <w:pPr>
        <w:pStyle w:val="Zkladntext"/>
        <w:tabs>
          <w:tab w:val="left" w:pos="360"/>
          <w:tab w:val="left" w:pos="540"/>
        </w:tabs>
        <w:spacing w:after="0"/>
        <w:ind w:left="785"/>
        <w:jc w:val="both"/>
      </w:pPr>
      <w:r>
        <w:t>L</w:t>
      </w:r>
      <w:r w:rsidRPr="006E74BA">
        <w:t xml:space="preserve">ehota </w:t>
      </w:r>
      <w:r w:rsidRPr="00F75C2B">
        <w:t xml:space="preserve">na prebratie </w:t>
      </w:r>
      <w:r>
        <w:t>smernice 2008/8</w:t>
      </w:r>
      <w:r w:rsidRPr="00EF09FE">
        <w:t xml:space="preserve">/ES </w:t>
      </w:r>
      <w:r w:rsidR="00461CA7">
        <w:t xml:space="preserve">(čl. 2 ods. 8) </w:t>
      </w:r>
      <w:r>
        <w:t>bola stanovená do 1.1.2010.</w:t>
      </w:r>
    </w:p>
    <w:p w14:paraId="041B522E" w14:textId="1E6D2533" w:rsidR="005E4CDC" w:rsidRDefault="005E4CDC" w:rsidP="00E53538">
      <w:pPr>
        <w:pStyle w:val="Zkladntext"/>
        <w:tabs>
          <w:tab w:val="left" w:pos="360"/>
          <w:tab w:val="left" w:pos="540"/>
        </w:tabs>
        <w:spacing w:after="0"/>
        <w:ind w:left="785"/>
        <w:jc w:val="both"/>
      </w:pPr>
      <w:r>
        <w:t>Lehota na prebratie smernice 2008/9/ES bola stanovená do 1.1.2010.</w:t>
      </w:r>
    </w:p>
    <w:p w14:paraId="5D117392" w14:textId="54B13B0F" w:rsidR="00145E52" w:rsidRPr="00EA68D3" w:rsidRDefault="00145E52" w:rsidP="00145E52">
      <w:pPr>
        <w:pStyle w:val="Zkladntext"/>
        <w:tabs>
          <w:tab w:val="left" w:pos="360"/>
          <w:tab w:val="left" w:pos="540"/>
        </w:tabs>
        <w:spacing w:after="0"/>
        <w:ind w:left="785"/>
        <w:jc w:val="both"/>
      </w:pPr>
      <w:r w:rsidRPr="00EA68D3">
        <w:t>Lehota na prebratie smernice 2008/117/ES bola stanovená do 1.1.2010.</w:t>
      </w:r>
    </w:p>
    <w:p w14:paraId="2E33A463" w14:textId="0A4248B3" w:rsidR="00EA68D3" w:rsidRDefault="00EA68D3" w:rsidP="00145E52">
      <w:pPr>
        <w:pStyle w:val="Zkladntext"/>
        <w:tabs>
          <w:tab w:val="left" w:pos="360"/>
          <w:tab w:val="left" w:pos="540"/>
        </w:tabs>
        <w:spacing w:after="0"/>
        <w:ind w:left="785"/>
        <w:jc w:val="both"/>
        <w:rPr>
          <w:bCs/>
          <w:shd w:val="clear" w:color="auto" w:fill="FFFFFF"/>
        </w:rPr>
      </w:pPr>
      <w:r w:rsidRPr="00EA68D3">
        <w:rPr>
          <w:bCs/>
          <w:shd w:val="clear" w:color="auto" w:fill="FFFFFF"/>
        </w:rPr>
        <w:t xml:space="preserve">Lehota na </w:t>
      </w:r>
      <w:r w:rsidRPr="00B5737E">
        <w:rPr>
          <w:bCs/>
          <w:shd w:val="clear" w:color="auto" w:fill="FFFFFF"/>
        </w:rPr>
        <w:t>prebratie smernice 2009/162/EÚ bola stanovená</w:t>
      </w:r>
      <w:r w:rsidRPr="00EA68D3">
        <w:rPr>
          <w:bCs/>
          <w:shd w:val="clear" w:color="auto" w:fill="FFFFFF"/>
        </w:rPr>
        <w:t xml:space="preserve"> do 1.1.2011.</w:t>
      </w:r>
    </w:p>
    <w:p w14:paraId="4D35CFC5" w14:textId="0D9DDE4E" w:rsidR="00815717" w:rsidRPr="00EA68D3" w:rsidRDefault="00815717" w:rsidP="00145E52">
      <w:pPr>
        <w:pStyle w:val="Zkladntext"/>
        <w:tabs>
          <w:tab w:val="left" w:pos="360"/>
          <w:tab w:val="left" w:pos="540"/>
        </w:tabs>
        <w:spacing w:after="0"/>
        <w:ind w:left="785"/>
        <w:jc w:val="both"/>
      </w:pPr>
      <w:r>
        <w:rPr>
          <w:bCs/>
          <w:shd w:val="clear" w:color="auto" w:fill="FFFFFF"/>
        </w:rPr>
        <w:t xml:space="preserve">Lehota na </w:t>
      </w:r>
      <w:r w:rsidRPr="00B5737E">
        <w:rPr>
          <w:bCs/>
          <w:shd w:val="clear" w:color="auto" w:fill="FFFFFF"/>
        </w:rPr>
        <w:t xml:space="preserve">prebratie </w:t>
      </w:r>
      <w:r w:rsidR="00223D15" w:rsidRPr="00B5737E">
        <w:rPr>
          <w:bCs/>
          <w:shd w:val="clear" w:color="auto" w:fill="FFFFFF"/>
        </w:rPr>
        <w:t xml:space="preserve">čl. 2 ods. 30 </w:t>
      </w:r>
      <w:r w:rsidRPr="00B5737E">
        <w:rPr>
          <w:bCs/>
          <w:shd w:val="clear" w:color="auto" w:fill="FFFFFF"/>
        </w:rPr>
        <w:t>smernice (EÚ)</w:t>
      </w:r>
      <w:r w:rsidRPr="00815717">
        <w:rPr>
          <w:bCs/>
          <w:shd w:val="clear" w:color="auto" w:fill="FFFFFF"/>
        </w:rPr>
        <w:t xml:space="preserve"> 2017/2455</w:t>
      </w:r>
      <w:r>
        <w:rPr>
          <w:bCs/>
          <w:shd w:val="clear" w:color="auto" w:fill="FFFFFF"/>
        </w:rPr>
        <w:t xml:space="preserve"> bola stanovená do </w:t>
      </w:r>
      <w:r w:rsidR="00C728EB">
        <w:rPr>
          <w:bCs/>
          <w:shd w:val="clear" w:color="auto" w:fill="FFFFFF"/>
        </w:rPr>
        <w:t>3</w:t>
      </w:r>
      <w:r w:rsidRPr="00C728EB">
        <w:rPr>
          <w:bCs/>
          <w:shd w:val="clear" w:color="auto" w:fill="FFFFFF"/>
        </w:rPr>
        <w:t>1.1</w:t>
      </w:r>
      <w:r w:rsidR="00C728EB" w:rsidRPr="00C728EB">
        <w:rPr>
          <w:bCs/>
          <w:shd w:val="clear" w:color="auto" w:fill="FFFFFF"/>
        </w:rPr>
        <w:t>2</w:t>
      </w:r>
      <w:r w:rsidRPr="00C728EB">
        <w:rPr>
          <w:bCs/>
          <w:shd w:val="clear" w:color="auto" w:fill="FFFFFF"/>
        </w:rPr>
        <w:t>.202</w:t>
      </w:r>
      <w:r w:rsidR="00223D15" w:rsidRPr="00C728EB">
        <w:rPr>
          <w:bCs/>
          <w:shd w:val="clear" w:color="auto" w:fill="FFFFFF"/>
        </w:rPr>
        <w:t>0 a lehota účinnosti ustanovení čl. 2 ods. 30 smernice (EÚ) 2017/2455 bola stanovená</w:t>
      </w:r>
      <w:r w:rsidR="00C728EB">
        <w:rPr>
          <w:bCs/>
          <w:shd w:val="clear" w:color="auto" w:fill="FFFFFF"/>
        </w:rPr>
        <w:t xml:space="preserve"> </w:t>
      </w:r>
      <w:r w:rsidR="00223D15">
        <w:rPr>
          <w:bCs/>
          <w:shd w:val="clear" w:color="auto" w:fill="FFFFFF"/>
        </w:rPr>
        <w:t>o</w:t>
      </w:r>
      <w:r w:rsidR="00C728EB">
        <w:rPr>
          <w:bCs/>
          <w:shd w:val="clear" w:color="auto" w:fill="FFFFFF"/>
        </w:rPr>
        <w:t>d</w:t>
      </w:r>
      <w:r w:rsidR="00223D15">
        <w:rPr>
          <w:bCs/>
          <w:shd w:val="clear" w:color="auto" w:fill="FFFFFF"/>
        </w:rPr>
        <w:t xml:space="preserve"> 1.1.2021</w:t>
      </w:r>
      <w:r>
        <w:rPr>
          <w:bCs/>
          <w:shd w:val="clear" w:color="auto" w:fill="FFFFFF"/>
        </w:rPr>
        <w:t>.</w:t>
      </w:r>
    </w:p>
    <w:p w14:paraId="0B14CA48" w14:textId="4B713475" w:rsidR="00852A00" w:rsidRPr="00852A00" w:rsidRDefault="00852A00" w:rsidP="00852A00">
      <w:pPr>
        <w:pStyle w:val="Zkladntext"/>
        <w:tabs>
          <w:tab w:val="left" w:pos="360"/>
          <w:tab w:val="left" w:pos="540"/>
        </w:tabs>
        <w:spacing w:after="0"/>
        <w:ind w:left="785"/>
        <w:jc w:val="both"/>
      </w:pPr>
      <w:r w:rsidRPr="00EA68D3">
        <w:t>Lehota na prebratie smernice (EÚ) 2018/1695 nebola stanovená.</w:t>
      </w:r>
    </w:p>
    <w:p w14:paraId="5B054F75" w14:textId="2A33BD57" w:rsidR="009B0330" w:rsidRDefault="009B0330" w:rsidP="009B0330">
      <w:pPr>
        <w:pStyle w:val="Zkladntext"/>
        <w:tabs>
          <w:tab w:val="left" w:pos="360"/>
          <w:tab w:val="left" w:pos="540"/>
        </w:tabs>
        <w:spacing w:after="0"/>
        <w:ind w:left="785"/>
        <w:jc w:val="both"/>
      </w:pPr>
      <w:r w:rsidRPr="00F75C2B">
        <w:t>Lehota na prebratie smernice (EÚ) 2020/285 je stanovená do 31.12.2024.</w:t>
      </w:r>
    </w:p>
    <w:p w14:paraId="0C778ADA" w14:textId="77777777" w:rsidR="00342AFF" w:rsidRDefault="00342AFF" w:rsidP="009B0330">
      <w:pPr>
        <w:pStyle w:val="Zkladntext"/>
        <w:tabs>
          <w:tab w:val="left" w:pos="360"/>
          <w:tab w:val="left" w:pos="540"/>
        </w:tabs>
        <w:spacing w:after="0"/>
        <w:ind w:left="785"/>
        <w:jc w:val="both"/>
      </w:pPr>
    </w:p>
    <w:p w14:paraId="0C108356" w14:textId="673CAC23" w:rsidR="00ED6F91" w:rsidRDefault="0025749D" w:rsidP="00B648DC">
      <w:pPr>
        <w:pStyle w:val="Zkladntext"/>
        <w:numPr>
          <w:ilvl w:val="0"/>
          <w:numId w:val="5"/>
        </w:numPr>
        <w:tabs>
          <w:tab w:val="left" w:pos="360"/>
        </w:tabs>
        <w:spacing w:after="0"/>
        <w:jc w:val="both"/>
      </w:pPr>
      <w:r w:rsidRPr="006E74BA">
        <w:t>Proti S</w:t>
      </w:r>
      <w:r w:rsidR="003456A0" w:rsidRPr="006E74BA">
        <w:t xml:space="preserve">lovenskej republike </w:t>
      </w:r>
      <w:r w:rsidR="009D4299" w:rsidRPr="006E74BA">
        <w:t>ne</w:t>
      </w:r>
      <w:r w:rsidRPr="006E74BA">
        <w:t>bolo začaté konanie</w:t>
      </w:r>
      <w:r w:rsidR="00423F32" w:rsidRPr="006E74BA">
        <w:t xml:space="preserve"> v rámci „EÚ Pilot“, ani nebol začatý postup EK ako aj nebolo začaté konanie Súdneho dvora EÚ proti SR</w:t>
      </w:r>
      <w:r w:rsidR="00B47BE8" w:rsidRPr="006E74BA">
        <w:t xml:space="preserve"> </w:t>
      </w:r>
      <w:r w:rsidRPr="006E74BA">
        <w:t>podľa čl. 258 až 260 Zmluvy o fungovaní Európskej únie</w:t>
      </w:r>
      <w:r w:rsidR="00ED6F91" w:rsidRPr="006E74BA">
        <w:t>.</w:t>
      </w:r>
    </w:p>
    <w:p w14:paraId="1DA4A424" w14:textId="77777777" w:rsidR="00342AFF" w:rsidRPr="006E74BA" w:rsidRDefault="00342AFF" w:rsidP="00342AFF">
      <w:pPr>
        <w:pStyle w:val="Zkladntext"/>
        <w:tabs>
          <w:tab w:val="left" w:pos="360"/>
        </w:tabs>
        <w:spacing w:after="0"/>
        <w:ind w:left="785"/>
        <w:jc w:val="both"/>
      </w:pPr>
    </w:p>
    <w:p w14:paraId="2897ED7F" w14:textId="38DF9C89" w:rsidR="00E53538" w:rsidRPr="00EA68D3" w:rsidRDefault="00E53538" w:rsidP="00E53538">
      <w:pPr>
        <w:pStyle w:val="Zkladntext"/>
        <w:numPr>
          <w:ilvl w:val="0"/>
          <w:numId w:val="5"/>
        </w:numPr>
        <w:tabs>
          <w:tab w:val="left" w:pos="360"/>
        </w:tabs>
        <w:spacing w:after="0"/>
        <w:jc w:val="both"/>
      </w:pPr>
      <w:r w:rsidRPr="00EA68D3">
        <w:t>Trinásta smernica 86/560/EHS je prebratá do zákona č. 222/2004 Z. z. o dani z pridanej hodnoty v znení neskorších predpisov.</w:t>
      </w:r>
    </w:p>
    <w:p w14:paraId="708B2B9E" w14:textId="54643E59" w:rsidR="00B648DC" w:rsidRDefault="00E53538" w:rsidP="00E53538">
      <w:pPr>
        <w:pStyle w:val="Zkladntext"/>
        <w:tabs>
          <w:tab w:val="left" w:pos="360"/>
        </w:tabs>
        <w:spacing w:after="0"/>
        <w:ind w:left="785"/>
        <w:jc w:val="both"/>
      </w:pPr>
      <w:r w:rsidRPr="00EA68D3">
        <w:t>S</w:t>
      </w:r>
      <w:r w:rsidR="0019568B" w:rsidRPr="00EA68D3">
        <w:t>mernic</w:t>
      </w:r>
      <w:r w:rsidR="00655547" w:rsidRPr="00EA68D3">
        <w:t>a</w:t>
      </w:r>
      <w:r w:rsidR="0019568B" w:rsidRPr="00EA68D3">
        <w:t xml:space="preserve"> </w:t>
      </w:r>
      <w:r w:rsidR="00BF03DA" w:rsidRPr="00EA68D3">
        <w:t>20</w:t>
      </w:r>
      <w:r w:rsidR="00F561EA" w:rsidRPr="00EA68D3">
        <w:t xml:space="preserve">06/112/ES </w:t>
      </w:r>
      <w:r w:rsidR="00BF03DA" w:rsidRPr="00EA68D3">
        <w:t>je</w:t>
      </w:r>
      <w:r w:rsidR="007D0443" w:rsidRPr="00EA68D3">
        <w:t xml:space="preserve"> prebrat</w:t>
      </w:r>
      <w:r w:rsidR="00AF55A3" w:rsidRPr="00EA68D3">
        <w:t>á</w:t>
      </w:r>
      <w:r w:rsidR="007D0443" w:rsidRPr="00EA68D3">
        <w:t xml:space="preserve"> do z</w:t>
      </w:r>
      <w:r w:rsidR="007964E5" w:rsidRPr="00EA68D3">
        <w:t>ákon</w:t>
      </w:r>
      <w:r w:rsidR="007D0443" w:rsidRPr="00EA68D3">
        <w:t>a</w:t>
      </w:r>
      <w:r w:rsidR="007964E5" w:rsidRPr="00EA68D3">
        <w:t xml:space="preserve"> č. 222/2004 Z. z. o dani z pridanej hodnoty v znení neskorších </w:t>
      </w:r>
      <w:r w:rsidR="007964E5" w:rsidRPr="00B5737E">
        <w:t>predpisov</w:t>
      </w:r>
      <w:r w:rsidR="00D602B5" w:rsidRPr="00B5737E">
        <w:t xml:space="preserve"> a do zákona č. 563/2009 Z. z. o správe daní (daňový poriadok) a o zmene a doplnení niektorých zákonov v znení neskorších predpisov.</w:t>
      </w:r>
    </w:p>
    <w:p w14:paraId="1CF0B054" w14:textId="77777777" w:rsidR="00461CA7" w:rsidRDefault="00461CA7" w:rsidP="00461CA7">
      <w:pPr>
        <w:pStyle w:val="Zkladntext"/>
        <w:tabs>
          <w:tab w:val="left" w:pos="360"/>
        </w:tabs>
        <w:spacing w:after="0"/>
        <w:ind w:left="785"/>
        <w:jc w:val="both"/>
      </w:pPr>
      <w:r>
        <w:t>S</w:t>
      </w:r>
      <w:r w:rsidR="000A72EC">
        <w:t>mernica 2008/8</w:t>
      </w:r>
      <w:r w:rsidR="000A72EC" w:rsidRPr="00EF09FE">
        <w:t xml:space="preserve">/ES </w:t>
      </w:r>
      <w:r w:rsidRPr="00EA68D3">
        <w:t>je prebratá do zákona č. 222/2004 Z. z. o dani z pridanej hodnoty v znení neskorších predpisov.</w:t>
      </w:r>
    </w:p>
    <w:p w14:paraId="161C052B" w14:textId="3A139966" w:rsidR="00667B74" w:rsidRPr="00EA68D3" w:rsidRDefault="00E53538" w:rsidP="00667B74">
      <w:pPr>
        <w:pStyle w:val="Zkladntext"/>
        <w:tabs>
          <w:tab w:val="left" w:pos="360"/>
        </w:tabs>
        <w:spacing w:after="0"/>
        <w:ind w:left="785"/>
        <w:jc w:val="both"/>
      </w:pPr>
      <w:r w:rsidRPr="00EA68D3">
        <w:t>Smernica 2008/9/ES je prebratá do zákona č. 222/2004 Z. z. o dani z pridanej hodnoty v znení neskorších predpisov.</w:t>
      </w:r>
    </w:p>
    <w:p w14:paraId="64F0AA97" w14:textId="57EBA018" w:rsidR="00145E52" w:rsidRDefault="00145E52" w:rsidP="00145E52">
      <w:pPr>
        <w:pStyle w:val="Zkladntext"/>
        <w:tabs>
          <w:tab w:val="left" w:pos="360"/>
        </w:tabs>
        <w:spacing w:after="0"/>
        <w:ind w:left="785"/>
        <w:jc w:val="both"/>
      </w:pPr>
      <w:r w:rsidRPr="00EA68D3">
        <w:t>Smernica 2008/117/ES je prebratá do zákona č. 222/2004 Z. z. o dani z pridanej hodnoty v znení neskorších predpisov.</w:t>
      </w:r>
    </w:p>
    <w:p w14:paraId="14D068C7" w14:textId="07F0FE90" w:rsidR="00EA68D3" w:rsidRPr="002F1475" w:rsidRDefault="00EA68D3" w:rsidP="00EA68D3">
      <w:pPr>
        <w:pStyle w:val="Zkladntext"/>
        <w:tabs>
          <w:tab w:val="left" w:pos="360"/>
        </w:tabs>
        <w:spacing w:after="0"/>
        <w:ind w:left="785"/>
        <w:jc w:val="both"/>
      </w:pPr>
      <w:r w:rsidRPr="002F1475">
        <w:rPr>
          <w:bCs/>
          <w:shd w:val="clear" w:color="auto" w:fill="FFFFFF"/>
        </w:rPr>
        <w:t xml:space="preserve">Smernica 2009/162/EÚ </w:t>
      </w:r>
      <w:r w:rsidRPr="002F1475">
        <w:t>je prebratá do zákona č. 222/2004 Z. z. o dani z pridanej hodnoty v znení neskorších predpisov.</w:t>
      </w:r>
    </w:p>
    <w:p w14:paraId="7FC44F3C" w14:textId="724A8115" w:rsidR="00D969FF" w:rsidRDefault="00D969FF" w:rsidP="00D969FF">
      <w:pPr>
        <w:pStyle w:val="Zkladntext"/>
        <w:tabs>
          <w:tab w:val="left" w:pos="360"/>
        </w:tabs>
        <w:spacing w:after="0"/>
        <w:ind w:left="785"/>
        <w:jc w:val="both"/>
      </w:pPr>
      <w:r w:rsidRPr="002F1475">
        <w:rPr>
          <w:bCs/>
          <w:shd w:val="clear" w:color="auto" w:fill="FFFFFF"/>
        </w:rPr>
        <w:t>Smernice (EÚ) 2017</w:t>
      </w:r>
      <w:r w:rsidRPr="00815717">
        <w:rPr>
          <w:bCs/>
          <w:shd w:val="clear" w:color="auto" w:fill="FFFFFF"/>
        </w:rPr>
        <w:t>/2455</w:t>
      </w:r>
      <w:r>
        <w:rPr>
          <w:bCs/>
          <w:shd w:val="clear" w:color="auto" w:fill="FFFFFF"/>
        </w:rPr>
        <w:t xml:space="preserve"> </w:t>
      </w:r>
      <w:r w:rsidRPr="00EA68D3">
        <w:t>je prebratá do zákona č. 222/2004 Z. z. o dani z pridanej hodnoty v znení neskorších predpisov.</w:t>
      </w:r>
    </w:p>
    <w:p w14:paraId="10C75D3D" w14:textId="680EA4AD" w:rsidR="00852A00" w:rsidRPr="00EA68D3" w:rsidRDefault="00852A00" w:rsidP="00852A00">
      <w:pPr>
        <w:pStyle w:val="Zkladntext"/>
        <w:tabs>
          <w:tab w:val="left" w:pos="360"/>
        </w:tabs>
        <w:spacing w:after="0"/>
        <w:ind w:left="785"/>
        <w:jc w:val="both"/>
      </w:pPr>
      <w:r w:rsidRPr="00EA68D3">
        <w:t xml:space="preserve">Smernica </w:t>
      </w:r>
      <w:r w:rsidR="00645E67" w:rsidRPr="00EA68D3">
        <w:rPr>
          <w:bCs/>
          <w:color w:val="333333"/>
          <w:shd w:val="clear" w:color="auto" w:fill="FFFFFF"/>
        </w:rPr>
        <w:t xml:space="preserve">(EÚ) 2018/1695 </w:t>
      </w:r>
      <w:r w:rsidRPr="00EA68D3">
        <w:t>je prebratá do zákona č. 222/2004 Z. z. o dani z pridanej hodnoty v znení neskorších predpisov.</w:t>
      </w:r>
    </w:p>
    <w:p w14:paraId="2D613DE7" w14:textId="6A5F54D4" w:rsidR="009B0330" w:rsidRPr="00667B74" w:rsidRDefault="009B0330" w:rsidP="00667B74">
      <w:pPr>
        <w:pStyle w:val="Zkladntext"/>
        <w:tabs>
          <w:tab w:val="left" w:pos="360"/>
        </w:tabs>
        <w:spacing w:after="0"/>
        <w:ind w:left="785"/>
        <w:jc w:val="both"/>
      </w:pPr>
      <w:r w:rsidRPr="00EA68D3">
        <w:t xml:space="preserve">Smernica </w:t>
      </w:r>
      <w:r w:rsidR="00F438AD" w:rsidRPr="00EA68D3">
        <w:t xml:space="preserve">(EÚ) </w:t>
      </w:r>
      <w:r w:rsidRPr="00EA68D3">
        <w:rPr>
          <w:bCs/>
          <w:color w:val="333333"/>
          <w:shd w:val="clear" w:color="auto" w:fill="FFFFFF"/>
        </w:rPr>
        <w:t xml:space="preserve">2020/285 </w:t>
      </w:r>
      <w:r w:rsidRPr="00EA68D3">
        <w:t>je prebratá do zákona č. 222/2004 Z. z. o dani z pridanej hodnoty v znení neskorších predpisov (s účinnosťou od 1.1.2025)</w:t>
      </w:r>
      <w:r w:rsidR="00667B74" w:rsidRPr="00EA68D3">
        <w:t xml:space="preserve"> a do zákona č. 563/2009 Z. z. o správe daní (daňový poriadok) a o zmene a doplnení niektorých zákonov v znení neskorších predpisov</w:t>
      </w:r>
      <w:r w:rsidRPr="00EA68D3">
        <w:t>.</w:t>
      </w:r>
    </w:p>
    <w:p w14:paraId="109DC21D" w14:textId="69FFACFF" w:rsidR="009B0330" w:rsidRPr="00F94322" w:rsidRDefault="009B0330" w:rsidP="009B0330">
      <w:pPr>
        <w:pStyle w:val="Zkladntext"/>
        <w:tabs>
          <w:tab w:val="left" w:pos="360"/>
        </w:tabs>
        <w:spacing w:after="0"/>
        <w:ind w:left="785"/>
        <w:jc w:val="both"/>
      </w:pPr>
    </w:p>
    <w:p w14:paraId="26154123" w14:textId="77777777" w:rsidR="005E68BC" w:rsidRDefault="005E68BC" w:rsidP="005E68BC">
      <w:pPr>
        <w:pStyle w:val="Zkladntext"/>
        <w:tabs>
          <w:tab w:val="left" w:pos="360"/>
        </w:tabs>
        <w:spacing w:after="0"/>
        <w:ind w:left="785"/>
        <w:jc w:val="both"/>
      </w:pPr>
    </w:p>
    <w:p w14:paraId="36F1DA42" w14:textId="77777777" w:rsidR="00ED6F91" w:rsidRPr="00181470" w:rsidRDefault="00CE4115" w:rsidP="00B648DC">
      <w:pPr>
        <w:pStyle w:val="Odsekzoznamu"/>
        <w:numPr>
          <w:ilvl w:val="0"/>
          <w:numId w:val="1"/>
        </w:numPr>
        <w:tabs>
          <w:tab w:val="left" w:pos="360"/>
        </w:tabs>
        <w:jc w:val="both"/>
        <w:rPr>
          <w:b/>
          <w:bCs/>
        </w:rPr>
      </w:pPr>
      <w:r w:rsidRPr="00181470">
        <w:rPr>
          <w:b/>
          <w:bCs/>
        </w:rPr>
        <w:t>Návrh</w:t>
      </w:r>
      <w:r w:rsidR="00ED6F91" w:rsidRPr="00181470">
        <w:rPr>
          <w:b/>
          <w:bCs/>
        </w:rPr>
        <w:t xml:space="preserve"> zákona</w:t>
      </w:r>
      <w:r w:rsidRPr="00181470">
        <w:rPr>
          <w:b/>
          <w:bCs/>
        </w:rPr>
        <w:t xml:space="preserve"> je zlučiteľný</w:t>
      </w:r>
      <w:r w:rsidR="00ED6F91" w:rsidRPr="00181470">
        <w:rPr>
          <w:b/>
          <w:bCs/>
        </w:rPr>
        <w:t xml:space="preserve"> s právom Európskej únie:</w:t>
      </w:r>
    </w:p>
    <w:p w14:paraId="774EEF5D" w14:textId="77777777" w:rsidR="00CC3ADA" w:rsidRPr="00181470" w:rsidRDefault="00CC3ADA" w:rsidP="00B648DC">
      <w:pPr>
        <w:pStyle w:val="Odsekzoznamu"/>
        <w:tabs>
          <w:tab w:val="left" w:pos="360"/>
        </w:tabs>
        <w:ind w:left="425"/>
        <w:jc w:val="both"/>
        <w:rPr>
          <w:b/>
          <w:bCs/>
        </w:rPr>
      </w:pPr>
    </w:p>
    <w:p w14:paraId="2A41B760" w14:textId="402AC397" w:rsidR="00CC3ADA" w:rsidRPr="00181470" w:rsidRDefault="00F438AD" w:rsidP="00B648DC">
      <w:pPr>
        <w:pStyle w:val="Odsekzoznamu"/>
        <w:tabs>
          <w:tab w:val="left" w:pos="360"/>
        </w:tabs>
        <w:ind w:left="425"/>
        <w:jc w:val="both"/>
        <w:rPr>
          <w:bCs/>
        </w:rPr>
      </w:pPr>
      <w:r w:rsidRPr="00EA68D3">
        <w:rPr>
          <w:bCs/>
        </w:rPr>
        <w:t>a)</w:t>
      </w:r>
      <w:r>
        <w:rPr>
          <w:bCs/>
        </w:rPr>
        <w:t xml:space="preserve"> ú</w:t>
      </w:r>
      <w:r w:rsidR="00CC3ADA" w:rsidRPr="00181470">
        <w:rPr>
          <w:bCs/>
        </w:rPr>
        <w:t>pln</w:t>
      </w:r>
      <w:r w:rsidR="00CE4115" w:rsidRPr="00181470">
        <w:rPr>
          <w:bCs/>
        </w:rPr>
        <w:t>e</w:t>
      </w:r>
      <w:r w:rsidR="002074CF" w:rsidRPr="00181470">
        <w:rPr>
          <w:bCs/>
        </w:rPr>
        <w:t>.</w:t>
      </w:r>
    </w:p>
    <w:sectPr w:rsidR="00CC3ADA" w:rsidRPr="00181470" w:rsidSect="00DC1DF2">
      <w:footerReference w:type="even" r:id="rId8"/>
      <w:footerReference w:type="default" r:id="rId9"/>
      <w:pgSz w:w="11906" w:h="16838" w:code="9"/>
      <w:pgMar w:top="1191" w:right="1191" w:bottom="1191" w:left="119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E6427" w14:textId="77777777" w:rsidR="009617CC" w:rsidRDefault="009617CC">
      <w:r>
        <w:separator/>
      </w:r>
    </w:p>
  </w:endnote>
  <w:endnote w:type="continuationSeparator" w:id="0">
    <w:p w14:paraId="2031369E" w14:textId="77777777" w:rsidR="009617CC" w:rsidRDefault="0096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F8F0" w14:textId="77777777" w:rsidR="00CC3ADA" w:rsidRDefault="00CC3ADA" w:rsidP="0019789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5EC7EC19" w14:textId="77777777" w:rsidR="00CC3ADA" w:rsidRDefault="00CC3ADA" w:rsidP="0019789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05637"/>
      <w:docPartObj>
        <w:docPartGallery w:val="Page Numbers (Bottom of Page)"/>
        <w:docPartUnique/>
      </w:docPartObj>
    </w:sdtPr>
    <w:sdtEndPr/>
    <w:sdtContent>
      <w:p w14:paraId="7C6384B4" w14:textId="70E6FB51" w:rsidR="000A13A4" w:rsidRDefault="000A13A4">
        <w:pPr>
          <w:pStyle w:val="Pta"/>
          <w:jc w:val="center"/>
        </w:pPr>
        <w:r>
          <w:fldChar w:fldCharType="begin"/>
        </w:r>
        <w:r>
          <w:instrText>PAGE   \* MERGEFORMAT</w:instrText>
        </w:r>
        <w:r>
          <w:fldChar w:fldCharType="separate"/>
        </w:r>
        <w:r w:rsidR="00501CF4">
          <w:rPr>
            <w:noProof/>
          </w:rPr>
          <w:t>2</w:t>
        </w:r>
        <w:r>
          <w:fldChar w:fldCharType="end"/>
        </w:r>
      </w:p>
    </w:sdtContent>
  </w:sdt>
  <w:p w14:paraId="0054A3E4" w14:textId="77777777" w:rsidR="00CC3ADA" w:rsidRDefault="00CC3ADA" w:rsidP="0019789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97F03" w14:textId="77777777" w:rsidR="009617CC" w:rsidRDefault="009617CC">
      <w:r>
        <w:separator/>
      </w:r>
    </w:p>
  </w:footnote>
  <w:footnote w:type="continuationSeparator" w:id="0">
    <w:p w14:paraId="674033A8" w14:textId="77777777" w:rsidR="009617CC" w:rsidRDefault="00961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25pt;height:14.25pt" o:bullet="t">
        <v:imagedata r:id="rId1" o:title="bull"/>
      </v:shape>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15:restartNumberingAfterBreak="0">
    <w:nsid w:val="0193146C"/>
    <w:multiLevelType w:val="hybridMultilevel"/>
    <w:tmpl w:val="44528930"/>
    <w:lvl w:ilvl="0" w:tplc="041B0017">
      <w:start w:val="1"/>
      <w:numFmt w:val="lowerLetter"/>
      <w:lvlText w:val="%1)"/>
      <w:lvlJc w:val="left"/>
      <w:pPr>
        <w:tabs>
          <w:tab w:val="num" w:pos="785"/>
        </w:tabs>
        <w:ind w:left="785" w:hanging="360"/>
      </w:pPr>
      <w:rPr>
        <w:rFonts w:hint="default"/>
      </w:rPr>
    </w:lvl>
    <w:lvl w:ilvl="1" w:tplc="041B0019" w:tentative="1">
      <w:start w:val="1"/>
      <w:numFmt w:val="lowerLetter"/>
      <w:lvlText w:val="%2."/>
      <w:lvlJc w:val="left"/>
      <w:pPr>
        <w:tabs>
          <w:tab w:val="num" w:pos="1505"/>
        </w:tabs>
        <w:ind w:left="1505" w:hanging="360"/>
      </w:pPr>
    </w:lvl>
    <w:lvl w:ilvl="2" w:tplc="041B001B" w:tentative="1">
      <w:start w:val="1"/>
      <w:numFmt w:val="lowerRoman"/>
      <w:lvlText w:val="%3."/>
      <w:lvlJc w:val="right"/>
      <w:pPr>
        <w:tabs>
          <w:tab w:val="num" w:pos="2225"/>
        </w:tabs>
        <w:ind w:left="2225" w:hanging="180"/>
      </w:pPr>
    </w:lvl>
    <w:lvl w:ilvl="3" w:tplc="041B000F" w:tentative="1">
      <w:start w:val="1"/>
      <w:numFmt w:val="decimal"/>
      <w:lvlText w:val="%4."/>
      <w:lvlJc w:val="left"/>
      <w:pPr>
        <w:tabs>
          <w:tab w:val="num" w:pos="2945"/>
        </w:tabs>
        <w:ind w:left="2945" w:hanging="360"/>
      </w:pPr>
    </w:lvl>
    <w:lvl w:ilvl="4" w:tplc="041B0019" w:tentative="1">
      <w:start w:val="1"/>
      <w:numFmt w:val="lowerLetter"/>
      <w:lvlText w:val="%5."/>
      <w:lvlJc w:val="left"/>
      <w:pPr>
        <w:tabs>
          <w:tab w:val="num" w:pos="3665"/>
        </w:tabs>
        <w:ind w:left="3665" w:hanging="360"/>
      </w:pPr>
    </w:lvl>
    <w:lvl w:ilvl="5" w:tplc="041B001B" w:tentative="1">
      <w:start w:val="1"/>
      <w:numFmt w:val="lowerRoman"/>
      <w:lvlText w:val="%6."/>
      <w:lvlJc w:val="right"/>
      <w:pPr>
        <w:tabs>
          <w:tab w:val="num" w:pos="4385"/>
        </w:tabs>
        <w:ind w:left="4385" w:hanging="180"/>
      </w:pPr>
    </w:lvl>
    <w:lvl w:ilvl="6" w:tplc="041B000F" w:tentative="1">
      <w:start w:val="1"/>
      <w:numFmt w:val="decimal"/>
      <w:lvlText w:val="%7."/>
      <w:lvlJc w:val="left"/>
      <w:pPr>
        <w:tabs>
          <w:tab w:val="num" w:pos="5105"/>
        </w:tabs>
        <w:ind w:left="5105" w:hanging="360"/>
      </w:pPr>
    </w:lvl>
    <w:lvl w:ilvl="7" w:tplc="041B0019" w:tentative="1">
      <w:start w:val="1"/>
      <w:numFmt w:val="lowerLetter"/>
      <w:lvlText w:val="%8."/>
      <w:lvlJc w:val="left"/>
      <w:pPr>
        <w:tabs>
          <w:tab w:val="num" w:pos="5825"/>
        </w:tabs>
        <w:ind w:left="5825" w:hanging="360"/>
      </w:pPr>
    </w:lvl>
    <w:lvl w:ilvl="8" w:tplc="041B001B" w:tentative="1">
      <w:start w:val="1"/>
      <w:numFmt w:val="lowerRoman"/>
      <w:lvlText w:val="%9."/>
      <w:lvlJc w:val="right"/>
      <w:pPr>
        <w:tabs>
          <w:tab w:val="num" w:pos="6545"/>
        </w:tabs>
        <w:ind w:left="6545" w:hanging="180"/>
      </w:pPr>
    </w:lvl>
  </w:abstractNum>
  <w:abstractNum w:abstractNumId="1" w15:restartNumberingAfterBreak="0">
    <w:nsid w:val="0749197D"/>
    <w:multiLevelType w:val="multilevel"/>
    <w:tmpl w:val="10FA859E"/>
    <w:lvl w:ilvl="0">
      <w:start w:val="6"/>
      <w:numFmt w:val="bullet"/>
      <w:lvlText w:val="-"/>
      <w:lvlJc w:val="left"/>
      <w:pPr>
        <w:ind w:left="993" w:hanging="425"/>
      </w:pPr>
      <w:rPr>
        <w:rFonts w:ascii="Times New Roman" w:eastAsia="Times New Roman" w:hAnsi="Times New Roman" w:hint="default"/>
        <w:b/>
        <w:bCs/>
      </w:rPr>
    </w:lvl>
    <w:lvl w:ilvl="1">
      <w:start w:val="1"/>
      <w:numFmt w:val="lowerLetter"/>
      <w:lvlText w:val="%2)"/>
      <w:legacy w:legacy="1" w:legacySpace="0" w:legacyIndent="425"/>
      <w:lvlJc w:val="left"/>
      <w:pPr>
        <w:ind w:left="1418" w:hanging="425"/>
      </w:pPr>
    </w:lvl>
    <w:lvl w:ilvl="2">
      <w:start w:val="1"/>
      <w:numFmt w:val="decimal"/>
      <w:lvlText w:val="%3.)"/>
      <w:legacy w:legacy="1" w:legacySpace="0" w:legacyIndent="425"/>
      <w:lvlJc w:val="left"/>
      <w:pPr>
        <w:ind w:left="1843" w:hanging="425"/>
      </w:pPr>
    </w:lvl>
    <w:lvl w:ilvl="3">
      <w:start w:val="1"/>
      <w:numFmt w:val="lowerLetter"/>
      <w:lvlText w:val="%4)"/>
      <w:legacy w:legacy="1" w:legacySpace="0" w:legacyIndent="708"/>
      <w:lvlJc w:val="left"/>
      <w:pPr>
        <w:ind w:left="2551" w:hanging="708"/>
      </w:pPr>
    </w:lvl>
    <w:lvl w:ilvl="4">
      <w:start w:val="1"/>
      <w:numFmt w:val="decimal"/>
      <w:lvlText w:val="(%5)"/>
      <w:legacy w:legacy="1" w:legacySpace="0" w:legacyIndent="708"/>
      <w:lvlJc w:val="left"/>
      <w:pPr>
        <w:ind w:left="3259" w:hanging="708"/>
      </w:pPr>
    </w:lvl>
    <w:lvl w:ilvl="5">
      <w:start w:val="1"/>
      <w:numFmt w:val="lowerLetter"/>
      <w:lvlText w:val="(%6)"/>
      <w:legacy w:legacy="1" w:legacySpace="0" w:legacyIndent="708"/>
      <w:lvlJc w:val="left"/>
      <w:pPr>
        <w:ind w:left="3967" w:hanging="708"/>
      </w:pPr>
    </w:lvl>
    <w:lvl w:ilvl="6">
      <w:start w:val="1"/>
      <w:numFmt w:val="lowerRoman"/>
      <w:lvlText w:val="(%7)"/>
      <w:legacy w:legacy="1" w:legacySpace="0" w:legacyIndent="708"/>
      <w:lvlJc w:val="left"/>
      <w:pPr>
        <w:ind w:left="4675" w:hanging="708"/>
      </w:pPr>
    </w:lvl>
    <w:lvl w:ilvl="7">
      <w:start w:val="1"/>
      <w:numFmt w:val="lowerLetter"/>
      <w:lvlText w:val="(%8)"/>
      <w:legacy w:legacy="1" w:legacySpace="0" w:legacyIndent="708"/>
      <w:lvlJc w:val="left"/>
      <w:pPr>
        <w:ind w:left="5383" w:hanging="708"/>
      </w:pPr>
    </w:lvl>
    <w:lvl w:ilvl="8">
      <w:start w:val="1"/>
      <w:numFmt w:val="lowerRoman"/>
      <w:lvlText w:val="(%9)"/>
      <w:legacy w:legacy="1" w:legacySpace="0" w:legacyIndent="708"/>
      <w:lvlJc w:val="left"/>
      <w:pPr>
        <w:ind w:left="6091" w:hanging="708"/>
      </w:pPr>
    </w:lvl>
  </w:abstractNum>
  <w:abstractNum w:abstractNumId="2" w15:restartNumberingAfterBreak="0">
    <w:nsid w:val="124B0749"/>
    <w:multiLevelType w:val="hybridMultilevel"/>
    <w:tmpl w:val="236AF06C"/>
    <w:lvl w:ilvl="0" w:tplc="041B0017">
      <w:start w:val="4"/>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191D2169"/>
    <w:multiLevelType w:val="hybridMultilevel"/>
    <w:tmpl w:val="435C7804"/>
    <w:lvl w:ilvl="0" w:tplc="04B4E764">
      <w:start w:val="2"/>
      <w:numFmt w:val="decimal"/>
      <w:lvlText w:val="%1."/>
      <w:lvlJc w:val="left"/>
      <w:pPr>
        <w:ind w:left="720" w:hanging="360"/>
      </w:pPr>
      <w:rPr>
        <w:rFonts w:cs="Arial Narrow" w:hint="default"/>
        <w:u w:val="none"/>
      </w:rPr>
    </w:lvl>
    <w:lvl w:ilvl="1" w:tplc="0C0C94D6">
      <w:start w:val="2"/>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D3F2D1F"/>
    <w:multiLevelType w:val="hybridMultilevel"/>
    <w:tmpl w:val="2976140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0BB08A6"/>
    <w:multiLevelType w:val="hybridMultilevel"/>
    <w:tmpl w:val="1FB241BC"/>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cs="Courier New" w:hint="default"/>
      </w:rPr>
    </w:lvl>
    <w:lvl w:ilvl="2" w:tplc="041B0005">
      <w:start w:val="1"/>
      <w:numFmt w:val="bullet"/>
      <w:lvlText w:val=""/>
      <w:lvlJc w:val="left"/>
      <w:pPr>
        <w:tabs>
          <w:tab w:val="num" w:pos="2340"/>
        </w:tabs>
        <w:ind w:left="2340" w:hanging="360"/>
      </w:pPr>
      <w:rPr>
        <w:rFonts w:ascii="Wingdings" w:hAnsi="Wingdings" w:cs="Wingdings" w:hint="default"/>
      </w:rPr>
    </w:lvl>
    <w:lvl w:ilvl="3" w:tplc="041B0001">
      <w:start w:val="1"/>
      <w:numFmt w:val="bullet"/>
      <w:lvlText w:val=""/>
      <w:lvlJc w:val="left"/>
      <w:pPr>
        <w:tabs>
          <w:tab w:val="num" w:pos="3060"/>
        </w:tabs>
        <w:ind w:left="3060" w:hanging="360"/>
      </w:pPr>
      <w:rPr>
        <w:rFonts w:ascii="Symbol" w:hAnsi="Symbol" w:cs="Symbol" w:hint="default"/>
      </w:rPr>
    </w:lvl>
    <w:lvl w:ilvl="4" w:tplc="041B0003">
      <w:start w:val="1"/>
      <w:numFmt w:val="bullet"/>
      <w:lvlText w:val="o"/>
      <w:lvlJc w:val="left"/>
      <w:pPr>
        <w:tabs>
          <w:tab w:val="num" w:pos="3780"/>
        </w:tabs>
        <w:ind w:left="3780" w:hanging="360"/>
      </w:pPr>
      <w:rPr>
        <w:rFonts w:ascii="Courier New" w:hAnsi="Courier New" w:cs="Courier New" w:hint="default"/>
      </w:rPr>
    </w:lvl>
    <w:lvl w:ilvl="5" w:tplc="041B0005">
      <w:start w:val="1"/>
      <w:numFmt w:val="bullet"/>
      <w:lvlText w:val=""/>
      <w:lvlJc w:val="left"/>
      <w:pPr>
        <w:tabs>
          <w:tab w:val="num" w:pos="4500"/>
        </w:tabs>
        <w:ind w:left="4500" w:hanging="360"/>
      </w:pPr>
      <w:rPr>
        <w:rFonts w:ascii="Wingdings" w:hAnsi="Wingdings" w:cs="Wingdings" w:hint="default"/>
      </w:rPr>
    </w:lvl>
    <w:lvl w:ilvl="6" w:tplc="041B0001">
      <w:start w:val="1"/>
      <w:numFmt w:val="bullet"/>
      <w:lvlText w:val=""/>
      <w:lvlJc w:val="left"/>
      <w:pPr>
        <w:tabs>
          <w:tab w:val="num" w:pos="5220"/>
        </w:tabs>
        <w:ind w:left="5220" w:hanging="360"/>
      </w:pPr>
      <w:rPr>
        <w:rFonts w:ascii="Symbol" w:hAnsi="Symbol" w:cs="Symbol" w:hint="default"/>
      </w:rPr>
    </w:lvl>
    <w:lvl w:ilvl="7" w:tplc="041B0003">
      <w:start w:val="1"/>
      <w:numFmt w:val="bullet"/>
      <w:lvlText w:val="o"/>
      <w:lvlJc w:val="left"/>
      <w:pPr>
        <w:tabs>
          <w:tab w:val="num" w:pos="5940"/>
        </w:tabs>
        <w:ind w:left="5940" w:hanging="360"/>
      </w:pPr>
      <w:rPr>
        <w:rFonts w:ascii="Courier New" w:hAnsi="Courier New" w:cs="Courier New" w:hint="default"/>
      </w:rPr>
    </w:lvl>
    <w:lvl w:ilvl="8" w:tplc="041B0005">
      <w:start w:val="1"/>
      <w:numFmt w:val="bullet"/>
      <w:lvlText w:val=""/>
      <w:lvlJc w:val="left"/>
      <w:pPr>
        <w:tabs>
          <w:tab w:val="num" w:pos="6660"/>
        </w:tabs>
        <w:ind w:left="6660" w:hanging="360"/>
      </w:pPr>
      <w:rPr>
        <w:rFonts w:ascii="Wingdings" w:hAnsi="Wingdings" w:cs="Wingdings" w:hint="default"/>
      </w:rPr>
    </w:lvl>
  </w:abstractNum>
  <w:abstractNum w:abstractNumId="6" w15:restartNumberingAfterBreak="0">
    <w:nsid w:val="50DA7A3A"/>
    <w:multiLevelType w:val="hybridMultilevel"/>
    <w:tmpl w:val="A2C008CA"/>
    <w:lvl w:ilvl="0" w:tplc="CCCEB200">
      <w:start w:val="6"/>
      <w:numFmt w:val="bullet"/>
      <w:lvlText w:val="-"/>
      <w:lvlJc w:val="left"/>
      <w:pPr>
        <w:ind w:left="1622" w:hanging="360"/>
      </w:pPr>
      <w:rPr>
        <w:rFonts w:ascii="Times New Roman" w:eastAsia="Times New Roman" w:hAnsi="Times New Roman" w:hint="default"/>
      </w:rPr>
    </w:lvl>
    <w:lvl w:ilvl="1" w:tplc="041B0003" w:tentative="1">
      <w:start w:val="1"/>
      <w:numFmt w:val="bullet"/>
      <w:lvlText w:val="o"/>
      <w:lvlJc w:val="left"/>
      <w:pPr>
        <w:ind w:left="2342" w:hanging="360"/>
      </w:pPr>
      <w:rPr>
        <w:rFonts w:ascii="Courier New" w:hAnsi="Courier New" w:cs="Courier New" w:hint="default"/>
      </w:rPr>
    </w:lvl>
    <w:lvl w:ilvl="2" w:tplc="041B0005" w:tentative="1">
      <w:start w:val="1"/>
      <w:numFmt w:val="bullet"/>
      <w:lvlText w:val=""/>
      <w:lvlJc w:val="left"/>
      <w:pPr>
        <w:ind w:left="3062" w:hanging="360"/>
      </w:pPr>
      <w:rPr>
        <w:rFonts w:ascii="Wingdings" w:hAnsi="Wingdings" w:hint="default"/>
      </w:rPr>
    </w:lvl>
    <w:lvl w:ilvl="3" w:tplc="041B0001" w:tentative="1">
      <w:start w:val="1"/>
      <w:numFmt w:val="bullet"/>
      <w:lvlText w:val=""/>
      <w:lvlJc w:val="left"/>
      <w:pPr>
        <w:ind w:left="3782" w:hanging="360"/>
      </w:pPr>
      <w:rPr>
        <w:rFonts w:ascii="Symbol" w:hAnsi="Symbol" w:hint="default"/>
      </w:rPr>
    </w:lvl>
    <w:lvl w:ilvl="4" w:tplc="041B0003" w:tentative="1">
      <w:start w:val="1"/>
      <w:numFmt w:val="bullet"/>
      <w:lvlText w:val="o"/>
      <w:lvlJc w:val="left"/>
      <w:pPr>
        <w:ind w:left="4502" w:hanging="360"/>
      </w:pPr>
      <w:rPr>
        <w:rFonts w:ascii="Courier New" w:hAnsi="Courier New" w:cs="Courier New" w:hint="default"/>
      </w:rPr>
    </w:lvl>
    <w:lvl w:ilvl="5" w:tplc="041B0005" w:tentative="1">
      <w:start w:val="1"/>
      <w:numFmt w:val="bullet"/>
      <w:lvlText w:val=""/>
      <w:lvlJc w:val="left"/>
      <w:pPr>
        <w:ind w:left="5222" w:hanging="360"/>
      </w:pPr>
      <w:rPr>
        <w:rFonts w:ascii="Wingdings" w:hAnsi="Wingdings" w:hint="default"/>
      </w:rPr>
    </w:lvl>
    <w:lvl w:ilvl="6" w:tplc="041B0001" w:tentative="1">
      <w:start w:val="1"/>
      <w:numFmt w:val="bullet"/>
      <w:lvlText w:val=""/>
      <w:lvlJc w:val="left"/>
      <w:pPr>
        <w:ind w:left="5942" w:hanging="360"/>
      </w:pPr>
      <w:rPr>
        <w:rFonts w:ascii="Symbol" w:hAnsi="Symbol" w:hint="default"/>
      </w:rPr>
    </w:lvl>
    <w:lvl w:ilvl="7" w:tplc="041B0003" w:tentative="1">
      <w:start w:val="1"/>
      <w:numFmt w:val="bullet"/>
      <w:lvlText w:val="o"/>
      <w:lvlJc w:val="left"/>
      <w:pPr>
        <w:ind w:left="6662" w:hanging="360"/>
      </w:pPr>
      <w:rPr>
        <w:rFonts w:ascii="Courier New" w:hAnsi="Courier New" w:cs="Courier New" w:hint="default"/>
      </w:rPr>
    </w:lvl>
    <w:lvl w:ilvl="8" w:tplc="041B0005" w:tentative="1">
      <w:start w:val="1"/>
      <w:numFmt w:val="bullet"/>
      <w:lvlText w:val=""/>
      <w:lvlJc w:val="left"/>
      <w:pPr>
        <w:ind w:left="7382" w:hanging="360"/>
      </w:pPr>
      <w:rPr>
        <w:rFonts w:ascii="Wingdings" w:hAnsi="Wingdings" w:hint="default"/>
      </w:rPr>
    </w:lvl>
  </w:abstractNum>
  <w:abstractNum w:abstractNumId="7" w15:restartNumberingAfterBreak="0">
    <w:nsid w:val="56204527"/>
    <w:multiLevelType w:val="hybridMultilevel"/>
    <w:tmpl w:val="574A07BE"/>
    <w:lvl w:ilvl="0" w:tplc="CCCEB200">
      <w:start w:val="6"/>
      <w:numFmt w:val="bullet"/>
      <w:lvlText w:val="-"/>
      <w:lvlJc w:val="left"/>
      <w:pPr>
        <w:ind w:left="644" w:hanging="360"/>
      </w:pPr>
      <w:rPr>
        <w:rFonts w:ascii="Times New Roman" w:eastAsia="Times New Roman" w:hAnsi="Times New Roman"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5C9B77D4"/>
    <w:multiLevelType w:val="multilevel"/>
    <w:tmpl w:val="D4E25A3E"/>
    <w:lvl w:ilvl="0">
      <w:start w:val="1"/>
      <w:numFmt w:val="decimal"/>
      <w:lvlText w:val="%1."/>
      <w:legacy w:legacy="1" w:legacySpace="0" w:legacyIndent="425"/>
      <w:lvlJc w:val="left"/>
      <w:pPr>
        <w:ind w:left="425" w:hanging="425"/>
      </w:pPr>
      <w:rPr>
        <w:b/>
        <w:bCs/>
      </w:rPr>
    </w:lvl>
    <w:lvl w:ilvl="1">
      <w:start w:val="1"/>
      <w:numFmt w:val="lowerLetter"/>
      <w:lvlText w:val="%2)"/>
      <w:legacy w:legacy="1" w:legacySpace="0" w:legacyIndent="425"/>
      <w:lvlJc w:val="left"/>
      <w:pPr>
        <w:ind w:left="850" w:hanging="425"/>
      </w:pPr>
      <w:rPr>
        <w:b/>
      </w:r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9" w15:restartNumberingAfterBreak="0">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10" w15:restartNumberingAfterBreak="0">
    <w:nsid w:val="6BF03261"/>
    <w:multiLevelType w:val="hybridMultilevel"/>
    <w:tmpl w:val="69926042"/>
    <w:lvl w:ilvl="0" w:tplc="54082824">
      <w:start w:val="1"/>
      <w:numFmt w:val="decimal"/>
      <w:lvlText w:val="%1."/>
      <w:lvlJc w:val="left"/>
      <w:pPr>
        <w:ind w:left="3196" w:hanging="360"/>
      </w:pPr>
      <w:rPr>
        <w:rFonts w:cs="Arial Narrow" w:hint="default"/>
      </w:rPr>
    </w:lvl>
    <w:lvl w:ilvl="1" w:tplc="041B0019" w:tentative="1">
      <w:start w:val="1"/>
      <w:numFmt w:val="lowerLetter"/>
      <w:lvlText w:val="%2."/>
      <w:lvlJc w:val="left"/>
      <w:pPr>
        <w:ind w:left="3916" w:hanging="360"/>
      </w:pPr>
      <w:rPr>
        <w:rFonts w:cs="Times New Roman"/>
      </w:rPr>
    </w:lvl>
    <w:lvl w:ilvl="2" w:tplc="041B001B" w:tentative="1">
      <w:start w:val="1"/>
      <w:numFmt w:val="lowerRoman"/>
      <w:lvlText w:val="%3."/>
      <w:lvlJc w:val="right"/>
      <w:pPr>
        <w:ind w:left="4636" w:hanging="180"/>
      </w:pPr>
      <w:rPr>
        <w:rFonts w:cs="Times New Roman"/>
      </w:rPr>
    </w:lvl>
    <w:lvl w:ilvl="3" w:tplc="041B000F" w:tentative="1">
      <w:start w:val="1"/>
      <w:numFmt w:val="decimal"/>
      <w:lvlText w:val="%4."/>
      <w:lvlJc w:val="left"/>
      <w:pPr>
        <w:ind w:left="5356" w:hanging="360"/>
      </w:pPr>
      <w:rPr>
        <w:rFonts w:cs="Times New Roman"/>
      </w:rPr>
    </w:lvl>
    <w:lvl w:ilvl="4" w:tplc="041B0019" w:tentative="1">
      <w:start w:val="1"/>
      <w:numFmt w:val="lowerLetter"/>
      <w:lvlText w:val="%5."/>
      <w:lvlJc w:val="left"/>
      <w:pPr>
        <w:ind w:left="6076" w:hanging="360"/>
      </w:pPr>
      <w:rPr>
        <w:rFonts w:cs="Times New Roman"/>
      </w:rPr>
    </w:lvl>
    <w:lvl w:ilvl="5" w:tplc="041B001B" w:tentative="1">
      <w:start w:val="1"/>
      <w:numFmt w:val="lowerRoman"/>
      <w:lvlText w:val="%6."/>
      <w:lvlJc w:val="right"/>
      <w:pPr>
        <w:ind w:left="6796" w:hanging="180"/>
      </w:pPr>
      <w:rPr>
        <w:rFonts w:cs="Times New Roman"/>
      </w:rPr>
    </w:lvl>
    <w:lvl w:ilvl="6" w:tplc="041B000F" w:tentative="1">
      <w:start w:val="1"/>
      <w:numFmt w:val="decimal"/>
      <w:lvlText w:val="%7."/>
      <w:lvlJc w:val="left"/>
      <w:pPr>
        <w:ind w:left="7516" w:hanging="360"/>
      </w:pPr>
      <w:rPr>
        <w:rFonts w:cs="Times New Roman"/>
      </w:rPr>
    </w:lvl>
    <w:lvl w:ilvl="7" w:tplc="041B0019" w:tentative="1">
      <w:start w:val="1"/>
      <w:numFmt w:val="lowerLetter"/>
      <w:lvlText w:val="%8."/>
      <w:lvlJc w:val="left"/>
      <w:pPr>
        <w:ind w:left="8236" w:hanging="360"/>
      </w:pPr>
      <w:rPr>
        <w:rFonts w:cs="Times New Roman"/>
      </w:rPr>
    </w:lvl>
    <w:lvl w:ilvl="8" w:tplc="041B001B" w:tentative="1">
      <w:start w:val="1"/>
      <w:numFmt w:val="lowerRoman"/>
      <w:lvlText w:val="%9."/>
      <w:lvlJc w:val="right"/>
      <w:pPr>
        <w:ind w:left="8956" w:hanging="180"/>
      </w:pPr>
      <w:rPr>
        <w:rFonts w:cs="Times New Roman"/>
      </w:rPr>
    </w:lvl>
  </w:abstractNum>
  <w:abstractNum w:abstractNumId="11" w15:restartNumberingAfterBreak="0">
    <w:nsid w:val="7C09451C"/>
    <w:multiLevelType w:val="multilevel"/>
    <w:tmpl w:val="FC50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C06BC2"/>
    <w:multiLevelType w:val="multilevel"/>
    <w:tmpl w:val="70DE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4"/>
  </w:num>
  <w:num w:numId="4">
    <w:abstractNumId w:val="2"/>
  </w:num>
  <w:num w:numId="5">
    <w:abstractNumId w:val="0"/>
  </w:num>
  <w:num w:numId="6">
    <w:abstractNumId w:val="11"/>
  </w:num>
  <w:num w:numId="7">
    <w:abstractNumId w:val="12"/>
  </w:num>
  <w:num w:numId="8">
    <w:abstractNumId w:val="3"/>
  </w:num>
  <w:num w:numId="9">
    <w:abstractNumId w:val="1"/>
  </w:num>
  <w:num w:numId="10">
    <w:abstractNumId w:val="10"/>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91"/>
    <w:rsid w:val="00000627"/>
    <w:rsid w:val="0000109A"/>
    <w:rsid w:val="000076A9"/>
    <w:rsid w:val="000123E9"/>
    <w:rsid w:val="00012948"/>
    <w:rsid w:val="00014782"/>
    <w:rsid w:val="00025ED5"/>
    <w:rsid w:val="00030077"/>
    <w:rsid w:val="00046C33"/>
    <w:rsid w:val="00054061"/>
    <w:rsid w:val="000644A2"/>
    <w:rsid w:val="00086349"/>
    <w:rsid w:val="00086851"/>
    <w:rsid w:val="00087337"/>
    <w:rsid w:val="000A13A4"/>
    <w:rsid w:val="000A5314"/>
    <w:rsid w:val="000A72EC"/>
    <w:rsid w:val="000B0C86"/>
    <w:rsid w:val="000B6DA2"/>
    <w:rsid w:val="000C755E"/>
    <w:rsid w:val="000D2C0A"/>
    <w:rsid w:val="000D3A05"/>
    <w:rsid w:val="000E0D2B"/>
    <w:rsid w:val="000E4CBD"/>
    <w:rsid w:val="000F792F"/>
    <w:rsid w:val="0010177A"/>
    <w:rsid w:val="00106F2D"/>
    <w:rsid w:val="00111D33"/>
    <w:rsid w:val="00112A40"/>
    <w:rsid w:val="00121568"/>
    <w:rsid w:val="00121C8D"/>
    <w:rsid w:val="001307C0"/>
    <w:rsid w:val="0013508C"/>
    <w:rsid w:val="00145E52"/>
    <w:rsid w:val="001522A5"/>
    <w:rsid w:val="00156CE5"/>
    <w:rsid w:val="00161DDC"/>
    <w:rsid w:val="001664F5"/>
    <w:rsid w:val="00166969"/>
    <w:rsid w:val="00176C55"/>
    <w:rsid w:val="00177D07"/>
    <w:rsid w:val="00181470"/>
    <w:rsid w:val="00183A06"/>
    <w:rsid w:val="00185427"/>
    <w:rsid w:val="00190FC0"/>
    <w:rsid w:val="001918F5"/>
    <w:rsid w:val="00193476"/>
    <w:rsid w:val="0019568B"/>
    <w:rsid w:val="0019573E"/>
    <w:rsid w:val="00197472"/>
    <w:rsid w:val="0019789C"/>
    <w:rsid w:val="001A0EA4"/>
    <w:rsid w:val="001A3F0B"/>
    <w:rsid w:val="001A6184"/>
    <w:rsid w:val="001B0176"/>
    <w:rsid w:val="001B1195"/>
    <w:rsid w:val="001B5F74"/>
    <w:rsid w:val="001B776F"/>
    <w:rsid w:val="001C0481"/>
    <w:rsid w:val="001C19A1"/>
    <w:rsid w:val="001C3657"/>
    <w:rsid w:val="001C7871"/>
    <w:rsid w:val="001D3990"/>
    <w:rsid w:val="001E2193"/>
    <w:rsid w:val="001E28D3"/>
    <w:rsid w:val="001E31DC"/>
    <w:rsid w:val="001E7F86"/>
    <w:rsid w:val="001F2552"/>
    <w:rsid w:val="001F3CF3"/>
    <w:rsid w:val="001F4E0C"/>
    <w:rsid w:val="001F554F"/>
    <w:rsid w:val="001F55CF"/>
    <w:rsid w:val="00201D26"/>
    <w:rsid w:val="002062AB"/>
    <w:rsid w:val="002074CF"/>
    <w:rsid w:val="00216A4A"/>
    <w:rsid w:val="00223D15"/>
    <w:rsid w:val="002243BD"/>
    <w:rsid w:val="0022751F"/>
    <w:rsid w:val="00232106"/>
    <w:rsid w:val="0024073C"/>
    <w:rsid w:val="00244387"/>
    <w:rsid w:val="002540E8"/>
    <w:rsid w:val="0025749D"/>
    <w:rsid w:val="00267379"/>
    <w:rsid w:val="002719B4"/>
    <w:rsid w:val="00272618"/>
    <w:rsid w:val="00275CD7"/>
    <w:rsid w:val="00283F26"/>
    <w:rsid w:val="002865EC"/>
    <w:rsid w:val="00287D0F"/>
    <w:rsid w:val="00293A0E"/>
    <w:rsid w:val="002A0B41"/>
    <w:rsid w:val="002A37C5"/>
    <w:rsid w:val="002A42A2"/>
    <w:rsid w:val="002C467A"/>
    <w:rsid w:val="002C6DA7"/>
    <w:rsid w:val="002D26AA"/>
    <w:rsid w:val="002D33C4"/>
    <w:rsid w:val="002D3E61"/>
    <w:rsid w:val="002E0191"/>
    <w:rsid w:val="002E2C98"/>
    <w:rsid w:val="002F1475"/>
    <w:rsid w:val="00312E67"/>
    <w:rsid w:val="003179CC"/>
    <w:rsid w:val="00323322"/>
    <w:rsid w:val="0032661B"/>
    <w:rsid w:val="00330914"/>
    <w:rsid w:val="003321B0"/>
    <w:rsid w:val="00342AFF"/>
    <w:rsid w:val="0034386E"/>
    <w:rsid w:val="003456A0"/>
    <w:rsid w:val="0035021B"/>
    <w:rsid w:val="003550B7"/>
    <w:rsid w:val="00362B8D"/>
    <w:rsid w:val="003765D1"/>
    <w:rsid w:val="00387C38"/>
    <w:rsid w:val="003A7AE4"/>
    <w:rsid w:val="003C5EB0"/>
    <w:rsid w:val="003C6BB6"/>
    <w:rsid w:val="003D6923"/>
    <w:rsid w:val="003D7173"/>
    <w:rsid w:val="003E3AE4"/>
    <w:rsid w:val="003E3DB6"/>
    <w:rsid w:val="003E3E82"/>
    <w:rsid w:val="003E4448"/>
    <w:rsid w:val="003E580E"/>
    <w:rsid w:val="00405305"/>
    <w:rsid w:val="004057D4"/>
    <w:rsid w:val="00417B76"/>
    <w:rsid w:val="00421D37"/>
    <w:rsid w:val="00422083"/>
    <w:rsid w:val="004220D4"/>
    <w:rsid w:val="00423F32"/>
    <w:rsid w:val="004306E4"/>
    <w:rsid w:val="00431B3A"/>
    <w:rsid w:val="004338B9"/>
    <w:rsid w:val="00442492"/>
    <w:rsid w:val="0045408A"/>
    <w:rsid w:val="004547BE"/>
    <w:rsid w:val="00461CA7"/>
    <w:rsid w:val="004732CE"/>
    <w:rsid w:val="004752C9"/>
    <w:rsid w:val="004771E9"/>
    <w:rsid w:val="00477350"/>
    <w:rsid w:val="00482113"/>
    <w:rsid w:val="00483D23"/>
    <w:rsid w:val="00484F07"/>
    <w:rsid w:val="0049159F"/>
    <w:rsid w:val="00491F99"/>
    <w:rsid w:val="004943D5"/>
    <w:rsid w:val="00496CBB"/>
    <w:rsid w:val="00497B7B"/>
    <w:rsid w:val="004A518F"/>
    <w:rsid w:val="004B3B4E"/>
    <w:rsid w:val="004C2320"/>
    <w:rsid w:val="004C4A91"/>
    <w:rsid w:val="004C61C4"/>
    <w:rsid w:val="004C74C4"/>
    <w:rsid w:val="004D7C12"/>
    <w:rsid w:val="004E35AA"/>
    <w:rsid w:val="004F6370"/>
    <w:rsid w:val="004F74A9"/>
    <w:rsid w:val="00501CF4"/>
    <w:rsid w:val="00513C44"/>
    <w:rsid w:val="00522DFA"/>
    <w:rsid w:val="005250CE"/>
    <w:rsid w:val="00525CD1"/>
    <w:rsid w:val="00532B42"/>
    <w:rsid w:val="005338AF"/>
    <w:rsid w:val="00554A9F"/>
    <w:rsid w:val="0058023E"/>
    <w:rsid w:val="00582DFA"/>
    <w:rsid w:val="00583B4D"/>
    <w:rsid w:val="00586261"/>
    <w:rsid w:val="00596332"/>
    <w:rsid w:val="005B6487"/>
    <w:rsid w:val="005B6995"/>
    <w:rsid w:val="005C4364"/>
    <w:rsid w:val="005C797B"/>
    <w:rsid w:val="005D34AF"/>
    <w:rsid w:val="005D3501"/>
    <w:rsid w:val="005D3AB9"/>
    <w:rsid w:val="005D7B93"/>
    <w:rsid w:val="005E4CDC"/>
    <w:rsid w:val="005E68BC"/>
    <w:rsid w:val="005E6D74"/>
    <w:rsid w:val="005F3542"/>
    <w:rsid w:val="005F4B42"/>
    <w:rsid w:val="005F7E82"/>
    <w:rsid w:val="00603ED7"/>
    <w:rsid w:val="00604640"/>
    <w:rsid w:val="00606262"/>
    <w:rsid w:val="00610F3B"/>
    <w:rsid w:val="0062538C"/>
    <w:rsid w:val="006266E0"/>
    <w:rsid w:val="006364DD"/>
    <w:rsid w:val="006404AD"/>
    <w:rsid w:val="00640B06"/>
    <w:rsid w:val="00645C06"/>
    <w:rsid w:val="00645E67"/>
    <w:rsid w:val="006465FA"/>
    <w:rsid w:val="006544B5"/>
    <w:rsid w:val="00654B7A"/>
    <w:rsid w:val="00655547"/>
    <w:rsid w:val="00657783"/>
    <w:rsid w:val="006651FC"/>
    <w:rsid w:val="00667B74"/>
    <w:rsid w:val="00672B49"/>
    <w:rsid w:val="00683BA9"/>
    <w:rsid w:val="006868A7"/>
    <w:rsid w:val="0069524A"/>
    <w:rsid w:val="00697DDD"/>
    <w:rsid w:val="006A4EF4"/>
    <w:rsid w:val="006B206F"/>
    <w:rsid w:val="006C38FC"/>
    <w:rsid w:val="006E30D6"/>
    <w:rsid w:val="006E74BA"/>
    <w:rsid w:val="006F2CA7"/>
    <w:rsid w:val="006F4200"/>
    <w:rsid w:val="0071645E"/>
    <w:rsid w:val="007164BF"/>
    <w:rsid w:val="007172FB"/>
    <w:rsid w:val="00721380"/>
    <w:rsid w:val="007277C0"/>
    <w:rsid w:val="00732D0F"/>
    <w:rsid w:val="007516A7"/>
    <w:rsid w:val="00757A61"/>
    <w:rsid w:val="00757F6F"/>
    <w:rsid w:val="00774E0B"/>
    <w:rsid w:val="00776F43"/>
    <w:rsid w:val="00781E5B"/>
    <w:rsid w:val="00790236"/>
    <w:rsid w:val="007964E5"/>
    <w:rsid w:val="00797641"/>
    <w:rsid w:val="007A164A"/>
    <w:rsid w:val="007A3E87"/>
    <w:rsid w:val="007A4ABF"/>
    <w:rsid w:val="007B19CB"/>
    <w:rsid w:val="007B2DC2"/>
    <w:rsid w:val="007B5D48"/>
    <w:rsid w:val="007C0B27"/>
    <w:rsid w:val="007C1094"/>
    <w:rsid w:val="007D0443"/>
    <w:rsid w:val="007D047F"/>
    <w:rsid w:val="007F198C"/>
    <w:rsid w:val="007F78D4"/>
    <w:rsid w:val="007F792C"/>
    <w:rsid w:val="0080216E"/>
    <w:rsid w:val="00815440"/>
    <w:rsid w:val="00815717"/>
    <w:rsid w:val="008170C8"/>
    <w:rsid w:val="00817E6D"/>
    <w:rsid w:val="008203E4"/>
    <w:rsid w:val="008248B5"/>
    <w:rsid w:val="00845BEF"/>
    <w:rsid w:val="00846A75"/>
    <w:rsid w:val="00852A00"/>
    <w:rsid w:val="0086056E"/>
    <w:rsid w:val="00864CB2"/>
    <w:rsid w:val="008664C6"/>
    <w:rsid w:val="008674D3"/>
    <w:rsid w:val="008730C2"/>
    <w:rsid w:val="008827AE"/>
    <w:rsid w:val="008830BA"/>
    <w:rsid w:val="00891342"/>
    <w:rsid w:val="008928A9"/>
    <w:rsid w:val="00893A02"/>
    <w:rsid w:val="008A49B8"/>
    <w:rsid w:val="008A4E3A"/>
    <w:rsid w:val="008B0368"/>
    <w:rsid w:val="008B3369"/>
    <w:rsid w:val="008B56D1"/>
    <w:rsid w:val="008C6C83"/>
    <w:rsid w:val="008D5481"/>
    <w:rsid w:val="008F6B32"/>
    <w:rsid w:val="00902F77"/>
    <w:rsid w:val="009075CB"/>
    <w:rsid w:val="00911977"/>
    <w:rsid w:val="009119B1"/>
    <w:rsid w:val="00911A8D"/>
    <w:rsid w:val="00912650"/>
    <w:rsid w:val="009176F0"/>
    <w:rsid w:val="0092017E"/>
    <w:rsid w:val="00925F9D"/>
    <w:rsid w:val="009272E5"/>
    <w:rsid w:val="009303A6"/>
    <w:rsid w:val="0094087E"/>
    <w:rsid w:val="00947814"/>
    <w:rsid w:val="00947A5F"/>
    <w:rsid w:val="00954930"/>
    <w:rsid w:val="00960664"/>
    <w:rsid w:val="009617CC"/>
    <w:rsid w:val="009643F5"/>
    <w:rsid w:val="009666D2"/>
    <w:rsid w:val="009769D0"/>
    <w:rsid w:val="00980020"/>
    <w:rsid w:val="00981B1A"/>
    <w:rsid w:val="0098412F"/>
    <w:rsid w:val="0098563A"/>
    <w:rsid w:val="00987FE9"/>
    <w:rsid w:val="00997F82"/>
    <w:rsid w:val="009A3CF7"/>
    <w:rsid w:val="009A6B70"/>
    <w:rsid w:val="009A7224"/>
    <w:rsid w:val="009B0330"/>
    <w:rsid w:val="009B0FDE"/>
    <w:rsid w:val="009B1EE9"/>
    <w:rsid w:val="009B26C3"/>
    <w:rsid w:val="009B6720"/>
    <w:rsid w:val="009B7FFD"/>
    <w:rsid w:val="009C163F"/>
    <w:rsid w:val="009C221A"/>
    <w:rsid w:val="009C50A0"/>
    <w:rsid w:val="009C70BE"/>
    <w:rsid w:val="009D17B5"/>
    <w:rsid w:val="009D4299"/>
    <w:rsid w:val="009D5CF1"/>
    <w:rsid w:val="009E1AF9"/>
    <w:rsid w:val="009F1C17"/>
    <w:rsid w:val="00A023E4"/>
    <w:rsid w:val="00A07395"/>
    <w:rsid w:val="00A07632"/>
    <w:rsid w:val="00A36959"/>
    <w:rsid w:val="00A40FB1"/>
    <w:rsid w:val="00A5051A"/>
    <w:rsid w:val="00A52A8A"/>
    <w:rsid w:val="00A60728"/>
    <w:rsid w:val="00A6226C"/>
    <w:rsid w:val="00A65382"/>
    <w:rsid w:val="00A7300A"/>
    <w:rsid w:val="00A806B1"/>
    <w:rsid w:val="00A844E3"/>
    <w:rsid w:val="00A87643"/>
    <w:rsid w:val="00A97AF9"/>
    <w:rsid w:val="00AA206F"/>
    <w:rsid w:val="00AA25B8"/>
    <w:rsid w:val="00AA2F27"/>
    <w:rsid w:val="00AA641B"/>
    <w:rsid w:val="00AB1CCC"/>
    <w:rsid w:val="00AB1EDF"/>
    <w:rsid w:val="00AB4B6C"/>
    <w:rsid w:val="00AC3B4A"/>
    <w:rsid w:val="00AC4875"/>
    <w:rsid w:val="00AC7789"/>
    <w:rsid w:val="00AD5A62"/>
    <w:rsid w:val="00AE0886"/>
    <w:rsid w:val="00AE1628"/>
    <w:rsid w:val="00AE2BD8"/>
    <w:rsid w:val="00AE2F0D"/>
    <w:rsid w:val="00AE42F5"/>
    <w:rsid w:val="00AF385F"/>
    <w:rsid w:val="00AF55A3"/>
    <w:rsid w:val="00AF7C8C"/>
    <w:rsid w:val="00B03964"/>
    <w:rsid w:val="00B07A9F"/>
    <w:rsid w:val="00B3296C"/>
    <w:rsid w:val="00B32AF9"/>
    <w:rsid w:val="00B4216E"/>
    <w:rsid w:val="00B440BA"/>
    <w:rsid w:val="00B46875"/>
    <w:rsid w:val="00B47151"/>
    <w:rsid w:val="00B47BE8"/>
    <w:rsid w:val="00B53ABB"/>
    <w:rsid w:val="00B550E2"/>
    <w:rsid w:val="00B55479"/>
    <w:rsid w:val="00B5737E"/>
    <w:rsid w:val="00B61855"/>
    <w:rsid w:val="00B648DC"/>
    <w:rsid w:val="00B67B9A"/>
    <w:rsid w:val="00B735CB"/>
    <w:rsid w:val="00B76EA1"/>
    <w:rsid w:val="00B97038"/>
    <w:rsid w:val="00BA1052"/>
    <w:rsid w:val="00BB3A4A"/>
    <w:rsid w:val="00BB5203"/>
    <w:rsid w:val="00BD16DE"/>
    <w:rsid w:val="00BD5BE5"/>
    <w:rsid w:val="00BD7531"/>
    <w:rsid w:val="00BE0846"/>
    <w:rsid w:val="00BE338A"/>
    <w:rsid w:val="00BE4F19"/>
    <w:rsid w:val="00BE7CCD"/>
    <w:rsid w:val="00BF03DA"/>
    <w:rsid w:val="00BF604A"/>
    <w:rsid w:val="00C0389F"/>
    <w:rsid w:val="00C04413"/>
    <w:rsid w:val="00C271CD"/>
    <w:rsid w:val="00C3032E"/>
    <w:rsid w:val="00C30F8B"/>
    <w:rsid w:val="00C34205"/>
    <w:rsid w:val="00C42D69"/>
    <w:rsid w:val="00C47467"/>
    <w:rsid w:val="00C57C0B"/>
    <w:rsid w:val="00C63A39"/>
    <w:rsid w:val="00C70CBA"/>
    <w:rsid w:val="00C728EB"/>
    <w:rsid w:val="00C91CC0"/>
    <w:rsid w:val="00CA6412"/>
    <w:rsid w:val="00CB22E4"/>
    <w:rsid w:val="00CB3E76"/>
    <w:rsid w:val="00CB40F0"/>
    <w:rsid w:val="00CC3ADA"/>
    <w:rsid w:val="00CC7F6A"/>
    <w:rsid w:val="00CE4115"/>
    <w:rsid w:val="00CF6E86"/>
    <w:rsid w:val="00D04096"/>
    <w:rsid w:val="00D11007"/>
    <w:rsid w:val="00D122DC"/>
    <w:rsid w:val="00D33058"/>
    <w:rsid w:val="00D344DD"/>
    <w:rsid w:val="00D45A11"/>
    <w:rsid w:val="00D45DB3"/>
    <w:rsid w:val="00D45FE4"/>
    <w:rsid w:val="00D46A83"/>
    <w:rsid w:val="00D504C2"/>
    <w:rsid w:val="00D517AD"/>
    <w:rsid w:val="00D53D52"/>
    <w:rsid w:val="00D602B5"/>
    <w:rsid w:val="00D6260F"/>
    <w:rsid w:val="00D64D69"/>
    <w:rsid w:val="00D71DA9"/>
    <w:rsid w:val="00D72C00"/>
    <w:rsid w:val="00D741D4"/>
    <w:rsid w:val="00D76C11"/>
    <w:rsid w:val="00D80A3F"/>
    <w:rsid w:val="00D87659"/>
    <w:rsid w:val="00D91CBE"/>
    <w:rsid w:val="00D9261B"/>
    <w:rsid w:val="00D94B95"/>
    <w:rsid w:val="00D969FF"/>
    <w:rsid w:val="00DA45EC"/>
    <w:rsid w:val="00DA4E14"/>
    <w:rsid w:val="00DA52D6"/>
    <w:rsid w:val="00DA7642"/>
    <w:rsid w:val="00DB1115"/>
    <w:rsid w:val="00DC0F7A"/>
    <w:rsid w:val="00DC1847"/>
    <w:rsid w:val="00DC1DF2"/>
    <w:rsid w:val="00DC32BA"/>
    <w:rsid w:val="00DC5431"/>
    <w:rsid w:val="00DC55DE"/>
    <w:rsid w:val="00DC6F58"/>
    <w:rsid w:val="00DE0771"/>
    <w:rsid w:val="00DE10B6"/>
    <w:rsid w:val="00DE20B4"/>
    <w:rsid w:val="00DE337E"/>
    <w:rsid w:val="00DE6083"/>
    <w:rsid w:val="00DE7F97"/>
    <w:rsid w:val="00DF2FF0"/>
    <w:rsid w:val="00DF46F5"/>
    <w:rsid w:val="00E10D0E"/>
    <w:rsid w:val="00E15CD6"/>
    <w:rsid w:val="00E24B88"/>
    <w:rsid w:val="00E26358"/>
    <w:rsid w:val="00E31512"/>
    <w:rsid w:val="00E32DD5"/>
    <w:rsid w:val="00E3436B"/>
    <w:rsid w:val="00E34FE2"/>
    <w:rsid w:val="00E40940"/>
    <w:rsid w:val="00E41696"/>
    <w:rsid w:val="00E43043"/>
    <w:rsid w:val="00E46714"/>
    <w:rsid w:val="00E5013C"/>
    <w:rsid w:val="00E522E4"/>
    <w:rsid w:val="00E5240D"/>
    <w:rsid w:val="00E53538"/>
    <w:rsid w:val="00E541B3"/>
    <w:rsid w:val="00E63204"/>
    <w:rsid w:val="00E650E1"/>
    <w:rsid w:val="00E75E1C"/>
    <w:rsid w:val="00E76615"/>
    <w:rsid w:val="00E76FB9"/>
    <w:rsid w:val="00E8632D"/>
    <w:rsid w:val="00E916C8"/>
    <w:rsid w:val="00E91F8F"/>
    <w:rsid w:val="00E92141"/>
    <w:rsid w:val="00EA0AB5"/>
    <w:rsid w:val="00EA68D3"/>
    <w:rsid w:val="00EB633F"/>
    <w:rsid w:val="00EC59F6"/>
    <w:rsid w:val="00EC5AAC"/>
    <w:rsid w:val="00ED2F4A"/>
    <w:rsid w:val="00ED4FED"/>
    <w:rsid w:val="00ED6F91"/>
    <w:rsid w:val="00EF09FE"/>
    <w:rsid w:val="00EF209E"/>
    <w:rsid w:val="00EF521E"/>
    <w:rsid w:val="00EF62E2"/>
    <w:rsid w:val="00F01F02"/>
    <w:rsid w:val="00F033CC"/>
    <w:rsid w:val="00F07584"/>
    <w:rsid w:val="00F10917"/>
    <w:rsid w:val="00F165C2"/>
    <w:rsid w:val="00F207C5"/>
    <w:rsid w:val="00F25131"/>
    <w:rsid w:val="00F32166"/>
    <w:rsid w:val="00F438AD"/>
    <w:rsid w:val="00F4409E"/>
    <w:rsid w:val="00F45BD2"/>
    <w:rsid w:val="00F541BE"/>
    <w:rsid w:val="00F561EA"/>
    <w:rsid w:val="00F64833"/>
    <w:rsid w:val="00F66D86"/>
    <w:rsid w:val="00F7085E"/>
    <w:rsid w:val="00F723B3"/>
    <w:rsid w:val="00F73A20"/>
    <w:rsid w:val="00F73C33"/>
    <w:rsid w:val="00F75C2B"/>
    <w:rsid w:val="00F7772C"/>
    <w:rsid w:val="00F83337"/>
    <w:rsid w:val="00F85826"/>
    <w:rsid w:val="00F94322"/>
    <w:rsid w:val="00F97FFE"/>
    <w:rsid w:val="00FA0B34"/>
    <w:rsid w:val="00FA5817"/>
    <w:rsid w:val="00FA76A2"/>
    <w:rsid w:val="00FB1D46"/>
    <w:rsid w:val="00FB7394"/>
    <w:rsid w:val="00FC6464"/>
    <w:rsid w:val="00FC78AF"/>
    <w:rsid w:val="00FE3A43"/>
    <w:rsid w:val="00FF02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190D6"/>
  <w15:chartTrackingRefBased/>
  <w15:docId w15:val="{EC966DBB-D5A1-4C59-92EB-B4169BF3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6F91"/>
    <w:rPr>
      <w:rFonts w:ascii="Arial" w:hAnsi="Arial" w:cs="Arial"/>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iPriority w:val="99"/>
    <w:rsid w:val="00ED6F91"/>
    <w:pPr>
      <w:ind w:firstLine="709"/>
      <w:jc w:val="both"/>
    </w:pPr>
    <w:rPr>
      <w:rFonts w:ascii="Times New Roman" w:hAnsi="Times New Roman" w:cs="Times New Roman"/>
    </w:rPr>
  </w:style>
  <w:style w:type="paragraph" w:styleId="Nzov">
    <w:name w:val="Title"/>
    <w:basedOn w:val="Normlny"/>
    <w:qFormat/>
    <w:rsid w:val="00ED6F91"/>
    <w:pPr>
      <w:jc w:val="center"/>
    </w:pPr>
    <w:rPr>
      <w:rFonts w:ascii="Times New Roman" w:hAnsi="Times New Roman" w:cs="Times New Roman"/>
      <w:b/>
      <w:bCs/>
    </w:rPr>
  </w:style>
  <w:style w:type="paragraph" w:styleId="Zkladntext">
    <w:name w:val="Body Text"/>
    <w:basedOn w:val="Normlny"/>
    <w:link w:val="ZkladntextChar"/>
    <w:uiPriority w:val="99"/>
    <w:rsid w:val="00ED6F91"/>
    <w:pPr>
      <w:spacing w:after="120"/>
    </w:pPr>
    <w:rPr>
      <w:rFonts w:ascii="Times New Roman" w:hAnsi="Times New Roman" w:cs="Times New Roman"/>
      <w:lang w:eastAsia="cs-CZ"/>
    </w:rPr>
  </w:style>
  <w:style w:type="character" w:styleId="Zvraznenie">
    <w:name w:val="Emphasis"/>
    <w:uiPriority w:val="20"/>
    <w:qFormat/>
    <w:rsid w:val="00ED6F91"/>
    <w:rPr>
      <w:i/>
      <w:iCs/>
    </w:rPr>
  </w:style>
  <w:style w:type="character" w:styleId="Hypertextovprepojenie">
    <w:name w:val="Hyperlink"/>
    <w:rsid w:val="00ED6F91"/>
    <w:rPr>
      <w:color w:val="0000FF"/>
      <w:u w:val="single"/>
    </w:rPr>
  </w:style>
  <w:style w:type="character" w:customStyle="1" w:styleId="ZkladntextChar0">
    <w:name w:val="Základní text Char"/>
    <w:rsid w:val="00ED6F91"/>
    <w:rPr>
      <w:snapToGrid w:val="0"/>
      <w:color w:val="000000"/>
      <w:sz w:val="24"/>
      <w:szCs w:val="24"/>
      <w:lang w:val="sk-SK" w:eastAsia="sk-SK"/>
    </w:rPr>
  </w:style>
  <w:style w:type="paragraph" w:styleId="Pta">
    <w:name w:val="footer"/>
    <w:basedOn w:val="Normlny"/>
    <w:link w:val="PtaChar"/>
    <w:uiPriority w:val="99"/>
    <w:rsid w:val="0019789C"/>
    <w:pPr>
      <w:tabs>
        <w:tab w:val="center" w:pos="4536"/>
        <w:tab w:val="right" w:pos="9072"/>
      </w:tabs>
    </w:pPr>
  </w:style>
  <w:style w:type="character" w:styleId="slostrany">
    <w:name w:val="page number"/>
    <w:basedOn w:val="Predvolenpsmoodseku"/>
    <w:rsid w:val="0019789C"/>
  </w:style>
  <w:style w:type="paragraph" w:customStyle="1" w:styleId="c02alineaalta">
    <w:name w:val="c02alineaalta"/>
    <w:basedOn w:val="Normlny"/>
    <w:rsid w:val="00176C55"/>
    <w:pPr>
      <w:spacing w:after="240"/>
      <w:ind w:left="567"/>
      <w:jc w:val="both"/>
    </w:pPr>
    <w:rPr>
      <w:sz w:val="22"/>
      <w:szCs w:val="22"/>
    </w:rPr>
  </w:style>
  <w:style w:type="paragraph" w:customStyle="1" w:styleId="Normlnywebov8">
    <w:name w:val="Normálny (webový)8"/>
    <w:basedOn w:val="Normlny"/>
    <w:rsid w:val="00FF0218"/>
    <w:pPr>
      <w:spacing w:before="84" w:after="84"/>
      <w:ind w:left="251" w:right="251"/>
    </w:pPr>
    <w:rPr>
      <w:rFonts w:ascii="Times New Roman" w:hAnsi="Times New Roman" w:cs="Times New Roman"/>
      <w:sz w:val="22"/>
      <w:szCs w:val="22"/>
    </w:rPr>
  </w:style>
  <w:style w:type="character" w:styleId="Siln">
    <w:name w:val="Strong"/>
    <w:uiPriority w:val="22"/>
    <w:qFormat/>
    <w:rsid w:val="00FF0218"/>
    <w:rPr>
      <w:b/>
      <w:bCs/>
    </w:rPr>
  </w:style>
  <w:style w:type="paragraph" w:styleId="Hlavika">
    <w:name w:val="header"/>
    <w:basedOn w:val="Normlny"/>
    <w:rsid w:val="004732CE"/>
    <w:pPr>
      <w:tabs>
        <w:tab w:val="center" w:pos="4536"/>
        <w:tab w:val="right" w:pos="9072"/>
      </w:tabs>
    </w:pPr>
  </w:style>
  <w:style w:type="paragraph" w:customStyle="1" w:styleId="Zkladntext0">
    <w:name w:val="Základní text"/>
    <w:uiPriority w:val="99"/>
    <w:rsid w:val="00E63204"/>
    <w:pPr>
      <w:widowControl w:val="0"/>
      <w:snapToGrid w:val="0"/>
    </w:pPr>
    <w:rPr>
      <w:color w:val="000000"/>
      <w:sz w:val="24"/>
    </w:rPr>
  </w:style>
  <w:style w:type="character" w:customStyle="1" w:styleId="ZarkazkladnhotextuChar">
    <w:name w:val="Zarážka základného textu Char"/>
    <w:link w:val="Zarkazkladnhotextu"/>
    <w:uiPriority w:val="99"/>
    <w:locked/>
    <w:rsid w:val="003A7AE4"/>
    <w:rPr>
      <w:sz w:val="24"/>
      <w:szCs w:val="24"/>
    </w:rPr>
  </w:style>
  <w:style w:type="paragraph" w:customStyle="1" w:styleId="Default">
    <w:name w:val="Default"/>
    <w:rsid w:val="00846A7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846A75"/>
    <w:rPr>
      <w:rFonts w:cs="Times New Roman"/>
      <w:color w:val="auto"/>
    </w:rPr>
  </w:style>
  <w:style w:type="paragraph" w:customStyle="1" w:styleId="CM3">
    <w:name w:val="CM3"/>
    <w:basedOn w:val="Default"/>
    <w:next w:val="Default"/>
    <w:uiPriority w:val="99"/>
    <w:rsid w:val="00846A75"/>
    <w:rPr>
      <w:rFonts w:cs="Times New Roman"/>
      <w:color w:val="auto"/>
    </w:rPr>
  </w:style>
  <w:style w:type="paragraph" w:customStyle="1" w:styleId="CM4">
    <w:name w:val="CM4"/>
    <w:basedOn w:val="Default"/>
    <w:next w:val="Default"/>
    <w:uiPriority w:val="99"/>
    <w:rsid w:val="00846A75"/>
    <w:rPr>
      <w:rFonts w:cs="Times New Roman"/>
      <w:color w:val="auto"/>
    </w:rPr>
  </w:style>
  <w:style w:type="character" w:customStyle="1" w:styleId="ZkladntextChar">
    <w:name w:val="Základný text Char"/>
    <w:link w:val="Zkladntext"/>
    <w:uiPriority w:val="99"/>
    <w:rsid w:val="006A4EF4"/>
    <w:rPr>
      <w:sz w:val="24"/>
      <w:szCs w:val="24"/>
      <w:lang w:eastAsia="cs-CZ"/>
    </w:rPr>
  </w:style>
  <w:style w:type="paragraph" w:styleId="Textbubliny">
    <w:name w:val="Balloon Text"/>
    <w:basedOn w:val="Normlny"/>
    <w:link w:val="TextbublinyChar"/>
    <w:uiPriority w:val="99"/>
    <w:semiHidden/>
    <w:unhideWhenUsed/>
    <w:rsid w:val="00DC0F7A"/>
    <w:rPr>
      <w:rFonts w:ascii="Tahoma" w:hAnsi="Tahoma" w:cs="Tahoma"/>
      <w:sz w:val="16"/>
      <w:szCs w:val="16"/>
    </w:rPr>
  </w:style>
  <w:style w:type="character" w:customStyle="1" w:styleId="TextbublinyChar">
    <w:name w:val="Text bubliny Char"/>
    <w:link w:val="Textbubliny"/>
    <w:uiPriority w:val="99"/>
    <w:semiHidden/>
    <w:rsid w:val="00DC0F7A"/>
    <w:rPr>
      <w:rFonts w:ascii="Tahoma" w:hAnsi="Tahoma" w:cs="Tahoma"/>
      <w:sz w:val="16"/>
      <w:szCs w:val="16"/>
    </w:rPr>
  </w:style>
  <w:style w:type="paragraph" w:styleId="Odsekzoznamu">
    <w:name w:val="List Paragraph"/>
    <w:basedOn w:val="Normlny"/>
    <w:uiPriority w:val="34"/>
    <w:qFormat/>
    <w:rsid w:val="00522DFA"/>
    <w:pPr>
      <w:widowControl w:val="0"/>
      <w:adjustRightInd w:val="0"/>
      <w:ind w:left="720"/>
      <w:contextualSpacing/>
    </w:pPr>
    <w:rPr>
      <w:rFonts w:ascii="Times New Roman" w:hAnsi="Times New Roman" w:cs="Times New Roman"/>
    </w:rPr>
  </w:style>
  <w:style w:type="paragraph" w:customStyle="1" w:styleId="Zkladntext1">
    <w:name w:val="Zkladn text"/>
    <w:rsid w:val="00F45BD2"/>
    <w:pPr>
      <w:widowControl w:val="0"/>
      <w:autoSpaceDE w:val="0"/>
      <w:autoSpaceDN w:val="0"/>
    </w:pPr>
    <w:rPr>
      <w:color w:val="000000"/>
    </w:rPr>
  </w:style>
  <w:style w:type="paragraph" w:styleId="Normlnywebov">
    <w:name w:val="Normal (Web)"/>
    <w:basedOn w:val="Normlny"/>
    <w:rsid w:val="00757F6F"/>
    <w:pPr>
      <w:spacing w:before="125" w:after="125"/>
      <w:ind w:left="563" w:right="438"/>
    </w:pPr>
    <w:rPr>
      <w:rFonts w:ascii="Times New Roman" w:hAnsi="Times New Roman" w:cs="Times New Roman"/>
      <w:sz w:val="19"/>
      <w:szCs w:val="19"/>
    </w:rPr>
  </w:style>
  <w:style w:type="paragraph" w:customStyle="1" w:styleId="hidden">
    <w:name w:val="hidden"/>
    <w:basedOn w:val="Normlny"/>
    <w:rsid w:val="008203E4"/>
    <w:pPr>
      <w:spacing w:after="150"/>
    </w:pPr>
    <w:rPr>
      <w:rFonts w:ascii="Times New Roman" w:hAnsi="Times New Roman" w:cs="Times New Roman"/>
      <w:vanish/>
    </w:rPr>
  </w:style>
  <w:style w:type="paragraph" w:customStyle="1" w:styleId="textundertitle">
    <w:name w:val="textundertitle"/>
    <w:basedOn w:val="Normlny"/>
    <w:rsid w:val="00925F9D"/>
    <w:pPr>
      <w:spacing w:after="30"/>
    </w:pPr>
    <w:rPr>
      <w:rFonts w:ascii="Times New Roman" w:hAnsi="Times New Roman" w:cs="Times New Roman"/>
    </w:rPr>
  </w:style>
  <w:style w:type="paragraph" w:customStyle="1" w:styleId="c08dispositif">
    <w:name w:val="c08dispositif"/>
    <w:basedOn w:val="Normlny"/>
    <w:rsid w:val="00E75E1C"/>
    <w:pPr>
      <w:spacing w:before="100" w:beforeAutospacing="1" w:after="240"/>
      <w:ind w:left="1134" w:hanging="567"/>
      <w:jc w:val="both"/>
    </w:pPr>
    <w:rPr>
      <w:rFonts w:ascii="Times New Roman" w:hAnsi="Times New Roman" w:cs="Times New Roman"/>
      <w:b/>
      <w:bCs/>
    </w:rPr>
  </w:style>
  <w:style w:type="character" w:customStyle="1" w:styleId="ovfl-xlt1">
    <w:name w:val="ovfl-xlt1"/>
    <w:basedOn w:val="Predvolenpsmoodseku"/>
    <w:rsid w:val="00D80A3F"/>
    <w:rPr>
      <w:rFonts w:ascii="Arial" w:hAnsi="Arial" w:cs="Arial" w:hint="default"/>
      <w:caps/>
      <w:color w:val="F4B400"/>
      <w:sz w:val="21"/>
      <w:szCs w:val="21"/>
    </w:rPr>
  </w:style>
  <w:style w:type="character" w:customStyle="1" w:styleId="snck-msg3">
    <w:name w:val="snck-msg3"/>
    <w:basedOn w:val="Predvolenpsmoodseku"/>
    <w:rsid w:val="00D80A3F"/>
    <w:rPr>
      <w:color w:val="FFFFFF"/>
    </w:rPr>
  </w:style>
  <w:style w:type="character" w:customStyle="1" w:styleId="cmty-btn1">
    <w:name w:val="cmty-btn1"/>
    <w:basedOn w:val="Predvolenpsmoodseku"/>
    <w:rsid w:val="00D80A3F"/>
    <w:rPr>
      <w:rFonts w:ascii="Arial" w:hAnsi="Arial" w:cs="Arial" w:hint="default"/>
      <w:caps/>
      <w:color w:val="F4B400"/>
      <w:sz w:val="21"/>
      <w:szCs w:val="21"/>
    </w:rPr>
  </w:style>
  <w:style w:type="character" w:customStyle="1" w:styleId="tlid-result-container-error-button">
    <w:name w:val="tlid-result-container-error-button"/>
    <w:basedOn w:val="Predvolenpsmoodseku"/>
    <w:rsid w:val="00D80A3F"/>
  </w:style>
  <w:style w:type="character" w:customStyle="1" w:styleId="empty-placeholder3">
    <w:name w:val="empty-placeholder3"/>
    <w:basedOn w:val="Predvolenpsmoodseku"/>
    <w:rsid w:val="00D80A3F"/>
  </w:style>
  <w:style w:type="character" w:customStyle="1" w:styleId="translating-placeholder">
    <w:name w:val="translating-placeholder"/>
    <w:basedOn w:val="Predvolenpsmoodseku"/>
    <w:rsid w:val="00D80A3F"/>
  </w:style>
  <w:style w:type="character" w:customStyle="1" w:styleId="tlid-translation">
    <w:name w:val="tlid-translation"/>
    <w:basedOn w:val="Predvolenpsmoodseku"/>
    <w:rsid w:val="00D80A3F"/>
  </w:style>
  <w:style w:type="character" w:customStyle="1" w:styleId="PtaChar">
    <w:name w:val="Päta Char"/>
    <w:basedOn w:val="Predvolenpsmoodseku"/>
    <w:link w:val="Pta"/>
    <w:uiPriority w:val="99"/>
    <w:rsid w:val="001B1195"/>
    <w:rPr>
      <w:rFonts w:ascii="Arial" w:hAnsi="Arial" w:cs="Arial"/>
      <w:sz w:val="24"/>
      <w:szCs w:val="24"/>
    </w:rPr>
  </w:style>
  <w:style w:type="character" w:styleId="Odkaznakomentr">
    <w:name w:val="annotation reference"/>
    <w:basedOn w:val="Predvolenpsmoodseku"/>
    <w:uiPriority w:val="99"/>
    <w:semiHidden/>
    <w:unhideWhenUsed/>
    <w:rsid w:val="003C5EB0"/>
    <w:rPr>
      <w:sz w:val="16"/>
      <w:szCs w:val="16"/>
    </w:rPr>
  </w:style>
  <w:style w:type="paragraph" w:styleId="Textkomentra">
    <w:name w:val="annotation text"/>
    <w:basedOn w:val="Normlny"/>
    <w:link w:val="TextkomentraChar"/>
    <w:uiPriority w:val="99"/>
    <w:semiHidden/>
    <w:unhideWhenUsed/>
    <w:rsid w:val="003C5EB0"/>
    <w:rPr>
      <w:sz w:val="20"/>
      <w:szCs w:val="20"/>
    </w:rPr>
  </w:style>
  <w:style w:type="character" w:customStyle="1" w:styleId="TextkomentraChar">
    <w:name w:val="Text komentára Char"/>
    <w:basedOn w:val="Predvolenpsmoodseku"/>
    <w:link w:val="Textkomentra"/>
    <w:uiPriority w:val="99"/>
    <w:semiHidden/>
    <w:rsid w:val="003C5EB0"/>
    <w:rPr>
      <w:rFonts w:ascii="Arial" w:hAnsi="Arial" w:cs="Arial"/>
    </w:rPr>
  </w:style>
  <w:style w:type="paragraph" w:styleId="Predmetkomentra">
    <w:name w:val="annotation subject"/>
    <w:basedOn w:val="Textkomentra"/>
    <w:next w:val="Textkomentra"/>
    <w:link w:val="PredmetkomentraChar"/>
    <w:uiPriority w:val="99"/>
    <w:semiHidden/>
    <w:unhideWhenUsed/>
    <w:rsid w:val="003C5EB0"/>
    <w:rPr>
      <w:b/>
      <w:bCs/>
    </w:rPr>
  </w:style>
  <w:style w:type="character" w:customStyle="1" w:styleId="PredmetkomentraChar">
    <w:name w:val="Predmet komentára Char"/>
    <w:basedOn w:val="TextkomentraChar"/>
    <w:link w:val="Predmetkomentra"/>
    <w:uiPriority w:val="99"/>
    <w:semiHidden/>
    <w:rsid w:val="003C5EB0"/>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5449">
      <w:bodyDiv w:val="1"/>
      <w:marLeft w:val="0"/>
      <w:marRight w:val="0"/>
      <w:marTop w:val="0"/>
      <w:marBottom w:val="0"/>
      <w:divBdr>
        <w:top w:val="none" w:sz="0" w:space="0" w:color="auto"/>
        <w:left w:val="none" w:sz="0" w:space="0" w:color="auto"/>
        <w:bottom w:val="none" w:sz="0" w:space="0" w:color="auto"/>
        <w:right w:val="none" w:sz="0" w:space="0" w:color="auto"/>
      </w:divBdr>
    </w:div>
    <w:div w:id="92938864">
      <w:bodyDiv w:val="1"/>
      <w:marLeft w:val="0"/>
      <w:marRight w:val="0"/>
      <w:marTop w:val="0"/>
      <w:marBottom w:val="0"/>
      <w:divBdr>
        <w:top w:val="none" w:sz="0" w:space="0" w:color="auto"/>
        <w:left w:val="none" w:sz="0" w:space="0" w:color="auto"/>
        <w:bottom w:val="none" w:sz="0" w:space="0" w:color="auto"/>
        <w:right w:val="none" w:sz="0" w:space="0" w:color="auto"/>
      </w:divBdr>
      <w:divsChild>
        <w:div w:id="4917216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1115874">
      <w:bodyDiv w:val="1"/>
      <w:marLeft w:val="390"/>
      <w:marRight w:val="390"/>
      <w:marTop w:val="0"/>
      <w:marBottom w:val="0"/>
      <w:divBdr>
        <w:top w:val="none" w:sz="0" w:space="0" w:color="auto"/>
        <w:left w:val="none" w:sz="0" w:space="0" w:color="auto"/>
        <w:bottom w:val="none" w:sz="0" w:space="0" w:color="auto"/>
        <w:right w:val="none" w:sz="0" w:space="0" w:color="auto"/>
      </w:divBdr>
      <w:divsChild>
        <w:div w:id="776605600">
          <w:marLeft w:val="0"/>
          <w:marRight w:val="0"/>
          <w:marTop w:val="0"/>
          <w:marBottom w:val="0"/>
          <w:divBdr>
            <w:top w:val="none" w:sz="0" w:space="0" w:color="auto"/>
            <w:left w:val="none" w:sz="0" w:space="0" w:color="auto"/>
            <w:bottom w:val="none" w:sz="0" w:space="0" w:color="auto"/>
            <w:right w:val="none" w:sz="0" w:space="0" w:color="auto"/>
          </w:divBdr>
          <w:divsChild>
            <w:div w:id="1290671493">
              <w:marLeft w:val="0"/>
              <w:marRight w:val="0"/>
              <w:marTop w:val="0"/>
              <w:marBottom w:val="0"/>
              <w:divBdr>
                <w:top w:val="none" w:sz="0" w:space="0" w:color="auto"/>
                <w:left w:val="none" w:sz="0" w:space="0" w:color="auto"/>
                <w:bottom w:val="none" w:sz="0" w:space="0" w:color="auto"/>
                <w:right w:val="none" w:sz="0" w:space="0" w:color="auto"/>
              </w:divBdr>
              <w:divsChild>
                <w:div w:id="1454253978">
                  <w:marLeft w:val="-150"/>
                  <w:marRight w:val="-150"/>
                  <w:marTop w:val="0"/>
                  <w:marBottom w:val="0"/>
                  <w:divBdr>
                    <w:top w:val="none" w:sz="0" w:space="0" w:color="auto"/>
                    <w:left w:val="none" w:sz="0" w:space="0" w:color="auto"/>
                    <w:bottom w:val="none" w:sz="0" w:space="0" w:color="auto"/>
                    <w:right w:val="none" w:sz="0" w:space="0" w:color="auto"/>
                  </w:divBdr>
                  <w:divsChild>
                    <w:div w:id="6855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5771">
      <w:bodyDiv w:val="1"/>
      <w:marLeft w:val="0"/>
      <w:marRight w:val="0"/>
      <w:marTop w:val="0"/>
      <w:marBottom w:val="0"/>
      <w:divBdr>
        <w:top w:val="none" w:sz="0" w:space="0" w:color="auto"/>
        <w:left w:val="none" w:sz="0" w:space="0" w:color="auto"/>
        <w:bottom w:val="none" w:sz="0" w:space="0" w:color="auto"/>
        <w:right w:val="none" w:sz="0" w:space="0" w:color="auto"/>
      </w:divBdr>
      <w:divsChild>
        <w:div w:id="1132209862">
          <w:marLeft w:val="0"/>
          <w:marRight w:val="0"/>
          <w:marTop w:val="0"/>
          <w:marBottom w:val="0"/>
          <w:divBdr>
            <w:top w:val="none" w:sz="0" w:space="0" w:color="auto"/>
            <w:left w:val="none" w:sz="0" w:space="0" w:color="auto"/>
            <w:bottom w:val="none" w:sz="0" w:space="0" w:color="auto"/>
            <w:right w:val="none" w:sz="0" w:space="0" w:color="auto"/>
          </w:divBdr>
          <w:divsChild>
            <w:div w:id="594241421">
              <w:marLeft w:val="0"/>
              <w:marRight w:val="0"/>
              <w:marTop w:val="0"/>
              <w:marBottom w:val="0"/>
              <w:divBdr>
                <w:top w:val="none" w:sz="0" w:space="0" w:color="auto"/>
                <w:left w:val="none" w:sz="0" w:space="0" w:color="auto"/>
                <w:bottom w:val="none" w:sz="0" w:space="0" w:color="auto"/>
                <w:right w:val="none" w:sz="0" w:space="0" w:color="auto"/>
              </w:divBdr>
              <w:divsChild>
                <w:div w:id="310714501">
                  <w:marLeft w:val="0"/>
                  <w:marRight w:val="0"/>
                  <w:marTop w:val="0"/>
                  <w:marBottom w:val="0"/>
                  <w:divBdr>
                    <w:top w:val="none" w:sz="0" w:space="0" w:color="auto"/>
                    <w:left w:val="none" w:sz="0" w:space="0" w:color="auto"/>
                    <w:bottom w:val="none" w:sz="0" w:space="0" w:color="auto"/>
                    <w:right w:val="none" w:sz="0" w:space="0" w:color="auto"/>
                  </w:divBdr>
                  <w:divsChild>
                    <w:div w:id="875703429">
                      <w:marLeft w:val="-150"/>
                      <w:marRight w:val="-150"/>
                      <w:marTop w:val="0"/>
                      <w:marBottom w:val="0"/>
                      <w:divBdr>
                        <w:top w:val="none" w:sz="0" w:space="0" w:color="auto"/>
                        <w:left w:val="none" w:sz="0" w:space="0" w:color="auto"/>
                        <w:bottom w:val="none" w:sz="0" w:space="0" w:color="auto"/>
                        <w:right w:val="none" w:sz="0" w:space="0" w:color="auto"/>
                      </w:divBdr>
                      <w:divsChild>
                        <w:div w:id="485362607">
                          <w:marLeft w:val="0"/>
                          <w:marRight w:val="0"/>
                          <w:marTop w:val="0"/>
                          <w:marBottom w:val="0"/>
                          <w:divBdr>
                            <w:top w:val="none" w:sz="0" w:space="0" w:color="auto"/>
                            <w:left w:val="none" w:sz="0" w:space="0" w:color="auto"/>
                            <w:bottom w:val="none" w:sz="0" w:space="0" w:color="auto"/>
                            <w:right w:val="none" w:sz="0" w:space="0" w:color="auto"/>
                          </w:divBdr>
                          <w:divsChild>
                            <w:div w:id="1490487501">
                              <w:marLeft w:val="0"/>
                              <w:marRight w:val="0"/>
                              <w:marTop w:val="0"/>
                              <w:marBottom w:val="0"/>
                              <w:divBdr>
                                <w:top w:val="none" w:sz="0" w:space="0" w:color="auto"/>
                                <w:left w:val="none" w:sz="0" w:space="0" w:color="auto"/>
                                <w:bottom w:val="none" w:sz="0" w:space="0" w:color="auto"/>
                                <w:right w:val="none" w:sz="0" w:space="0" w:color="auto"/>
                              </w:divBdr>
                              <w:divsChild>
                                <w:div w:id="1890267268">
                                  <w:marLeft w:val="0"/>
                                  <w:marRight w:val="0"/>
                                  <w:marTop w:val="0"/>
                                  <w:marBottom w:val="300"/>
                                  <w:divBdr>
                                    <w:top w:val="none" w:sz="0" w:space="0" w:color="auto"/>
                                    <w:left w:val="none" w:sz="0" w:space="0" w:color="auto"/>
                                    <w:bottom w:val="none" w:sz="0" w:space="0" w:color="auto"/>
                                    <w:right w:val="none" w:sz="0" w:space="0" w:color="auto"/>
                                  </w:divBdr>
                                  <w:divsChild>
                                    <w:div w:id="1806972491">
                                      <w:marLeft w:val="0"/>
                                      <w:marRight w:val="0"/>
                                      <w:marTop w:val="0"/>
                                      <w:marBottom w:val="0"/>
                                      <w:divBdr>
                                        <w:top w:val="none" w:sz="0" w:space="0" w:color="auto"/>
                                        <w:left w:val="none" w:sz="0" w:space="0" w:color="auto"/>
                                        <w:bottom w:val="none" w:sz="0" w:space="0" w:color="auto"/>
                                        <w:right w:val="none" w:sz="0" w:space="0" w:color="auto"/>
                                      </w:divBdr>
                                      <w:divsChild>
                                        <w:div w:id="2058628812">
                                          <w:marLeft w:val="0"/>
                                          <w:marRight w:val="0"/>
                                          <w:marTop w:val="0"/>
                                          <w:marBottom w:val="0"/>
                                          <w:divBdr>
                                            <w:top w:val="none" w:sz="0" w:space="0" w:color="auto"/>
                                            <w:left w:val="none" w:sz="0" w:space="0" w:color="auto"/>
                                            <w:bottom w:val="none" w:sz="0" w:space="0" w:color="auto"/>
                                            <w:right w:val="none" w:sz="0" w:space="0" w:color="auto"/>
                                          </w:divBdr>
                                          <w:divsChild>
                                            <w:div w:id="14456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341604">
      <w:bodyDiv w:val="1"/>
      <w:marLeft w:val="0"/>
      <w:marRight w:val="0"/>
      <w:marTop w:val="0"/>
      <w:marBottom w:val="0"/>
      <w:divBdr>
        <w:top w:val="none" w:sz="0" w:space="0" w:color="auto"/>
        <w:left w:val="none" w:sz="0" w:space="0" w:color="auto"/>
        <w:bottom w:val="none" w:sz="0" w:space="0" w:color="auto"/>
        <w:right w:val="none" w:sz="0" w:space="0" w:color="auto"/>
      </w:divBdr>
    </w:div>
    <w:div w:id="577176811">
      <w:bodyDiv w:val="1"/>
      <w:marLeft w:val="0"/>
      <w:marRight w:val="0"/>
      <w:marTop w:val="0"/>
      <w:marBottom w:val="0"/>
      <w:divBdr>
        <w:top w:val="none" w:sz="0" w:space="0" w:color="auto"/>
        <w:left w:val="none" w:sz="0" w:space="0" w:color="auto"/>
        <w:bottom w:val="none" w:sz="0" w:space="0" w:color="auto"/>
        <w:right w:val="none" w:sz="0" w:space="0" w:color="auto"/>
      </w:divBdr>
      <w:divsChild>
        <w:div w:id="404962262">
          <w:marLeft w:val="0"/>
          <w:marRight w:val="0"/>
          <w:marTop w:val="0"/>
          <w:marBottom w:val="0"/>
          <w:divBdr>
            <w:top w:val="none" w:sz="0" w:space="0" w:color="auto"/>
            <w:left w:val="none" w:sz="0" w:space="0" w:color="auto"/>
            <w:bottom w:val="none" w:sz="0" w:space="0" w:color="auto"/>
            <w:right w:val="none" w:sz="0" w:space="0" w:color="auto"/>
          </w:divBdr>
          <w:divsChild>
            <w:div w:id="67464237">
              <w:marLeft w:val="0"/>
              <w:marRight w:val="0"/>
              <w:marTop w:val="0"/>
              <w:marBottom w:val="0"/>
              <w:divBdr>
                <w:top w:val="none" w:sz="0" w:space="0" w:color="auto"/>
                <w:left w:val="none" w:sz="0" w:space="0" w:color="auto"/>
                <w:bottom w:val="none" w:sz="0" w:space="0" w:color="auto"/>
                <w:right w:val="none" w:sz="0" w:space="0" w:color="auto"/>
              </w:divBdr>
              <w:divsChild>
                <w:div w:id="781340164">
                  <w:marLeft w:val="0"/>
                  <w:marRight w:val="0"/>
                  <w:marTop w:val="0"/>
                  <w:marBottom w:val="0"/>
                  <w:divBdr>
                    <w:top w:val="none" w:sz="0" w:space="0" w:color="auto"/>
                    <w:left w:val="none" w:sz="0" w:space="0" w:color="auto"/>
                    <w:bottom w:val="none" w:sz="0" w:space="0" w:color="auto"/>
                    <w:right w:val="none" w:sz="0" w:space="0" w:color="auto"/>
                  </w:divBdr>
                  <w:divsChild>
                    <w:div w:id="1439712175">
                      <w:marLeft w:val="0"/>
                      <w:marRight w:val="0"/>
                      <w:marTop w:val="0"/>
                      <w:marBottom w:val="0"/>
                      <w:divBdr>
                        <w:top w:val="none" w:sz="0" w:space="0" w:color="auto"/>
                        <w:left w:val="none" w:sz="0" w:space="0" w:color="auto"/>
                        <w:bottom w:val="none" w:sz="0" w:space="0" w:color="auto"/>
                        <w:right w:val="none" w:sz="0" w:space="0" w:color="auto"/>
                      </w:divBdr>
                      <w:divsChild>
                        <w:div w:id="1749961312">
                          <w:marLeft w:val="0"/>
                          <w:marRight w:val="0"/>
                          <w:marTop w:val="0"/>
                          <w:marBottom w:val="0"/>
                          <w:divBdr>
                            <w:top w:val="none" w:sz="0" w:space="0" w:color="auto"/>
                            <w:left w:val="none" w:sz="0" w:space="0" w:color="auto"/>
                            <w:bottom w:val="none" w:sz="0" w:space="0" w:color="auto"/>
                            <w:right w:val="none" w:sz="0" w:space="0" w:color="auto"/>
                          </w:divBdr>
                          <w:divsChild>
                            <w:div w:id="425418226">
                              <w:marLeft w:val="0"/>
                              <w:marRight w:val="0"/>
                              <w:marTop w:val="0"/>
                              <w:marBottom w:val="0"/>
                              <w:divBdr>
                                <w:top w:val="none" w:sz="0" w:space="0" w:color="auto"/>
                                <w:left w:val="none" w:sz="0" w:space="0" w:color="auto"/>
                                <w:bottom w:val="none" w:sz="0" w:space="0" w:color="auto"/>
                                <w:right w:val="none" w:sz="0" w:space="0" w:color="auto"/>
                              </w:divBdr>
                              <w:divsChild>
                                <w:div w:id="1289320446">
                                  <w:marLeft w:val="0"/>
                                  <w:marRight w:val="0"/>
                                  <w:marTop w:val="0"/>
                                  <w:marBottom w:val="0"/>
                                  <w:divBdr>
                                    <w:top w:val="none" w:sz="0" w:space="0" w:color="auto"/>
                                    <w:left w:val="none" w:sz="0" w:space="0" w:color="auto"/>
                                    <w:bottom w:val="none" w:sz="0" w:space="0" w:color="auto"/>
                                    <w:right w:val="none" w:sz="0" w:space="0" w:color="auto"/>
                                  </w:divBdr>
                                  <w:divsChild>
                                    <w:div w:id="96410838">
                                      <w:marLeft w:val="0"/>
                                      <w:marRight w:val="0"/>
                                      <w:marTop w:val="0"/>
                                      <w:marBottom w:val="0"/>
                                      <w:divBdr>
                                        <w:top w:val="none" w:sz="0" w:space="0" w:color="auto"/>
                                        <w:left w:val="none" w:sz="0" w:space="0" w:color="auto"/>
                                        <w:bottom w:val="none" w:sz="0" w:space="0" w:color="auto"/>
                                        <w:right w:val="none" w:sz="0" w:space="0" w:color="auto"/>
                                      </w:divBdr>
                                      <w:divsChild>
                                        <w:div w:id="1089153904">
                                          <w:marLeft w:val="0"/>
                                          <w:marRight w:val="0"/>
                                          <w:marTop w:val="0"/>
                                          <w:marBottom w:val="0"/>
                                          <w:divBdr>
                                            <w:top w:val="none" w:sz="0" w:space="0" w:color="auto"/>
                                            <w:left w:val="none" w:sz="0" w:space="0" w:color="auto"/>
                                            <w:bottom w:val="none" w:sz="0" w:space="0" w:color="auto"/>
                                            <w:right w:val="none" w:sz="0" w:space="0" w:color="auto"/>
                                          </w:divBdr>
                                          <w:divsChild>
                                            <w:div w:id="923607712">
                                              <w:marLeft w:val="0"/>
                                              <w:marRight w:val="0"/>
                                              <w:marTop w:val="0"/>
                                              <w:marBottom w:val="0"/>
                                              <w:divBdr>
                                                <w:top w:val="none" w:sz="0" w:space="0" w:color="auto"/>
                                                <w:left w:val="none" w:sz="0" w:space="0" w:color="auto"/>
                                                <w:bottom w:val="none" w:sz="0" w:space="0" w:color="auto"/>
                                                <w:right w:val="none" w:sz="0" w:space="0" w:color="auto"/>
                                              </w:divBdr>
                                              <w:divsChild>
                                                <w:div w:id="1757898204">
                                                  <w:marLeft w:val="0"/>
                                                  <w:marRight w:val="0"/>
                                                  <w:marTop w:val="0"/>
                                                  <w:marBottom w:val="0"/>
                                                  <w:divBdr>
                                                    <w:top w:val="none" w:sz="0" w:space="0" w:color="auto"/>
                                                    <w:left w:val="none" w:sz="0" w:space="0" w:color="auto"/>
                                                    <w:bottom w:val="none" w:sz="0" w:space="0" w:color="auto"/>
                                                    <w:right w:val="none" w:sz="0" w:space="0" w:color="auto"/>
                                                  </w:divBdr>
                                                </w:div>
                                                <w:div w:id="1317299502">
                                                  <w:marLeft w:val="0"/>
                                                  <w:marRight w:val="0"/>
                                                  <w:marTop w:val="0"/>
                                                  <w:marBottom w:val="0"/>
                                                  <w:divBdr>
                                                    <w:top w:val="none" w:sz="0" w:space="0" w:color="auto"/>
                                                    <w:left w:val="none" w:sz="0" w:space="0" w:color="auto"/>
                                                    <w:bottom w:val="none" w:sz="0" w:space="0" w:color="auto"/>
                                                    <w:right w:val="none" w:sz="0" w:space="0" w:color="auto"/>
                                                  </w:divBdr>
                                                </w:div>
                                              </w:divsChild>
                                            </w:div>
                                            <w:div w:id="1527864882">
                                              <w:marLeft w:val="0"/>
                                              <w:marRight w:val="0"/>
                                              <w:marTop w:val="0"/>
                                              <w:marBottom w:val="0"/>
                                              <w:divBdr>
                                                <w:top w:val="none" w:sz="0" w:space="0" w:color="auto"/>
                                                <w:left w:val="none" w:sz="0" w:space="0" w:color="auto"/>
                                                <w:bottom w:val="none" w:sz="0" w:space="0" w:color="auto"/>
                                                <w:right w:val="none" w:sz="0" w:space="0" w:color="auto"/>
                                              </w:divBdr>
                                              <w:divsChild>
                                                <w:div w:id="1422488423">
                                                  <w:marLeft w:val="0"/>
                                                  <w:marRight w:val="0"/>
                                                  <w:marTop w:val="0"/>
                                                  <w:marBottom w:val="0"/>
                                                  <w:divBdr>
                                                    <w:top w:val="none" w:sz="0" w:space="0" w:color="auto"/>
                                                    <w:left w:val="none" w:sz="0" w:space="0" w:color="auto"/>
                                                    <w:bottom w:val="none" w:sz="0" w:space="0" w:color="auto"/>
                                                    <w:right w:val="none" w:sz="0" w:space="0" w:color="auto"/>
                                                  </w:divBdr>
                                                  <w:divsChild>
                                                    <w:div w:id="14451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80179">
                                  <w:marLeft w:val="0"/>
                                  <w:marRight w:val="60"/>
                                  <w:marTop w:val="0"/>
                                  <w:marBottom w:val="0"/>
                                  <w:divBdr>
                                    <w:top w:val="none" w:sz="0" w:space="0" w:color="auto"/>
                                    <w:left w:val="none" w:sz="0" w:space="0" w:color="auto"/>
                                    <w:bottom w:val="none" w:sz="0" w:space="0" w:color="auto"/>
                                    <w:right w:val="none" w:sz="0" w:space="0" w:color="auto"/>
                                  </w:divBdr>
                                  <w:divsChild>
                                    <w:div w:id="2120221642">
                                      <w:marLeft w:val="0"/>
                                      <w:marRight w:val="0"/>
                                      <w:marTop w:val="0"/>
                                      <w:marBottom w:val="0"/>
                                      <w:divBdr>
                                        <w:top w:val="none" w:sz="0" w:space="0" w:color="auto"/>
                                        <w:left w:val="none" w:sz="0" w:space="0" w:color="auto"/>
                                        <w:bottom w:val="none" w:sz="0" w:space="0" w:color="auto"/>
                                        <w:right w:val="none" w:sz="0" w:space="0" w:color="auto"/>
                                      </w:divBdr>
                                    </w:div>
                                  </w:divsChild>
                                </w:div>
                                <w:div w:id="70123894">
                                  <w:marLeft w:val="0"/>
                                  <w:marRight w:val="60"/>
                                  <w:marTop w:val="0"/>
                                  <w:marBottom w:val="0"/>
                                  <w:divBdr>
                                    <w:top w:val="none" w:sz="0" w:space="0" w:color="auto"/>
                                    <w:left w:val="none" w:sz="0" w:space="0" w:color="auto"/>
                                    <w:bottom w:val="none" w:sz="0" w:space="0" w:color="auto"/>
                                    <w:right w:val="none" w:sz="0" w:space="0" w:color="auto"/>
                                  </w:divBdr>
                                  <w:divsChild>
                                    <w:div w:id="4489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5716">
                              <w:marLeft w:val="0"/>
                              <w:marRight w:val="0"/>
                              <w:marTop w:val="0"/>
                              <w:marBottom w:val="0"/>
                              <w:divBdr>
                                <w:top w:val="none" w:sz="0" w:space="0" w:color="auto"/>
                                <w:left w:val="none" w:sz="0" w:space="0" w:color="auto"/>
                                <w:bottom w:val="none" w:sz="0" w:space="0" w:color="auto"/>
                                <w:right w:val="none" w:sz="0" w:space="0" w:color="auto"/>
                              </w:divBdr>
                              <w:divsChild>
                                <w:div w:id="690492513">
                                  <w:marLeft w:val="0"/>
                                  <w:marRight w:val="0"/>
                                  <w:marTop w:val="0"/>
                                  <w:marBottom w:val="0"/>
                                  <w:divBdr>
                                    <w:top w:val="none" w:sz="0" w:space="0" w:color="auto"/>
                                    <w:left w:val="none" w:sz="0" w:space="0" w:color="auto"/>
                                    <w:bottom w:val="none" w:sz="0" w:space="0" w:color="auto"/>
                                    <w:right w:val="none" w:sz="0" w:space="0" w:color="auto"/>
                                  </w:divBdr>
                                </w:div>
                                <w:div w:id="1438334015">
                                  <w:marLeft w:val="0"/>
                                  <w:marRight w:val="0"/>
                                  <w:marTop w:val="0"/>
                                  <w:marBottom w:val="0"/>
                                  <w:divBdr>
                                    <w:top w:val="none" w:sz="0" w:space="0" w:color="auto"/>
                                    <w:left w:val="none" w:sz="0" w:space="0" w:color="auto"/>
                                    <w:bottom w:val="none" w:sz="0" w:space="0" w:color="auto"/>
                                    <w:right w:val="none" w:sz="0" w:space="0" w:color="auto"/>
                                  </w:divBdr>
                                </w:div>
                                <w:div w:id="1744831179">
                                  <w:marLeft w:val="0"/>
                                  <w:marRight w:val="0"/>
                                  <w:marTop w:val="0"/>
                                  <w:marBottom w:val="0"/>
                                  <w:divBdr>
                                    <w:top w:val="none" w:sz="0" w:space="0" w:color="auto"/>
                                    <w:left w:val="none" w:sz="0" w:space="0" w:color="auto"/>
                                    <w:bottom w:val="none" w:sz="0" w:space="0" w:color="auto"/>
                                    <w:right w:val="none" w:sz="0" w:space="0" w:color="auto"/>
                                  </w:divBdr>
                                  <w:divsChild>
                                    <w:div w:id="1089234880">
                                      <w:marLeft w:val="0"/>
                                      <w:marRight w:val="0"/>
                                      <w:marTop w:val="0"/>
                                      <w:marBottom w:val="0"/>
                                      <w:divBdr>
                                        <w:top w:val="none" w:sz="0" w:space="0" w:color="auto"/>
                                        <w:left w:val="none" w:sz="0" w:space="0" w:color="auto"/>
                                        <w:bottom w:val="none" w:sz="0" w:space="0" w:color="auto"/>
                                        <w:right w:val="none" w:sz="0" w:space="0" w:color="auto"/>
                                      </w:divBdr>
                                      <w:divsChild>
                                        <w:div w:id="444615927">
                                          <w:marLeft w:val="0"/>
                                          <w:marRight w:val="0"/>
                                          <w:marTop w:val="0"/>
                                          <w:marBottom w:val="495"/>
                                          <w:divBdr>
                                            <w:top w:val="none" w:sz="0" w:space="0" w:color="auto"/>
                                            <w:left w:val="none" w:sz="0" w:space="0" w:color="auto"/>
                                            <w:bottom w:val="none" w:sz="0" w:space="0" w:color="auto"/>
                                            <w:right w:val="none" w:sz="0" w:space="0" w:color="auto"/>
                                          </w:divBdr>
                                          <w:divsChild>
                                            <w:div w:id="17618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464528">
      <w:bodyDiv w:val="1"/>
      <w:marLeft w:val="0"/>
      <w:marRight w:val="0"/>
      <w:marTop w:val="0"/>
      <w:marBottom w:val="0"/>
      <w:divBdr>
        <w:top w:val="none" w:sz="0" w:space="0" w:color="auto"/>
        <w:left w:val="none" w:sz="0" w:space="0" w:color="auto"/>
        <w:bottom w:val="none" w:sz="0" w:space="0" w:color="auto"/>
        <w:right w:val="none" w:sz="0" w:space="0" w:color="auto"/>
      </w:divBdr>
      <w:divsChild>
        <w:div w:id="157692602">
          <w:marLeft w:val="0"/>
          <w:marRight w:val="0"/>
          <w:marTop w:val="0"/>
          <w:marBottom w:val="0"/>
          <w:divBdr>
            <w:top w:val="none" w:sz="0" w:space="0" w:color="auto"/>
            <w:left w:val="none" w:sz="0" w:space="0" w:color="auto"/>
            <w:bottom w:val="none" w:sz="0" w:space="0" w:color="auto"/>
            <w:right w:val="none" w:sz="0" w:space="0" w:color="auto"/>
          </w:divBdr>
          <w:divsChild>
            <w:div w:id="685641976">
              <w:marLeft w:val="0"/>
              <w:marRight w:val="0"/>
              <w:marTop w:val="0"/>
              <w:marBottom w:val="0"/>
              <w:divBdr>
                <w:top w:val="none" w:sz="0" w:space="0" w:color="auto"/>
                <w:left w:val="none" w:sz="0" w:space="0" w:color="auto"/>
                <w:bottom w:val="none" w:sz="0" w:space="0" w:color="auto"/>
                <w:right w:val="none" w:sz="0" w:space="0" w:color="auto"/>
              </w:divBdr>
              <w:divsChild>
                <w:div w:id="1371951981">
                  <w:marLeft w:val="0"/>
                  <w:marRight w:val="0"/>
                  <w:marTop w:val="0"/>
                  <w:marBottom w:val="0"/>
                  <w:divBdr>
                    <w:top w:val="none" w:sz="0" w:space="0" w:color="auto"/>
                    <w:left w:val="none" w:sz="0" w:space="0" w:color="auto"/>
                    <w:bottom w:val="none" w:sz="0" w:space="0" w:color="auto"/>
                    <w:right w:val="none" w:sz="0" w:space="0" w:color="auto"/>
                  </w:divBdr>
                  <w:divsChild>
                    <w:div w:id="76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74461">
      <w:bodyDiv w:val="1"/>
      <w:marLeft w:val="0"/>
      <w:marRight w:val="0"/>
      <w:marTop w:val="0"/>
      <w:marBottom w:val="0"/>
      <w:divBdr>
        <w:top w:val="none" w:sz="0" w:space="0" w:color="auto"/>
        <w:left w:val="none" w:sz="0" w:space="0" w:color="auto"/>
        <w:bottom w:val="none" w:sz="0" w:space="0" w:color="auto"/>
        <w:right w:val="none" w:sz="0" w:space="0" w:color="auto"/>
      </w:divBdr>
    </w:div>
    <w:div w:id="777874559">
      <w:bodyDiv w:val="1"/>
      <w:marLeft w:val="0"/>
      <w:marRight w:val="0"/>
      <w:marTop w:val="0"/>
      <w:marBottom w:val="0"/>
      <w:divBdr>
        <w:top w:val="none" w:sz="0" w:space="0" w:color="auto"/>
        <w:left w:val="none" w:sz="0" w:space="0" w:color="auto"/>
        <w:bottom w:val="none" w:sz="0" w:space="0" w:color="auto"/>
        <w:right w:val="none" w:sz="0" w:space="0" w:color="auto"/>
      </w:divBdr>
      <w:divsChild>
        <w:div w:id="1370255846">
          <w:marLeft w:val="0"/>
          <w:marRight w:val="0"/>
          <w:marTop w:val="0"/>
          <w:marBottom w:val="0"/>
          <w:divBdr>
            <w:top w:val="none" w:sz="0" w:space="0" w:color="auto"/>
            <w:left w:val="none" w:sz="0" w:space="0" w:color="auto"/>
            <w:bottom w:val="none" w:sz="0" w:space="0" w:color="auto"/>
            <w:right w:val="none" w:sz="0" w:space="0" w:color="auto"/>
          </w:divBdr>
          <w:divsChild>
            <w:div w:id="203102602">
              <w:marLeft w:val="0"/>
              <w:marRight w:val="0"/>
              <w:marTop w:val="0"/>
              <w:marBottom w:val="0"/>
              <w:divBdr>
                <w:top w:val="none" w:sz="0" w:space="0" w:color="auto"/>
                <w:left w:val="none" w:sz="0" w:space="0" w:color="auto"/>
                <w:bottom w:val="none" w:sz="0" w:space="0" w:color="auto"/>
                <w:right w:val="none" w:sz="0" w:space="0" w:color="auto"/>
              </w:divBdr>
              <w:divsChild>
                <w:div w:id="899948263">
                  <w:marLeft w:val="0"/>
                  <w:marRight w:val="0"/>
                  <w:marTop w:val="0"/>
                  <w:marBottom w:val="0"/>
                  <w:divBdr>
                    <w:top w:val="none" w:sz="0" w:space="0" w:color="auto"/>
                    <w:left w:val="none" w:sz="0" w:space="0" w:color="auto"/>
                    <w:bottom w:val="none" w:sz="0" w:space="0" w:color="auto"/>
                    <w:right w:val="none" w:sz="0" w:space="0" w:color="auto"/>
                  </w:divBdr>
                  <w:divsChild>
                    <w:div w:id="12404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584555">
      <w:bodyDiv w:val="1"/>
      <w:marLeft w:val="0"/>
      <w:marRight w:val="0"/>
      <w:marTop w:val="0"/>
      <w:marBottom w:val="0"/>
      <w:divBdr>
        <w:top w:val="none" w:sz="0" w:space="0" w:color="auto"/>
        <w:left w:val="none" w:sz="0" w:space="0" w:color="auto"/>
        <w:bottom w:val="none" w:sz="0" w:space="0" w:color="auto"/>
        <w:right w:val="none" w:sz="0" w:space="0" w:color="auto"/>
      </w:divBdr>
      <w:divsChild>
        <w:div w:id="1230455037">
          <w:marLeft w:val="0"/>
          <w:marRight w:val="0"/>
          <w:marTop w:val="0"/>
          <w:marBottom w:val="0"/>
          <w:divBdr>
            <w:top w:val="none" w:sz="0" w:space="0" w:color="auto"/>
            <w:left w:val="none" w:sz="0" w:space="0" w:color="auto"/>
            <w:bottom w:val="none" w:sz="0" w:space="0" w:color="auto"/>
            <w:right w:val="none" w:sz="0" w:space="0" w:color="auto"/>
          </w:divBdr>
          <w:divsChild>
            <w:div w:id="1963611724">
              <w:marLeft w:val="0"/>
              <w:marRight w:val="0"/>
              <w:marTop w:val="0"/>
              <w:marBottom w:val="0"/>
              <w:divBdr>
                <w:top w:val="none" w:sz="0" w:space="0" w:color="auto"/>
                <w:left w:val="none" w:sz="0" w:space="0" w:color="auto"/>
                <w:bottom w:val="none" w:sz="0" w:space="0" w:color="auto"/>
                <w:right w:val="none" w:sz="0" w:space="0" w:color="auto"/>
              </w:divBdr>
              <w:divsChild>
                <w:div w:id="2001887565">
                  <w:marLeft w:val="0"/>
                  <w:marRight w:val="0"/>
                  <w:marTop w:val="0"/>
                  <w:marBottom w:val="0"/>
                  <w:divBdr>
                    <w:top w:val="none" w:sz="0" w:space="0" w:color="auto"/>
                    <w:left w:val="none" w:sz="0" w:space="0" w:color="auto"/>
                    <w:bottom w:val="none" w:sz="0" w:space="0" w:color="auto"/>
                    <w:right w:val="none" w:sz="0" w:space="0" w:color="auto"/>
                  </w:divBdr>
                  <w:divsChild>
                    <w:div w:id="13583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9070">
      <w:bodyDiv w:val="1"/>
      <w:marLeft w:val="0"/>
      <w:marRight w:val="0"/>
      <w:marTop w:val="0"/>
      <w:marBottom w:val="0"/>
      <w:divBdr>
        <w:top w:val="none" w:sz="0" w:space="0" w:color="auto"/>
        <w:left w:val="none" w:sz="0" w:space="0" w:color="auto"/>
        <w:bottom w:val="none" w:sz="0" w:space="0" w:color="auto"/>
        <w:right w:val="none" w:sz="0" w:space="0" w:color="auto"/>
      </w:divBdr>
    </w:div>
    <w:div w:id="1410881718">
      <w:bodyDiv w:val="1"/>
      <w:marLeft w:val="0"/>
      <w:marRight w:val="0"/>
      <w:marTop w:val="0"/>
      <w:marBottom w:val="0"/>
      <w:divBdr>
        <w:top w:val="none" w:sz="0" w:space="0" w:color="auto"/>
        <w:left w:val="none" w:sz="0" w:space="0" w:color="auto"/>
        <w:bottom w:val="none" w:sz="0" w:space="0" w:color="auto"/>
        <w:right w:val="none" w:sz="0" w:space="0" w:color="auto"/>
      </w:divBdr>
      <w:divsChild>
        <w:div w:id="1039553000">
          <w:marLeft w:val="0"/>
          <w:marRight w:val="0"/>
          <w:marTop w:val="0"/>
          <w:marBottom w:val="0"/>
          <w:divBdr>
            <w:top w:val="none" w:sz="0" w:space="0" w:color="auto"/>
            <w:left w:val="none" w:sz="0" w:space="0" w:color="auto"/>
            <w:bottom w:val="none" w:sz="0" w:space="0" w:color="auto"/>
            <w:right w:val="none" w:sz="0" w:space="0" w:color="auto"/>
          </w:divBdr>
          <w:divsChild>
            <w:div w:id="1711998988">
              <w:marLeft w:val="0"/>
              <w:marRight w:val="0"/>
              <w:marTop w:val="0"/>
              <w:marBottom w:val="0"/>
              <w:divBdr>
                <w:top w:val="none" w:sz="0" w:space="0" w:color="auto"/>
                <w:left w:val="none" w:sz="0" w:space="0" w:color="auto"/>
                <w:bottom w:val="none" w:sz="0" w:space="0" w:color="auto"/>
                <w:right w:val="none" w:sz="0" w:space="0" w:color="auto"/>
              </w:divBdr>
              <w:divsChild>
                <w:div w:id="1559823032">
                  <w:marLeft w:val="0"/>
                  <w:marRight w:val="0"/>
                  <w:marTop w:val="0"/>
                  <w:marBottom w:val="0"/>
                  <w:divBdr>
                    <w:top w:val="none" w:sz="0" w:space="0" w:color="auto"/>
                    <w:left w:val="none" w:sz="0" w:space="0" w:color="auto"/>
                    <w:bottom w:val="none" w:sz="0" w:space="0" w:color="auto"/>
                    <w:right w:val="none" w:sz="0" w:space="0" w:color="auto"/>
                  </w:divBdr>
                  <w:divsChild>
                    <w:div w:id="1647738254">
                      <w:marLeft w:val="-150"/>
                      <w:marRight w:val="-150"/>
                      <w:marTop w:val="0"/>
                      <w:marBottom w:val="0"/>
                      <w:divBdr>
                        <w:top w:val="none" w:sz="0" w:space="0" w:color="auto"/>
                        <w:left w:val="none" w:sz="0" w:space="0" w:color="auto"/>
                        <w:bottom w:val="none" w:sz="0" w:space="0" w:color="auto"/>
                        <w:right w:val="none" w:sz="0" w:space="0" w:color="auto"/>
                      </w:divBdr>
                      <w:divsChild>
                        <w:div w:id="1694839183">
                          <w:marLeft w:val="0"/>
                          <w:marRight w:val="0"/>
                          <w:marTop w:val="0"/>
                          <w:marBottom w:val="0"/>
                          <w:divBdr>
                            <w:top w:val="none" w:sz="0" w:space="0" w:color="auto"/>
                            <w:left w:val="none" w:sz="0" w:space="0" w:color="auto"/>
                            <w:bottom w:val="none" w:sz="0" w:space="0" w:color="auto"/>
                            <w:right w:val="none" w:sz="0" w:space="0" w:color="auto"/>
                          </w:divBdr>
                          <w:divsChild>
                            <w:div w:id="1767965152">
                              <w:marLeft w:val="0"/>
                              <w:marRight w:val="0"/>
                              <w:marTop w:val="0"/>
                              <w:marBottom w:val="0"/>
                              <w:divBdr>
                                <w:top w:val="none" w:sz="0" w:space="0" w:color="auto"/>
                                <w:left w:val="none" w:sz="0" w:space="0" w:color="auto"/>
                                <w:bottom w:val="none" w:sz="0" w:space="0" w:color="auto"/>
                                <w:right w:val="none" w:sz="0" w:space="0" w:color="auto"/>
                              </w:divBdr>
                              <w:divsChild>
                                <w:div w:id="329218439">
                                  <w:marLeft w:val="0"/>
                                  <w:marRight w:val="0"/>
                                  <w:marTop w:val="300"/>
                                  <w:marBottom w:val="0"/>
                                  <w:divBdr>
                                    <w:top w:val="single" w:sz="6" w:space="8" w:color="CAD7DC"/>
                                    <w:left w:val="single" w:sz="6" w:space="23" w:color="CAD7DC"/>
                                    <w:bottom w:val="single" w:sz="6" w:space="8" w:color="CAD7DC"/>
                                    <w:right w:val="single" w:sz="6" w:space="8" w:color="CAD7DC"/>
                                  </w:divBdr>
                                </w:div>
                              </w:divsChild>
                            </w:div>
                          </w:divsChild>
                        </w:div>
                      </w:divsChild>
                    </w:div>
                  </w:divsChild>
                </w:div>
              </w:divsChild>
            </w:div>
          </w:divsChild>
        </w:div>
      </w:divsChild>
    </w:div>
    <w:div w:id="1905485822">
      <w:bodyDiv w:val="1"/>
      <w:marLeft w:val="0"/>
      <w:marRight w:val="0"/>
      <w:marTop w:val="0"/>
      <w:marBottom w:val="0"/>
      <w:divBdr>
        <w:top w:val="none" w:sz="0" w:space="0" w:color="auto"/>
        <w:left w:val="none" w:sz="0" w:space="0" w:color="auto"/>
        <w:bottom w:val="none" w:sz="0" w:space="0" w:color="auto"/>
        <w:right w:val="none" w:sz="0" w:space="0" w:color="auto"/>
      </w:divBdr>
      <w:divsChild>
        <w:div w:id="844051793">
          <w:marLeft w:val="0"/>
          <w:marRight w:val="0"/>
          <w:marTop w:val="0"/>
          <w:marBottom w:val="0"/>
          <w:divBdr>
            <w:top w:val="none" w:sz="0" w:space="0" w:color="auto"/>
            <w:left w:val="none" w:sz="0" w:space="0" w:color="auto"/>
            <w:bottom w:val="none" w:sz="0" w:space="0" w:color="auto"/>
            <w:right w:val="none" w:sz="0" w:space="0" w:color="auto"/>
          </w:divBdr>
          <w:divsChild>
            <w:div w:id="735129101">
              <w:marLeft w:val="0"/>
              <w:marRight w:val="0"/>
              <w:marTop w:val="0"/>
              <w:marBottom w:val="0"/>
              <w:divBdr>
                <w:top w:val="none" w:sz="0" w:space="0" w:color="auto"/>
                <w:left w:val="none" w:sz="0" w:space="0" w:color="auto"/>
                <w:bottom w:val="none" w:sz="0" w:space="0" w:color="auto"/>
                <w:right w:val="none" w:sz="0" w:space="0" w:color="auto"/>
              </w:divBdr>
              <w:divsChild>
                <w:div w:id="351152152">
                  <w:marLeft w:val="0"/>
                  <w:marRight w:val="0"/>
                  <w:marTop w:val="0"/>
                  <w:marBottom w:val="0"/>
                  <w:divBdr>
                    <w:top w:val="none" w:sz="0" w:space="0" w:color="auto"/>
                    <w:left w:val="none" w:sz="0" w:space="0" w:color="auto"/>
                    <w:bottom w:val="none" w:sz="0" w:space="0" w:color="auto"/>
                    <w:right w:val="none" w:sz="0" w:space="0" w:color="auto"/>
                  </w:divBdr>
                  <w:divsChild>
                    <w:div w:id="6946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9193">
      <w:bodyDiv w:val="1"/>
      <w:marLeft w:val="0"/>
      <w:marRight w:val="0"/>
      <w:marTop w:val="0"/>
      <w:marBottom w:val="0"/>
      <w:divBdr>
        <w:top w:val="none" w:sz="0" w:space="0" w:color="auto"/>
        <w:left w:val="none" w:sz="0" w:space="0" w:color="auto"/>
        <w:bottom w:val="none" w:sz="0" w:space="0" w:color="auto"/>
        <w:right w:val="none" w:sz="0" w:space="0" w:color="auto"/>
      </w:divBdr>
    </w:div>
    <w:div w:id="1999504138">
      <w:bodyDiv w:val="1"/>
      <w:marLeft w:val="0"/>
      <w:marRight w:val="0"/>
      <w:marTop w:val="0"/>
      <w:marBottom w:val="0"/>
      <w:divBdr>
        <w:top w:val="none" w:sz="0" w:space="0" w:color="auto"/>
        <w:left w:val="none" w:sz="0" w:space="0" w:color="auto"/>
        <w:bottom w:val="none" w:sz="0" w:space="0" w:color="auto"/>
        <w:right w:val="none" w:sz="0" w:space="0" w:color="auto"/>
      </w:divBdr>
    </w:div>
    <w:div w:id="2016377492">
      <w:bodyDiv w:val="1"/>
      <w:marLeft w:val="0"/>
      <w:marRight w:val="0"/>
      <w:marTop w:val="0"/>
      <w:marBottom w:val="0"/>
      <w:divBdr>
        <w:top w:val="none" w:sz="0" w:space="0" w:color="auto"/>
        <w:left w:val="none" w:sz="0" w:space="0" w:color="auto"/>
        <w:bottom w:val="none" w:sz="0" w:space="0" w:color="auto"/>
        <w:right w:val="none" w:sz="0" w:space="0" w:color="auto"/>
      </w:divBdr>
    </w:div>
    <w:div w:id="2127889237">
      <w:bodyDiv w:val="1"/>
      <w:marLeft w:val="0"/>
      <w:marRight w:val="0"/>
      <w:marTop w:val="0"/>
      <w:marBottom w:val="0"/>
      <w:divBdr>
        <w:top w:val="none" w:sz="0" w:space="0" w:color="auto"/>
        <w:left w:val="none" w:sz="0" w:space="0" w:color="auto"/>
        <w:bottom w:val="none" w:sz="0" w:space="0" w:color="auto"/>
        <w:right w:val="none" w:sz="0" w:space="0" w:color="auto"/>
      </w:divBdr>
      <w:divsChild>
        <w:div w:id="1789738408">
          <w:marLeft w:val="0"/>
          <w:marRight w:val="0"/>
          <w:marTop w:val="0"/>
          <w:marBottom w:val="0"/>
          <w:divBdr>
            <w:top w:val="none" w:sz="0" w:space="0" w:color="auto"/>
            <w:left w:val="none" w:sz="0" w:space="0" w:color="auto"/>
            <w:bottom w:val="none" w:sz="0" w:space="0" w:color="auto"/>
            <w:right w:val="none" w:sz="0" w:space="0" w:color="auto"/>
          </w:divBdr>
          <w:divsChild>
            <w:div w:id="495653065">
              <w:marLeft w:val="0"/>
              <w:marRight w:val="0"/>
              <w:marTop w:val="0"/>
              <w:marBottom w:val="0"/>
              <w:divBdr>
                <w:top w:val="none" w:sz="0" w:space="0" w:color="auto"/>
                <w:left w:val="none" w:sz="0" w:space="0" w:color="auto"/>
                <w:bottom w:val="none" w:sz="0" w:space="0" w:color="auto"/>
                <w:right w:val="none" w:sz="0" w:space="0" w:color="auto"/>
              </w:divBdr>
              <w:divsChild>
                <w:div w:id="72821263">
                  <w:marLeft w:val="0"/>
                  <w:marRight w:val="0"/>
                  <w:marTop w:val="0"/>
                  <w:marBottom w:val="0"/>
                  <w:divBdr>
                    <w:top w:val="none" w:sz="0" w:space="0" w:color="auto"/>
                    <w:left w:val="none" w:sz="0" w:space="0" w:color="auto"/>
                    <w:bottom w:val="none" w:sz="0" w:space="0" w:color="auto"/>
                    <w:right w:val="none" w:sz="0" w:space="0" w:color="auto"/>
                  </w:divBdr>
                  <w:divsChild>
                    <w:div w:id="1628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4C666-9B8C-4D34-AE06-E814774E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1481</Words>
  <Characters>8448</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DOLOŽKA ZLUČITEĽNOSTI</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ZLUČITEĽNOSTI</dc:title>
  <dc:subject/>
  <dc:creator>Zamecnikova Petra</dc:creator>
  <cp:keywords/>
  <cp:lastModifiedBy>Sobolicova Hana</cp:lastModifiedBy>
  <cp:revision>10</cp:revision>
  <cp:lastPrinted>2024-07-09T07:22:00Z</cp:lastPrinted>
  <dcterms:created xsi:type="dcterms:W3CDTF">2024-07-19T07:41:00Z</dcterms:created>
  <dcterms:modified xsi:type="dcterms:W3CDTF">2024-09-24T08:22:00Z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Finančné právo_x000d_
Daňové právo_x000d_
Daň z pridanej hodnoty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Miloš Mikloš</vt:lpwstr>
  </property>
  <property fmtid="{D5CDD505-2E9C-101B-9397-08002B2CF9AE}" pid="12" name="FSC#SKEDITIONSLOVLEX@103.510:zodppredkladatel">
    <vt:lpwstr>Peter Kažimír</vt:lpwstr>
  </property>
  <property fmtid="{D5CDD505-2E9C-101B-9397-08002B2CF9AE}" pid="13" name="FSC#SKEDITIONSLOVLEX@103.510:dalsipredkladatel">
    <vt:lpwstr/>
  </property>
  <property fmtid="{D5CDD505-2E9C-101B-9397-08002B2CF9AE}" pid="14" name="FSC#SKEDITIONSLOVLEX@103.510:nazovpredpis">
    <vt:lpwstr>, ktorým sa mení a dopĺňa zákon č. 222/2004 Z. z. o dani z pridanej hodnoty v znení neskorších predpisov a ktorým sa mení a dopĺňa zákon č. 289/2008 Z. z. o používaní elektronickej registračnej pokladnice a o zmene a doplnení zákona Slovenskej národnej r</vt:lpwstr>
  </property>
  <property fmtid="{D5CDD505-2E9C-101B-9397-08002B2CF9AE}" pid="15" name="FSC#SKEDITIONSLOVLEX@103.510:nazovpredpis1">
    <vt:lpwstr>ady č. 511/1992 Zb. o správe daní a poplatkov a o zmenách v sústave územných finančných orgánov v znení neskorších predpisov v znení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2018</vt:lpwstr>
  </property>
  <property fmtid="{D5CDD505-2E9C-101B-9397-08002B2CF9AE}" pid="23" name="FSC#SKEDITIONSLOVLEX@103.510:plnynazovpredpis">
    <vt:lpwstr> Zákon, ktorým sa mení a dopĺňa zákon č. 222/2004 Z. z. o dani z pridanej hodnoty v znení neskorších predpisov a ktorým sa mení a dopĺňa zákon č. 289/2008 Z. z. o používaní elektronickej registračnej pokladnice a o zmene a doplnení zákona Slovenskej národ</vt:lpwstr>
  </property>
  <property fmtid="{D5CDD505-2E9C-101B-9397-08002B2CF9AE}" pid="24" name="FSC#SKEDITIONSLOVLEX@103.510:plnynazovpredpis1">
    <vt:lpwstr>nej rady č. 511/1992 Zb. o správe daní a poplatkov a o zmenách v sústave územných finančných orgánov v znení neskorších predpisov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MF/007705/2018-731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LP/2018/428</vt:lpwstr>
  </property>
  <property fmtid="{D5CDD505-2E9C-101B-9397-08002B2CF9AE}" pid="37" name="FSC#SKEDITIONSLOVLEX@103.510:typsprievdok">
    <vt:lpwstr>Doložka zlučiteľnosti</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 Slovenskej republiky</vt:lpwstr>
  </property>
  <property fmtid="{D5CDD505-2E9C-101B-9397-08002B2CF9AE}" pid="142" name="FSC#SKEDITIONSLOVLEX@103.510:funkciaZodpPredAkuzativ">
    <vt:lpwstr>ministrovi financií Slovenskej republiky</vt:lpwstr>
  </property>
  <property fmtid="{D5CDD505-2E9C-101B-9397-08002B2CF9AE}" pid="143" name="FSC#SKEDITIONSLOVLEX@103.510:funkciaZodpPredDativ">
    <vt:lpwstr>ministra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Peter Kažimír_x000d_
minister financií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22. 6. 2018</vt:lpwstr>
  </property>
  <property fmtid="{D5CDD505-2E9C-101B-9397-08002B2CF9AE}" pid="151" name="FSC#COOSYSTEM@1.1:Container">
    <vt:lpwstr>COO.2145.1000.3.2789323</vt:lpwstr>
  </property>
  <property fmtid="{D5CDD505-2E9C-101B-9397-08002B2CF9AE}" pid="152" name="FSC#FSCFOLIO@1.1001:docpropproject">
    <vt:lpwstr/>
  </property>
</Properties>
</file>