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2414" w14:textId="77777777" w:rsidR="00ED0029" w:rsidRPr="008047C9" w:rsidRDefault="00ED0029" w:rsidP="00ED0029">
      <w:pPr>
        <w:spacing w:after="0" w:line="240" w:lineRule="auto"/>
        <w:jc w:val="center"/>
        <w:rPr>
          <w:rFonts w:ascii="Times New Roman" w:hAnsi="Times New Roman"/>
          <w:sz w:val="28"/>
          <w:szCs w:val="24"/>
        </w:rPr>
      </w:pPr>
      <w:r w:rsidRPr="008047C9">
        <w:rPr>
          <w:rFonts w:ascii="Times New Roman" w:hAnsi="Times New Roman"/>
          <w:sz w:val="28"/>
          <w:szCs w:val="24"/>
        </w:rPr>
        <w:t>Dôvodová správa</w:t>
      </w:r>
    </w:p>
    <w:p w14:paraId="672A6659" w14:textId="77777777" w:rsidR="00ED0029" w:rsidRPr="008047C9" w:rsidRDefault="00ED0029" w:rsidP="00ED0029">
      <w:pPr>
        <w:spacing w:after="0" w:line="240" w:lineRule="auto"/>
        <w:jc w:val="center"/>
        <w:rPr>
          <w:rFonts w:ascii="Times New Roman" w:hAnsi="Times New Roman"/>
          <w:sz w:val="24"/>
          <w:szCs w:val="24"/>
        </w:rPr>
      </w:pPr>
    </w:p>
    <w:p w14:paraId="24A19CB3" w14:textId="77777777" w:rsidR="00ED0029" w:rsidRPr="008047C9" w:rsidRDefault="00ED0029" w:rsidP="00ED0029">
      <w:pPr>
        <w:pStyle w:val="Odsekzoznamu"/>
        <w:numPr>
          <w:ilvl w:val="0"/>
          <w:numId w:val="1"/>
        </w:numPr>
        <w:spacing w:after="240"/>
        <w:ind w:left="641" w:hanging="357"/>
        <w:contextualSpacing/>
        <w:jc w:val="both"/>
      </w:pPr>
      <w:r w:rsidRPr="008047C9">
        <w:t>Všeobecná časť</w:t>
      </w:r>
    </w:p>
    <w:p w14:paraId="65C4B753" w14:textId="423E62B0"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Cieľom predkladaného návrhu zákona je zavedenie nového spôsobu definovania verejnej optimálnej siete poskytovateľov </w:t>
      </w:r>
      <w:r w:rsidR="2154B5B4" w:rsidRPr="27675889">
        <w:rPr>
          <w:rFonts w:ascii="Times New Roman" w:hAnsi="Times New Roman"/>
          <w:sz w:val="24"/>
          <w:szCs w:val="24"/>
        </w:rPr>
        <w:t xml:space="preserve">primárnej </w:t>
      </w:r>
      <w:r w:rsidRPr="27675889">
        <w:rPr>
          <w:rFonts w:ascii="Times New Roman" w:hAnsi="Times New Roman"/>
          <w:sz w:val="24"/>
          <w:szCs w:val="24"/>
          <w:lang w:eastAsia="sk-SK"/>
        </w:rPr>
        <w:t>špecializovanej gynekologickej ambulantnej starostlivosti a poskytovateľov špecializovanej  ambulantnej starostlivosti poskytovanej v špecializovanej ambulancii (ďalej len „optimálna sieť“)</w:t>
      </w:r>
      <w:r w:rsidRPr="27675889">
        <w:rPr>
          <w:rFonts w:ascii="Times New Roman" w:hAnsi="Times New Roman"/>
          <w:sz w:val="24"/>
          <w:szCs w:val="24"/>
        </w:rPr>
        <w:t xml:space="preserve">. Súčasná úprava verejnej minimálnej siete poskytovateľov </w:t>
      </w:r>
      <w:r w:rsidRPr="27675889">
        <w:rPr>
          <w:rFonts w:ascii="Times New Roman" w:hAnsi="Times New Roman"/>
          <w:sz w:val="24"/>
          <w:szCs w:val="24"/>
          <w:lang w:eastAsia="sk-SK"/>
        </w:rPr>
        <w:t xml:space="preserve">špecializovanej gynekologickej ambulantnej starostlivosti a poskytovateľov špecializovanej inej ambulantnej starostlivosti poskytovanej v špecializovanej ambulancii </w:t>
      </w:r>
      <w:r w:rsidRPr="27675889">
        <w:rPr>
          <w:rFonts w:ascii="Times New Roman" w:hAnsi="Times New Roman"/>
          <w:sz w:val="24"/>
          <w:szCs w:val="24"/>
        </w:rPr>
        <w:t>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w14:paraId="0A37501D" w14:textId="77777777" w:rsidR="00ED0029" w:rsidRPr="008047C9" w:rsidRDefault="00ED0029" w:rsidP="00ED0029">
      <w:pPr>
        <w:pStyle w:val="Bezriadkovania"/>
        <w:rPr>
          <w:rFonts w:ascii="Times New Roman" w:hAnsi="Times New Roman"/>
          <w:sz w:val="24"/>
          <w:szCs w:val="24"/>
        </w:rPr>
      </w:pPr>
    </w:p>
    <w:p w14:paraId="544E7AA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p>
    <w:p w14:paraId="5DAB6C7B" w14:textId="77777777" w:rsidR="00ED0029" w:rsidRPr="008047C9" w:rsidRDefault="00ED0029" w:rsidP="00ED0029">
      <w:pPr>
        <w:pStyle w:val="Bezriadkovania"/>
        <w:rPr>
          <w:rFonts w:ascii="Times New Roman" w:hAnsi="Times New Roman"/>
          <w:sz w:val="24"/>
          <w:szCs w:val="24"/>
        </w:rPr>
      </w:pPr>
    </w:p>
    <w:p w14:paraId="029DD55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w14:paraId="2931258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Návrh bol pripravovaný v spolupráci so zástupcami ambulantných poskytovateľov,  samosprávnych krajov, hlavných odborníkov Ministerstva zdravotníctva Slovenskej republike (ďalej len „MZ SR“) a zástupcov odborných spoločností Slovenskej lekárskej spoločnosti.</w:t>
      </w:r>
    </w:p>
    <w:p w14:paraId="02EB378F" w14:textId="77777777" w:rsidR="00ED0029" w:rsidRPr="008047C9" w:rsidRDefault="00ED0029" w:rsidP="00ED0029">
      <w:pPr>
        <w:pStyle w:val="Bezriadkovania"/>
        <w:rPr>
          <w:rFonts w:ascii="Times New Roman" w:hAnsi="Times New Roman"/>
          <w:sz w:val="24"/>
          <w:szCs w:val="24"/>
        </w:rPr>
      </w:pPr>
    </w:p>
    <w:p w14:paraId="3F7C88CF" w14:textId="7918B7C4"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Základné charakteristiky navrhovaného spôsobu definovania verejnej optimálnej siete  sú:</w:t>
      </w:r>
    </w:p>
    <w:p w14:paraId="73098D17" w14:textId="444ECC05" w:rsidR="00ED0029" w:rsidRPr="008047C9" w:rsidRDefault="53A00E4B"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 xml:space="preserve">verejná optimálna sieť definovaná na úrovni </w:t>
      </w:r>
      <w:r w:rsidR="68EC2473" w:rsidRPr="008047C9">
        <w:rPr>
          <w:rFonts w:ascii="Times New Roman" w:hAnsi="Times New Roman"/>
          <w:sz w:val="24"/>
          <w:szCs w:val="24"/>
        </w:rPr>
        <w:t xml:space="preserve">primárnej </w:t>
      </w:r>
      <w:r w:rsidRPr="008047C9">
        <w:rPr>
          <w:rFonts w:ascii="Times New Roman" w:hAnsi="Times New Roman"/>
          <w:sz w:val="24"/>
          <w:szCs w:val="24"/>
          <w:lang w:eastAsia="sk-SK"/>
        </w:rPr>
        <w:t xml:space="preserve">špecializovanej gynekologickej ambulantnej starostlivosti a </w:t>
      </w:r>
      <w:r w:rsidRPr="008047C9">
        <w:rPr>
          <w:rFonts w:ascii="Times New Roman" w:hAnsi="Times New Roman"/>
          <w:sz w:val="24"/>
          <w:szCs w:val="24"/>
        </w:rPr>
        <w:t>poskytovateľov špecializovanej  ambulantnej starostlivosti poskytovanej v ambulancii</w:t>
      </w:r>
      <w:r w:rsidR="00ED0029" w:rsidRPr="008047C9">
        <w:rPr>
          <w:rStyle w:val="Odkaznapoznmkupodiarou"/>
          <w:rFonts w:ascii="Times New Roman" w:hAnsi="Times New Roman"/>
          <w:sz w:val="24"/>
          <w:szCs w:val="24"/>
        </w:rPr>
        <w:footnoteReference w:id="1"/>
      </w:r>
      <w:r w:rsidRPr="008047C9">
        <w:rPr>
          <w:rFonts w:ascii="Times New Roman" w:hAnsi="Times New Roman"/>
          <w:sz w:val="24"/>
          <w:szCs w:val="24"/>
        </w:rPr>
        <w:t xml:space="preserve"> v jednotlivých odbornostiach, nie na úrovni odborov</w:t>
      </w:r>
      <w:r w:rsidR="00ED0029" w:rsidRPr="008047C9">
        <w:rPr>
          <w:rStyle w:val="Odkaznapoznmkupodiarou"/>
          <w:rFonts w:ascii="Times New Roman" w:hAnsi="Times New Roman"/>
          <w:sz w:val="24"/>
          <w:szCs w:val="24"/>
        </w:rPr>
        <w:footnoteReference w:id="2"/>
      </w:r>
      <w:r w:rsidRPr="008047C9">
        <w:rPr>
          <w:rFonts w:ascii="Times New Roman" w:hAnsi="Times New Roman"/>
          <w:sz w:val="24"/>
          <w:szCs w:val="24"/>
        </w:rPr>
        <w:t xml:space="preserve"> alebo certifikovaných pracovných činností;</w:t>
      </w:r>
    </w:p>
    <w:p w14:paraId="15D9D991"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dynamické nastavenie v podobe každoročného prehodnocovania optimálnej kapacity verejnej optimálnej siete Úradom pre dohľad nad zdravotnou starostlivosťou;</w:t>
      </w:r>
    </w:p>
    <w:p w14:paraId="4684554B"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právomoc samosprávneho kraja navrhovať úpravy vo forme zvýšenia alebo zníženia optimálnej kapacity verejnej optimálnej siete podľa terénnych znalostí a špecifík v regióne;</w:t>
      </w:r>
    </w:p>
    <w:p w14:paraId="63825093" w14:textId="406824B4" w:rsidR="00ED0029" w:rsidRPr="008047C9" w:rsidRDefault="00ED0029" w:rsidP="00ED0029">
      <w:pPr>
        <w:pStyle w:val="Bezriadkovania"/>
        <w:numPr>
          <w:ilvl w:val="0"/>
          <w:numId w:val="3"/>
        </w:numPr>
        <w:rPr>
          <w:rFonts w:ascii="Times New Roman" w:hAnsi="Times New Roman"/>
          <w:sz w:val="24"/>
          <w:szCs w:val="24"/>
        </w:rPr>
      </w:pPr>
      <w:r w:rsidRPr="48081FD8">
        <w:rPr>
          <w:rFonts w:ascii="Times New Roman" w:hAnsi="Times New Roman"/>
          <w:sz w:val="24"/>
          <w:szCs w:val="24"/>
        </w:rPr>
        <w:t xml:space="preserve">rozšírenie územnej jednotky z kraja na okres pre vybrané </w:t>
      </w:r>
      <w:r w:rsidR="29A4840A" w:rsidRPr="48081FD8">
        <w:rPr>
          <w:rFonts w:ascii="Times New Roman" w:hAnsi="Times New Roman"/>
          <w:sz w:val="24"/>
          <w:szCs w:val="24"/>
        </w:rPr>
        <w:t xml:space="preserve">odborné zamerania </w:t>
      </w:r>
      <w:r w:rsidRPr="48081FD8">
        <w:rPr>
          <w:rFonts w:ascii="Times New Roman" w:hAnsi="Times New Roman"/>
          <w:sz w:val="24"/>
          <w:szCs w:val="24"/>
        </w:rPr>
        <w:t xml:space="preserve"> špecializovaných ambulancií;</w:t>
      </w:r>
    </w:p>
    <w:p w14:paraId="00C39DC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lastRenderedPageBreak/>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w14:paraId="5222114F"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navrhuje sa zohľadňovať účel, ktorý daná ambulancia plní v systéme zdravotnej starostlivosti, príklad:</w:t>
      </w:r>
    </w:p>
    <w:p w14:paraId="29D1ABE3" w14:textId="77777777" w:rsidR="00ED0029" w:rsidRPr="008047C9" w:rsidRDefault="00ED0029" w:rsidP="00ED0029">
      <w:pPr>
        <w:pStyle w:val="Bezriadkovania"/>
        <w:ind w:left="720"/>
        <w:rPr>
          <w:rFonts w:ascii="Times New Roman" w:hAnsi="Times New Roman"/>
          <w:sz w:val="24"/>
          <w:szCs w:val="24"/>
        </w:rPr>
      </w:pPr>
      <w:r w:rsidRPr="008047C9">
        <w:rPr>
          <w:rFonts w:ascii="Times New Roman" w:hAnsi="Times New Roman"/>
          <w:sz w:val="24"/>
          <w:szCs w:val="24"/>
        </w:rPr>
        <w:t>a) ambulanciu vnútorného lekárstva, ktorá poskytuje zdravotnú starostlivosť prevažne na základe výmenného lístka možno považovať za verejne dostupnú ambulanciu, ktorú má možnosť pacient kontaktovať, resp. objednať sa, prijíma pacientov bez väzby napríklad na hospitalizáciu;</w:t>
      </w:r>
    </w:p>
    <w:p w14:paraId="158AA87A" w14:textId="77777777" w:rsidR="00ED0029" w:rsidRPr="008047C9" w:rsidRDefault="00ED0029" w:rsidP="00ED0029">
      <w:pPr>
        <w:pStyle w:val="Bezriadkovania"/>
        <w:ind w:left="720"/>
        <w:rPr>
          <w:rFonts w:ascii="Times New Roman" w:hAnsi="Times New Roman"/>
          <w:sz w:val="24"/>
          <w:szCs w:val="24"/>
        </w:rPr>
      </w:pPr>
      <w:r w:rsidRPr="008047C9">
        <w:rPr>
          <w:rFonts w:ascii="Times New Roman" w:hAnsi="Times New Roman"/>
          <w:sz w:val="24"/>
          <w:szCs w:val="24"/>
        </w:rPr>
        <w:t xml:space="preserve">b) ambulanciu vnútorného lekárstva prevádzkovanú napríklad ústavným zdravotníckym zariadením, v ktorej je poskytovaná špecializovaná ambulantná starostlivosť súvisiaca napríklad s prijatím, hospitalizáciou alebo prepustením z osoby zo zariadenia ústavnej zdravotnej starostlivosti a pacient nemá možnosť kontaktovať danú ambulanciu na základe výmenného lístka, objednať sa na vyšetrenie, nie je možné považovať za verejne dostupnú ambulanciu. Daná ambulancia slúži na vybrané prípady a plní potrebný, ale iný účel v systéme poskytovania zdravotnej starostlivosti; </w:t>
      </w:r>
    </w:p>
    <w:p w14:paraId="53CBDC7A"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optimálna kapacita verejnej optimálnej siete a verejnej siete je vyjadrená v jednotke ambulancia, čo zodpovedá 30-tim ordinačným hodinám, upúšťa sa od jednotky lekárske miesto;</w:t>
      </w:r>
    </w:p>
    <w:p w14:paraId="357906A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povinnosť zdravotnej poisťovne uzatvoriť zmluvu o poskytovaní zdravotnej starostlivosti do výšky naplnenia stanovenej verejnej optimálnej siete ostáva zachovaná;</w:t>
      </w:r>
    </w:p>
    <w:p w14:paraId="28E79BE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rozhodnutie, či poskytovateľ bude prevádzkovať ambulanciu ako verejne dostupnú alebo nie verejne dostupnú je na slobodnom rozhodnutí poskytovateľa;</w:t>
      </w:r>
    </w:p>
    <w:p w14:paraId="5816265D" w14:textId="77777777" w:rsidR="00ED0029" w:rsidRPr="008047C9" w:rsidRDefault="00ED0029" w:rsidP="00ED0029">
      <w:pPr>
        <w:pStyle w:val="Bezriadkovania"/>
        <w:numPr>
          <w:ilvl w:val="0"/>
          <w:numId w:val="3"/>
        </w:numPr>
        <w:rPr>
          <w:rFonts w:ascii="Times New Roman" w:hAnsi="Times New Roman"/>
          <w:sz w:val="24"/>
          <w:szCs w:val="24"/>
        </w:rPr>
      </w:pPr>
      <w:r w:rsidRPr="008047C9">
        <w:rPr>
          <w:rFonts w:ascii="Times New Roman" w:hAnsi="Times New Roman"/>
          <w:sz w:val="24"/>
          <w:szCs w:val="24"/>
        </w:rPr>
        <w:t xml:space="preserve">príznak verejnej dostupnosti nevstupuje do súčasného úhradového mechanizmu špecializovaných ambulancií; </w:t>
      </w:r>
    </w:p>
    <w:p w14:paraId="76B46A71" w14:textId="777CB5C3" w:rsidR="00ED0029" w:rsidRPr="008047C9" w:rsidRDefault="53A00E4B" w:rsidP="00ED0029">
      <w:pPr>
        <w:pStyle w:val="Bezriadkovania"/>
        <w:numPr>
          <w:ilvl w:val="0"/>
          <w:numId w:val="3"/>
        </w:numPr>
        <w:rPr>
          <w:rFonts w:ascii="Times New Roman" w:hAnsi="Times New Roman"/>
          <w:sz w:val="24"/>
          <w:szCs w:val="24"/>
        </w:rPr>
      </w:pPr>
      <w:r w:rsidRPr="27675889">
        <w:rPr>
          <w:rFonts w:ascii="Times New Roman" w:hAnsi="Times New Roman"/>
          <w:sz w:val="24"/>
          <w:szCs w:val="24"/>
        </w:rPr>
        <w:t xml:space="preserve">navrhuje sa prechodné obdobie pre existujúcich poskytovateľov všeobecnej ambulantnej starostlivosti, </w:t>
      </w:r>
      <w:r w:rsidR="602BD5A7"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špecializovanej  ambulantnej starostlivosti poskytovanej v ambulancii na </w:t>
      </w:r>
      <w:r w:rsidR="638986FB" w:rsidRPr="27675889">
        <w:rPr>
          <w:rFonts w:ascii="Times New Roman" w:hAnsi="Times New Roman"/>
          <w:sz w:val="24"/>
          <w:szCs w:val="24"/>
        </w:rPr>
        <w:t xml:space="preserve">elektronické </w:t>
      </w:r>
      <w:r w:rsidR="70D3090F" w:rsidRPr="27675889">
        <w:rPr>
          <w:rFonts w:ascii="Times New Roman" w:hAnsi="Times New Roman"/>
          <w:sz w:val="24"/>
          <w:szCs w:val="24"/>
        </w:rPr>
        <w:t>oznámenie</w:t>
      </w:r>
      <w:r w:rsidRPr="27675889">
        <w:rPr>
          <w:rFonts w:ascii="Times New Roman" w:hAnsi="Times New Roman"/>
          <w:sz w:val="24"/>
          <w:szCs w:val="24"/>
        </w:rPr>
        <w:t xml:space="preserve"> informácie samosprávnemu kraju, či daná ambulancia je resp. bude prevádzkovaná ako verejne dostupná ambulancia alebo nie;</w:t>
      </w:r>
    </w:p>
    <w:p w14:paraId="15C6AC5F" w14:textId="77777777" w:rsidR="00ED0029" w:rsidRPr="008047C9" w:rsidRDefault="00ED0029" w:rsidP="00ED0029">
      <w:pPr>
        <w:pStyle w:val="Odsekzoznamu"/>
        <w:numPr>
          <w:ilvl w:val="0"/>
          <w:numId w:val="3"/>
        </w:numPr>
        <w:jc w:val="both"/>
        <w:rPr>
          <w:rFonts w:eastAsia="Calibri"/>
          <w:lang w:eastAsia="en-US"/>
        </w:rPr>
      </w:pPr>
      <w:r w:rsidRPr="008047C9">
        <w:rPr>
          <w:rFonts w:eastAsia="Calibri"/>
          <w:lang w:eastAsia="en-US"/>
        </w:rPr>
        <w:t>navrhuje sa zefektívnenie a zjednodušenie procesu vyhodnocovania stavu a zabezpečenia siete poskytovateľov všeobecnej ambulantnej starostlivosti;</w:t>
      </w:r>
    </w:p>
    <w:p w14:paraId="2C00792E" w14:textId="77777777" w:rsidR="00ED0029" w:rsidRPr="008047C9" w:rsidRDefault="00ED0029" w:rsidP="00ED0029">
      <w:pPr>
        <w:pStyle w:val="Odsekzoznamu"/>
        <w:numPr>
          <w:ilvl w:val="0"/>
          <w:numId w:val="3"/>
        </w:numPr>
        <w:jc w:val="both"/>
        <w:rPr>
          <w:rFonts w:eastAsia="Calibri"/>
          <w:lang w:eastAsia="en-US"/>
        </w:rPr>
      </w:pPr>
      <w:r w:rsidRPr="008047C9">
        <w:rPr>
          <w:rFonts w:eastAsia="Calibri"/>
          <w:lang w:eastAsia="en-US"/>
        </w:rPr>
        <w:t>spôsob výpočtu verejnej optimálnej siete určí vykonávací predpis.</w:t>
      </w:r>
    </w:p>
    <w:p w14:paraId="6A05A809" w14:textId="77777777" w:rsidR="00ED0029" w:rsidRPr="008047C9" w:rsidRDefault="00ED0029" w:rsidP="00ED0029">
      <w:pPr>
        <w:pStyle w:val="Bezriadkovania"/>
        <w:rPr>
          <w:rFonts w:ascii="Times New Roman" w:hAnsi="Times New Roman"/>
          <w:sz w:val="24"/>
          <w:szCs w:val="24"/>
        </w:rPr>
      </w:pPr>
    </w:p>
    <w:p w14:paraId="0DC6F4F8"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Navrhovanej právnej úprave predchádzala </w:t>
      </w:r>
      <w:hyperlink r:id="rId10" w:history="1">
        <w:r w:rsidRPr="008047C9">
          <w:rPr>
            <w:rFonts w:ascii="Times New Roman" w:hAnsi="Times New Roman"/>
            <w:sz w:val="24"/>
            <w:szCs w:val="24"/>
          </w:rPr>
          <w:t>analýza stavu a základných ukazovateľov špecializovanej gynekologickej ambulantnej starostlivosti a špecializovanej inej ambulantnej starostlivosti poskytovanej v špecializovaných ambulanciách.</w:t>
        </w:r>
      </w:hyperlink>
      <w:r w:rsidRPr="008047C9">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w14:paraId="5A39BBE3" w14:textId="77777777" w:rsidR="00ED0029" w:rsidRPr="008047C9" w:rsidRDefault="00ED0029" w:rsidP="00ED0029">
      <w:pPr>
        <w:pStyle w:val="Bezriadkovania"/>
        <w:rPr>
          <w:rFonts w:ascii="Times New Roman" w:hAnsi="Times New Roman"/>
          <w:sz w:val="24"/>
          <w:szCs w:val="24"/>
        </w:rPr>
      </w:pPr>
    </w:p>
    <w:p w14:paraId="389ABAC7" w14:textId="1B9D6093"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Z poskytnutých údajov bolo identifikovaných celkovo 143 odborností v segmente špecializovanej  ambulantnej starostlivosti poskytovanej v špecializovaných ambulanciách. Predmetom analýzy bolo 72 odborností, kde 34 najvýznamnejších odborností z pohľadu počtu návštev a výšky úhrad tvorilo spolu 87 % z celkových úhrad v segmente špecializovanej  ambulantnej starostlivosti poskytovanej v špecializovaných ambulanciách v roku 2019. </w:t>
      </w:r>
    </w:p>
    <w:p w14:paraId="6FBEB17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lastRenderedPageBreak/>
        <w:t xml:space="preserve">Súčasťou analýzy sú ukazovatele o rozdelení počtu špecializovaných ambulancií podľa typu poskytovateľa, počet a priemerný vek lekárov v špecializovaných ambulanciách a  iných zdravotníckych pracovníkov v špecializovaných ambulanciách ako aj rozdelenie počtu návštev a prvovyšetrení. Bližšie informácie sú uvedené v závere dôvodovej správy alebo na webovom sídle MZ SR: </w:t>
      </w:r>
      <w:hyperlink r:id="rId11" w:history="1">
        <w:r w:rsidRPr="008047C9">
          <w:rPr>
            <w:rStyle w:val="Hypertextovprepojenie"/>
            <w:rFonts w:ascii="Times New Roman" w:eastAsia="MS Gothic" w:hAnsi="Times New Roman"/>
            <w:sz w:val="24"/>
            <w:szCs w:val="24"/>
          </w:rPr>
          <w:t>https://www.health.gov.sk/?Analyza-stavu-SAS</w:t>
        </w:r>
      </w:hyperlink>
      <w:r w:rsidRPr="008047C9">
        <w:rPr>
          <w:rFonts w:ascii="Times New Roman" w:hAnsi="Times New Roman"/>
          <w:sz w:val="24"/>
          <w:szCs w:val="24"/>
        </w:rPr>
        <w:t xml:space="preserve">. </w:t>
      </w:r>
    </w:p>
    <w:p w14:paraId="41C8F396" w14:textId="77777777" w:rsidR="00ED0029" w:rsidRPr="008047C9" w:rsidRDefault="00ED0029" w:rsidP="00ED0029">
      <w:pPr>
        <w:pStyle w:val="Bezriadkovania"/>
        <w:rPr>
          <w:rFonts w:ascii="Times New Roman" w:hAnsi="Times New Roman"/>
          <w:sz w:val="24"/>
          <w:szCs w:val="24"/>
        </w:rPr>
      </w:pPr>
    </w:p>
    <w:p w14:paraId="0F847CD1" w14:textId="3F8C8461"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Súčasný stav špecializovanej  ambulantnej starostlivosti poskytovanej v špecializovaných ambulanciách v Slovenskej republike možno zhrnúť do súboru problémov, ktoré sú zároveň výzvami na nasledujúce obdobie s akcentom na starnutie populácie a následný rastúci dopyt aj po zdravotnej starostlivosti v špecializovaných ambulanciách. Medzi základné vlastnosti tohto segmentu patrí najmä:</w:t>
      </w:r>
    </w:p>
    <w:p w14:paraId="72A3D3EC" w14:textId="77777777" w:rsidR="00ED0029" w:rsidRPr="008047C9" w:rsidRDefault="00ED0029" w:rsidP="00ED0029">
      <w:pPr>
        <w:pStyle w:val="Bezriadkovania"/>
        <w:rPr>
          <w:rFonts w:ascii="Times New Roman" w:hAnsi="Times New Roman"/>
          <w:sz w:val="24"/>
          <w:szCs w:val="24"/>
        </w:rPr>
      </w:pPr>
    </w:p>
    <w:p w14:paraId="608D443B"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statická verejná minimálna sieť, ktorá nereaguje na meniace sa potreby v čase, </w:t>
      </w:r>
    </w:p>
    <w:p w14:paraId="5268C30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nízky stupeň medzigeneračnej obmeny a absencia motivačných nástrojov, </w:t>
      </w:r>
    </w:p>
    <w:p w14:paraId="270F58FC"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vysoký priemerný vek lekárov vo vybraných odbornostiach, </w:t>
      </w:r>
    </w:p>
    <w:p w14:paraId="2596EE83"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nezohľadňovanie odlišného účelu pri naplnenosti siete, ktorý špecializované ambulancie v systéme plnia,  </w:t>
      </w:r>
    </w:p>
    <w:p w14:paraId="767E947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systémové bariéry spôsobujúce časť nevyžiadaných návštev ako napríklad indikačné a preskripčné obmedzenia, </w:t>
      </w:r>
    </w:p>
    <w:p w14:paraId="215404E1"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nízky kompetenčný status lekárov vo všeobecných ambulanciách a ich nedostatočná funkcia ako gatekeeperov v systéme s dopadom na vysoký počet návštev u lekára,</w:t>
      </w:r>
    </w:p>
    <w:p w14:paraId="3C702C0A"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kompetenčné kolízie medzi lekármi vo všeobecných ambulanciách a lekármi v špecializovaných ambulanciách,</w:t>
      </w:r>
    </w:p>
    <w:p w14:paraId="2A97F1CA"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vysoký stupeň administratívnej záťaže, </w:t>
      </w:r>
    </w:p>
    <w:p w14:paraId="2D09DBB2"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zastaraný zoznam zdravotných výkonov, </w:t>
      </w:r>
    </w:p>
    <w:p w14:paraId="709E1D87"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 xml:space="preserve">nedostatočný stupeň využívania elektronických služieb, </w:t>
      </w:r>
    </w:p>
    <w:p w14:paraId="152C8C39" w14:textId="77777777" w:rsidR="00ED0029" w:rsidRPr="008047C9" w:rsidRDefault="00ED0029" w:rsidP="00ED0029">
      <w:pPr>
        <w:pStyle w:val="Bezriadkovania"/>
        <w:numPr>
          <w:ilvl w:val="0"/>
          <w:numId w:val="2"/>
        </w:numPr>
        <w:jc w:val="left"/>
        <w:rPr>
          <w:rFonts w:ascii="Times New Roman" w:hAnsi="Times New Roman"/>
          <w:sz w:val="24"/>
          <w:szCs w:val="24"/>
        </w:rPr>
      </w:pPr>
      <w:r w:rsidRPr="008047C9">
        <w:rPr>
          <w:rFonts w:ascii="Times New Roman" w:hAnsi="Times New Roman"/>
          <w:sz w:val="24"/>
          <w:szCs w:val="24"/>
        </w:rPr>
        <w:t>absencia nástrojov na manažment dopytu, čoho dôsledkom je vysoký počet návštev na lekára v medzinárodných porovnaniach,</w:t>
      </w:r>
    </w:p>
    <w:p w14:paraId="159800E3" w14:textId="77777777" w:rsidR="00ED0029" w:rsidRPr="008047C9" w:rsidRDefault="00ED0029" w:rsidP="00ED0029">
      <w:pPr>
        <w:pStyle w:val="Bezriadkovania"/>
        <w:numPr>
          <w:ilvl w:val="0"/>
          <w:numId w:val="2"/>
        </w:numPr>
        <w:rPr>
          <w:rFonts w:ascii="Times New Roman" w:hAnsi="Times New Roman"/>
          <w:sz w:val="24"/>
          <w:szCs w:val="24"/>
        </w:rPr>
      </w:pPr>
      <w:r w:rsidRPr="008047C9">
        <w:rPr>
          <w:rFonts w:ascii="Times New Roman" w:hAnsi="Times New Roman"/>
          <w:sz w:val="24"/>
          <w:szCs w:val="24"/>
        </w:rPr>
        <w:t>pretrvávajúci model „sólo ambulancie“ v zložení 1 lekár a 1 sestra bez využitia potenciálu, ktorý na seba viaže administratívny pracovník a iné.</w:t>
      </w:r>
    </w:p>
    <w:p w14:paraId="0D0B940D" w14:textId="77777777" w:rsidR="00ED0029" w:rsidRPr="008047C9" w:rsidRDefault="00ED0029" w:rsidP="00ED0029">
      <w:pPr>
        <w:pStyle w:val="Bezriadkovania"/>
        <w:rPr>
          <w:rFonts w:ascii="Times New Roman" w:hAnsi="Times New Roman"/>
          <w:sz w:val="24"/>
          <w:szCs w:val="24"/>
        </w:rPr>
      </w:pPr>
    </w:p>
    <w:p w14:paraId="0BEF9B14" w14:textId="66D0A976"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Sieť definovaná v roku 2008 pre 42 odborností je statická, formálne naplnená v 36 odbornostiach, bez každoročného prehodnocovania, vyjadrená výlučne na úrovni kraja, definovaná na odbor a nie na úroveň poskytovateľov špecializovanej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jednotlivých špecializovaných ambulancií ako aj nerovnomernosť demografickej skladby medzi okresmi. </w:t>
      </w:r>
    </w:p>
    <w:p w14:paraId="0E27B00A" w14:textId="77777777" w:rsidR="00ED0029" w:rsidRPr="008047C9" w:rsidRDefault="00ED0029" w:rsidP="00ED0029">
      <w:pPr>
        <w:pStyle w:val="Bezriadkovania"/>
        <w:rPr>
          <w:rFonts w:ascii="Times New Roman" w:hAnsi="Times New Roman"/>
          <w:sz w:val="24"/>
          <w:szCs w:val="24"/>
        </w:rPr>
      </w:pPr>
    </w:p>
    <w:p w14:paraId="1A7B58D5"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Chýba mechanizmus, ktorý by pravidelne monitoroval a vyjadroval cieľové hodnoty verejnej optimálnej siete po vzore definovanej siete pre poskytovateľov všeobecnej ambulantnej starostlivosti so zapojením terénnej znalosti samosprávnych krajov. Ide o jednu z kľúčových intervencií napríklad pre stratégiu vzdelávania a plánovania kapacít v oblasti ľudských zdrojov v ambulantnom sektore. </w:t>
      </w:r>
    </w:p>
    <w:p w14:paraId="60061E4C" w14:textId="77777777" w:rsidR="00ED0029" w:rsidRPr="008047C9" w:rsidRDefault="00ED0029" w:rsidP="00ED0029">
      <w:pPr>
        <w:pStyle w:val="Bezriadkovania"/>
        <w:rPr>
          <w:rFonts w:ascii="Times New Roman" w:hAnsi="Times New Roman"/>
          <w:sz w:val="24"/>
          <w:szCs w:val="24"/>
        </w:rPr>
      </w:pPr>
    </w:p>
    <w:p w14:paraId="6D92EAA5"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Aktuálne sa pri vyhodnocovaní stavu naplnenia siete na úrovni zdravotnej poisťovne  zohľadňuje trhový podiel zdravotných poisťovní. Na druhej strane sa nezohľadňuje účel, ktorý daná špecializovaná ambulancia v systéme plní. Prevádzkovateľmi špecializovaných ambulancií sú dnes ako ambulantní, tak aj ústavní poskytovatelia. Naplnenosť siete však neovplyvňuje fakt, či ide o špecializovanú ambulanciu, ktorá je vo väčšine prípadov tou prvou voľbou pacienta s odporúčaním najmä od lekára vo všeobecnej ambulancii alebo ide o špecializovanú ambulanciu, v ktorej je poskytovaná zdravotná starostlivosť, ktorá priamo súvisí napríklad s prijatím osoby do alebo prepustením osoby zo zariadenia ústavnej zdravotnej starostlivosti, nadväzujúcou dispenzárnou starostlivosťou po prepustení osoby zo zariadenia ústavnej zdravotnej starostlivosti alebo činnosťou konzília danej ambulancie. Dôsledkom je skutočnosť, že verejná minimálna sieť je v príslušnej odbornosti naplnená, pričom do verejnej siete pri vyhodnocovaní vstupujú aj ambulancie, ktorých nosnou činnosťou nie je poskytovanie špecializovanej ambulantnej starostlivosti na základe odporúčania od lekára vo všeobecnej ambulancii. </w:t>
      </w:r>
    </w:p>
    <w:p w14:paraId="44EAFD9C" w14:textId="77777777" w:rsidR="00ED0029" w:rsidRPr="008047C9" w:rsidRDefault="00ED0029" w:rsidP="00ED0029">
      <w:pPr>
        <w:pStyle w:val="Bezriadkovania"/>
        <w:rPr>
          <w:rFonts w:ascii="Times New Roman" w:hAnsi="Times New Roman"/>
          <w:sz w:val="24"/>
          <w:szCs w:val="24"/>
        </w:rPr>
      </w:pPr>
    </w:p>
    <w:p w14:paraId="13DA0355" w14:textId="1DDE1006"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Z tohto dôvodu sa navrhuje zavedenie príznaku verejne dostupnej ambulancie vo verejnej sieti poskytovateľov všeobecnej ambulantnej starostlivosti, poskytovateľov </w:t>
      </w:r>
      <w:r w:rsidR="2D10CE67"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poskytovateľov špecializovanej  ambulantnej starostlivosti poskytovanej v špecializovanej ambulancii do registra povolení, ktorého cieľom je zohľadňovať účel, ktorý ambulancia plní v systéme zdravotnej starostlivosti a zvýšiť transparentnosť cesty pacienta, ktorému je poskytovaná ambulantná zdravotná starostlivosť v ambulancii. Rozhodnutie, či poskytovateľ bude poskytovať zdravotnú starostlivosť vo verejne dostupnej alebo nie verejne dostupnej ambulancii bude slobodným rozhodnutím poskytovateľa. </w:t>
      </w:r>
    </w:p>
    <w:p w14:paraId="4B94D5A5" w14:textId="77777777" w:rsidR="00ED0029" w:rsidRPr="008047C9" w:rsidRDefault="00ED0029" w:rsidP="00ED0029">
      <w:pPr>
        <w:pStyle w:val="Bezriadkovania"/>
        <w:rPr>
          <w:rFonts w:ascii="Times New Roman" w:hAnsi="Times New Roman"/>
          <w:sz w:val="24"/>
          <w:szCs w:val="24"/>
        </w:rPr>
      </w:pPr>
    </w:p>
    <w:p w14:paraId="1674BB0B"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Slovenská republika má v medzinárodných porovnaniach zároveň najvyšší počet ambulantných návštev u lekára (11,1 návštev/1 obyvateľa, priemer OECD 6,7 návštev) a nerovnomernú distribúciu poskytovateľov špecializovanej inej ambulantnej starostlivosti poskytovanej v špecializovanej ambulancii v regiónoch. </w:t>
      </w:r>
    </w:p>
    <w:p w14:paraId="3DEEC669" w14:textId="77777777" w:rsidR="00ED0029" w:rsidRPr="008047C9" w:rsidRDefault="00ED0029" w:rsidP="00ED0029">
      <w:pPr>
        <w:pStyle w:val="Bezriadkovania"/>
        <w:rPr>
          <w:rFonts w:ascii="Times New Roman" w:hAnsi="Times New Roman"/>
          <w:sz w:val="24"/>
          <w:szCs w:val="24"/>
        </w:rPr>
      </w:pPr>
    </w:p>
    <w:p w14:paraId="6852799C"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Graf 1: Počet návštev u ambulantného lekára na 1 obyvateľa za rok 2019</w:t>
      </w:r>
    </w:p>
    <w:p w14:paraId="3656B9AB" w14:textId="77777777" w:rsidR="00ED0029" w:rsidRPr="008047C9" w:rsidRDefault="00ED0029" w:rsidP="00ED0029">
      <w:pPr>
        <w:pStyle w:val="Bezriadkovania"/>
        <w:rPr>
          <w:rFonts w:ascii="Times New Roman" w:hAnsi="Times New Roman"/>
          <w:sz w:val="24"/>
          <w:szCs w:val="24"/>
        </w:rPr>
      </w:pPr>
    </w:p>
    <w:p w14:paraId="45FB0818"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noProof/>
          <w:sz w:val="24"/>
          <w:szCs w:val="24"/>
          <w:lang w:eastAsia="sk-SK"/>
        </w:rPr>
        <w:drawing>
          <wp:inline distT="0" distB="0" distL="0" distR="0" wp14:anchorId="33009E7B" wp14:editId="07777777">
            <wp:extent cx="5339715" cy="991870"/>
            <wp:effectExtent l="0" t="0" r="0" b="0"/>
            <wp:docPr id="6" name="Obrázok 6" descr="Názov: 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312;p98" descr="Názov: Chart"/>
                    <pic:cNvPicPr>
                      <a:picLocks noChangeArrowheads="1"/>
                    </pic:cNvPicPr>
                  </pic:nvPicPr>
                  <pic:blipFill>
                    <a:blip r:embed="rId12">
                      <a:extLst>
                        <a:ext uri="{28A0092B-C50C-407E-A947-70E740481C1C}">
                          <a14:useLocalDpi xmlns:a14="http://schemas.microsoft.com/office/drawing/2010/main" val="0"/>
                        </a:ext>
                      </a:extLst>
                    </a:blip>
                    <a:srcRect l="-2200" t="-5676" r="-1009" b="-5380"/>
                    <a:stretch>
                      <a:fillRect/>
                    </a:stretch>
                  </pic:blipFill>
                  <pic:spPr bwMode="auto">
                    <a:xfrm>
                      <a:off x="0" y="0"/>
                      <a:ext cx="5339715" cy="991870"/>
                    </a:xfrm>
                    <a:prstGeom prst="rect">
                      <a:avLst/>
                    </a:prstGeom>
                    <a:noFill/>
                    <a:ln>
                      <a:noFill/>
                    </a:ln>
                  </pic:spPr>
                </pic:pic>
              </a:graphicData>
            </a:graphic>
          </wp:inline>
        </w:drawing>
      </w:r>
    </w:p>
    <w:p w14:paraId="47E9631A"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iCs/>
          <w:sz w:val="24"/>
          <w:szCs w:val="24"/>
        </w:rPr>
        <w:t>Zdroj: OECD, Počet konzultácií s lekárom na obyvateľa, 2019 Sandwik, H., et al. (2022)</w:t>
      </w:r>
    </w:p>
    <w:p w14:paraId="049F31CB" w14:textId="77777777" w:rsidR="00ED0029" w:rsidRPr="008047C9" w:rsidRDefault="00ED0029" w:rsidP="00ED0029">
      <w:pPr>
        <w:pStyle w:val="Bezriadkovania"/>
        <w:rPr>
          <w:rFonts w:ascii="Times New Roman" w:hAnsi="Times New Roman"/>
          <w:sz w:val="24"/>
          <w:szCs w:val="24"/>
        </w:rPr>
      </w:pPr>
    </w:p>
    <w:p w14:paraId="03AF1F0A" w14:textId="3A354230" w:rsidR="00ED0029" w:rsidRPr="008047C9" w:rsidRDefault="53A00E4B" w:rsidP="00ED0029">
      <w:pPr>
        <w:pStyle w:val="Bezriadkovania"/>
        <w:rPr>
          <w:rFonts w:ascii="Times New Roman" w:hAnsi="Times New Roman"/>
          <w:sz w:val="24"/>
          <w:szCs w:val="24"/>
        </w:rPr>
      </w:pPr>
      <w:r w:rsidRPr="27675889">
        <w:rPr>
          <w:rFonts w:ascii="Times New Roman" w:hAnsi="Times New Roman"/>
          <w:sz w:val="24"/>
          <w:szCs w:val="24"/>
        </w:rPr>
        <w:t xml:space="preserve">Nastavenie nového spôsobu definovania verejnej optimálnej siete poskytovateľov </w:t>
      </w:r>
      <w:r w:rsidR="3E02BA0F" w:rsidRPr="27675889">
        <w:rPr>
          <w:rFonts w:ascii="Times New Roman" w:hAnsi="Times New Roman"/>
          <w:sz w:val="24"/>
          <w:szCs w:val="24"/>
        </w:rPr>
        <w:t xml:space="preserve">primárnej </w:t>
      </w:r>
      <w:r w:rsidRPr="27675889">
        <w:rPr>
          <w:rFonts w:ascii="Times New Roman" w:hAnsi="Times New Roman"/>
          <w:sz w:val="24"/>
          <w:szCs w:val="24"/>
        </w:rPr>
        <w:t xml:space="preserve">špecializovanej gynekologickej ambulantnej starostlivosti a poskytovateľov špecializovanej  ambulantnej starostlivosti poskytovanej v špecializovanej ambulancii nie je nástrojom na znižovanie počtu ambulantných návštev na jedného lekára. Z tohto dôvodu je potrebné súčasne implementovať ďalšie systémové nástroje ako napríklad zvyšovanie kompetenčného statusu všeobecných lekárov, presun kompetencií z lekára na sestru v ambulancii alebo aj opatrenia na uvoľnenie indikačných a preskripčných obmedzení pre všeobecných lekárov. Predmetný návrh zároveň abstrahuje od dopadu implementácie nástrojov telemedicíny, elektronizácie, </w:t>
      </w:r>
      <w:r w:rsidRPr="27675889">
        <w:rPr>
          <w:rFonts w:ascii="Times New Roman" w:hAnsi="Times New Roman"/>
          <w:sz w:val="24"/>
          <w:szCs w:val="24"/>
        </w:rPr>
        <w:lastRenderedPageBreak/>
        <w:t xml:space="preserve">digitálnych terapií alebo nástrojov umelej inteligencie. V prípade ich systémového nasadenia ako súčasti poskytovania zdravotnej starostlivosti bude potrebné zohľadniť ich dopad pri určovaní verejnej optimálnej siete. </w:t>
      </w:r>
    </w:p>
    <w:p w14:paraId="53128261" w14:textId="77777777" w:rsidR="00ED0029" w:rsidRPr="008047C9" w:rsidRDefault="00ED0029" w:rsidP="00ED0029">
      <w:pPr>
        <w:pStyle w:val="Bezriadkovania"/>
        <w:rPr>
          <w:rFonts w:ascii="Times New Roman" w:hAnsi="Times New Roman"/>
          <w:sz w:val="24"/>
          <w:szCs w:val="24"/>
        </w:rPr>
      </w:pPr>
    </w:p>
    <w:p w14:paraId="71BB3066" w14:textId="77777777" w:rsidR="00ED0029" w:rsidRPr="008047C9" w:rsidRDefault="00ED0029" w:rsidP="00ED0029">
      <w:pPr>
        <w:pStyle w:val="Bezriadkovania"/>
        <w:rPr>
          <w:rFonts w:ascii="Times New Roman" w:hAnsi="Times New Roman"/>
          <w:sz w:val="24"/>
          <w:szCs w:val="24"/>
        </w:rPr>
      </w:pPr>
      <w:r w:rsidRPr="008047C9">
        <w:rPr>
          <w:rFonts w:ascii="Times New Roman" w:hAnsi="Times New Roman"/>
          <w:sz w:val="24"/>
          <w:szCs w:val="24"/>
        </w:rPr>
        <w:t xml:space="preserve">Definovanie novej dynamickej siete je jedným z prvých krokov k zvyšovaniu stability a odolnosti ambulantného sektora. Predpoklad, že vo vybraných odbornostiach bude verejná optimálna sieť dlhšie obdobie nenaplnená a to najmä z obmedzených a nedostatočných personálnych kapacít, je reálny a objektívny. Doplnenie verejnej optimálnej siete je niekoľko ročný proces, do ktorého je potrebné zapojiť všetky zainteresované subjekty. Z tohto dôvodu bude pre zainteresované subjekty oveľa väčšou výzvou ako samotné stanovenie a výpočet optimálnej siete jej naplnenie. Adresné opatrenia smerujúce k zabezpečeniu siete tak idú za rezortom zdravotníctva, ako aj za samosprávnymi krajmi, kde jednou z foriem sú dotačné schémy samospráv alebo ponuka byť zamestnávateľom lekárov alebo iných zdravotníckych pracovníkov vo vlastných špecializovaných ambulanciách. Nemenej podstatným je postavenie zdravotných poisťovní, ktoré svojou zmluvnou politikou ovplyvňujú rozhodnutie lekárov pôsobiť v ambulantnom sektore. </w:t>
      </w:r>
    </w:p>
    <w:p w14:paraId="62486C05" w14:textId="77777777" w:rsidR="007B1D56" w:rsidRPr="008047C9" w:rsidRDefault="007B1D56" w:rsidP="007B1D56">
      <w:pPr>
        <w:tabs>
          <w:tab w:val="left" w:pos="904"/>
        </w:tabs>
        <w:spacing w:line="240" w:lineRule="auto"/>
        <w:jc w:val="both"/>
        <w:rPr>
          <w:rFonts w:ascii="Times New Roman" w:eastAsia="Times New Roman" w:hAnsi="Times New Roman"/>
          <w:sz w:val="24"/>
          <w:szCs w:val="24"/>
        </w:rPr>
      </w:pPr>
    </w:p>
    <w:p w14:paraId="56DE2CA2" w14:textId="77777777" w:rsidR="007B1D56" w:rsidRPr="008047C9" w:rsidRDefault="007B1D56" w:rsidP="007B1D56">
      <w:pPr>
        <w:tabs>
          <w:tab w:val="left" w:pos="904"/>
        </w:tabs>
        <w:spacing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w14:paraId="73703697" w14:textId="77777777" w:rsidR="007B1D56" w:rsidRPr="008047C9" w:rsidRDefault="007B1D56" w:rsidP="007B1D56">
      <w:pPr>
        <w:spacing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w14:paraId="6B168F80" w14:textId="77777777" w:rsidR="007B1D56" w:rsidRPr="008047C9" w:rsidRDefault="007B1D56" w:rsidP="007B1D56">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w14:paraId="4101652C" w14:textId="77777777" w:rsidR="007B1D56" w:rsidRPr="008047C9" w:rsidRDefault="007B1D56" w:rsidP="007B1D56">
      <w:pPr>
        <w:spacing w:after="0" w:line="240" w:lineRule="auto"/>
        <w:jc w:val="both"/>
        <w:rPr>
          <w:rFonts w:ascii="Times New Roman" w:eastAsia="Times New Roman" w:hAnsi="Times New Roman"/>
          <w:sz w:val="24"/>
          <w:szCs w:val="24"/>
        </w:rPr>
      </w:pPr>
    </w:p>
    <w:p w14:paraId="6AF82615"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Ďalším cieľom predkladaného zákona je zavedenie zariadenia integrácie prierezovej starostlivosti. Uvedenou definíciou a vymedzením existujúcich ambulancií, stacionárov, a spoločných vyšetrovacích a liečebných zložiek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w:t>
      </w:r>
      <w:r w:rsidRPr="008047C9">
        <w:rPr>
          <w:rFonts w:ascii="Times New Roman" w:eastAsia="Times New Roman" w:hAnsi="Times New Roman"/>
          <w:sz w:val="24"/>
          <w:szCs w:val="24"/>
        </w:rPr>
        <w:lastRenderedPageBreak/>
        <w:t>potrebujú zdravotnú starostlivosť a k nej prislúchajúce činnosti a služby, ktoré už nebudú súčasťou zdravotnej starostlivosti, avšak sú nevyhnutné prinavrátenie zdravia.</w:t>
      </w:r>
    </w:p>
    <w:p w14:paraId="4B99056E"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2DAE94D2"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Taktiež sa upravujú náležitosti v súvislosti s obmedzovacími prostriedkami – použitie, evidencia, oprávnené osoby. V rámci uvedenej oblasti sa taktiež upravujú problémy z aplikačnej praxe v súvislosti so starostlivosťou v detenčnom ústave.</w:t>
      </w:r>
    </w:p>
    <w:p w14:paraId="1299C43A"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02210998"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 xml:space="preserve">Zároveň sa technicky upravujú náležitosti v súvislosti so skríningom, nakoľko najnovšie odporúčania je potrebné zohľadniť aj v legislatíve. Zároveň uvedené úpravy umožnia pružnejšie reagovať na zmeny v súvislosti so skríningami onkologických ochorení. </w:t>
      </w:r>
    </w:p>
    <w:p w14:paraId="4DDBEF00"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p>
    <w:p w14:paraId="0384AC2E" w14:textId="77777777" w:rsidR="007B1D56" w:rsidRPr="008047C9" w:rsidRDefault="007B1D56" w:rsidP="007B1D56">
      <w:pPr>
        <w:tabs>
          <w:tab w:val="num" w:pos="1080"/>
        </w:tabs>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V neposlednom rade sa upravuje oblasť nakladania, spracovania a zápisu so zdravotnou dokumentáciou aj vo vzťahu k implementácii osoby, ktorá bude vykonávať administratívne úkony v ambulancii alebo v ústavnom zdravotníckom zariadení. Uvedené ustanovenia umožnia poskytovateľom zdravotnej starostlivosti implementovať do svojich zariadení tzv. „administratívnych pracovníkov“, ktorí získajú oprávnenia v súvislosti s nahliadaním, resp. zápisom do zdravotnej dokumentácie v rozsahu ich zverených kompetencií.</w:t>
      </w:r>
    </w:p>
    <w:p w14:paraId="3461D779" w14:textId="77777777" w:rsidR="00714960" w:rsidRPr="008047C9" w:rsidRDefault="00714960" w:rsidP="007B1D56">
      <w:pPr>
        <w:tabs>
          <w:tab w:val="num" w:pos="1080"/>
        </w:tabs>
        <w:spacing w:after="0" w:line="240" w:lineRule="auto"/>
        <w:jc w:val="both"/>
        <w:rPr>
          <w:rFonts w:ascii="Times New Roman" w:eastAsia="Times New Roman" w:hAnsi="Times New Roman"/>
          <w:sz w:val="24"/>
          <w:szCs w:val="24"/>
        </w:rPr>
      </w:pPr>
    </w:p>
    <w:p w14:paraId="6C35F573" w14:textId="1C30B089" w:rsidR="00714960" w:rsidRPr="004B1128" w:rsidRDefault="00714960" w:rsidP="7CF3F74F">
      <w:pPr>
        <w:tabs>
          <w:tab w:val="num" w:pos="1080"/>
        </w:tabs>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Zároveň sa uvedeným návrhom plní aj úloha č. 15 na mesiac september 2024 z Plánu legislatívnych úloh vlády SR na rok 2024 vo veci zoznamu zdravotných výkonov.</w:t>
      </w:r>
    </w:p>
    <w:p w14:paraId="6F8144DF" w14:textId="198E6DDF" w:rsidR="7CF3F74F" w:rsidRPr="004B1128" w:rsidRDefault="7CF3F74F" w:rsidP="004B1128">
      <w:pPr>
        <w:tabs>
          <w:tab w:val="num" w:pos="1080"/>
        </w:tabs>
        <w:spacing w:after="0" w:line="240" w:lineRule="auto"/>
        <w:jc w:val="both"/>
        <w:rPr>
          <w:rFonts w:ascii="Times New Roman" w:eastAsia="Times New Roman" w:hAnsi="Times New Roman"/>
          <w:sz w:val="24"/>
          <w:szCs w:val="24"/>
        </w:rPr>
      </w:pPr>
    </w:p>
    <w:p w14:paraId="570EB85B" w14:textId="3F4D1FB4" w:rsidR="785E2322" w:rsidRPr="004B1128" w:rsidRDefault="785E2322" w:rsidP="004B1128">
      <w:pPr>
        <w:tabs>
          <w:tab w:val="num" w:pos="1080"/>
        </w:tabs>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Návrhom sa zavádzajú zmeny, ktoré zjednodušujú predpisovanie liekov a zdravotníckych pomôcok, najmä pri prepúšťaní pacientov z ústavnej zdravotnej starostlivosti. Zároveň sa upravujú pravidlá pre zabezpečenie lepšej dostupnosti odberov krvi od dobrovoľných darcov, a tým aj zvýšenie dostupnosti krvi a produktov z krvi pre poskytovateľov ústavnej zdravotnej starostlivosti SR.</w:t>
      </w:r>
    </w:p>
    <w:p w14:paraId="3CF2D8B6" w14:textId="77777777" w:rsidR="007B1D56" w:rsidRPr="004B1128" w:rsidRDefault="007B1D56" w:rsidP="00ED0029">
      <w:pPr>
        <w:spacing w:after="0" w:line="240" w:lineRule="auto"/>
        <w:jc w:val="both"/>
        <w:rPr>
          <w:rFonts w:ascii="Times New Roman" w:eastAsia="Times New Roman" w:hAnsi="Times New Roman"/>
          <w:sz w:val="24"/>
          <w:szCs w:val="24"/>
        </w:rPr>
      </w:pPr>
    </w:p>
    <w:p w14:paraId="420B5E20" w14:textId="77777777" w:rsidR="00ED0029" w:rsidRPr="004B1128" w:rsidRDefault="00ED0029" w:rsidP="00ED0029">
      <w:pPr>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Prijatie predloženého návrhu zákona bude mať pozitívne sociálne vplyvy, bude mať pozitívne vplyvy na podnikateľské prostredie, návrh zákona bude mať negatívne vplyvy na rozpočet verejnej správy, nebude mať vplyv na informatizáciu spoločnosti, nebude mať vplyv na životné prostredie, nebude mať vplyv na služby verejnej správy pre občana, nebude mať vplyv na manželstvo, rodičovstvo a rodinu.</w:t>
      </w:r>
    </w:p>
    <w:p w14:paraId="5EDAEF92" w14:textId="77777777" w:rsidR="00ED0029" w:rsidRPr="008047C9" w:rsidRDefault="00ED0029" w:rsidP="00ED0029">
      <w:pPr>
        <w:spacing w:after="0" w:line="240" w:lineRule="auto"/>
        <w:jc w:val="both"/>
        <w:rPr>
          <w:rFonts w:ascii="Times New Roman" w:eastAsia="Times New Roman" w:hAnsi="Times New Roman"/>
          <w:sz w:val="24"/>
          <w:szCs w:val="24"/>
        </w:rPr>
      </w:pPr>
      <w:r w:rsidRPr="004B1128">
        <w:rPr>
          <w:rFonts w:ascii="Times New Roman" w:eastAsia="Times New Roman" w:hAnsi="Times New Roman"/>
          <w:sz w:val="24"/>
          <w:szCs w:val="24"/>
        </w:rPr>
        <w:t xml:space="preserve">Návrh zákona je v súlade s Ústavou Slovenskej republiky, ústavnými zákonmi a nálezmi Ústavného súdu Slovenskej </w:t>
      </w:r>
      <w:r w:rsidRPr="008047C9">
        <w:rPr>
          <w:rFonts w:ascii="Times New Roman" w:eastAsia="Times New Roman" w:hAnsi="Times New Roman"/>
          <w:sz w:val="24"/>
          <w:szCs w:val="24"/>
        </w:rPr>
        <w:t xml:space="preserve">republiky, zákonmi Slovenskej republiky a ostatnými všeobecne záväznými právnymi predpismi, medzinárodnými zmluvami </w:t>
      </w:r>
      <w:bookmarkStart w:id="0" w:name="_GoBack"/>
      <w:bookmarkEnd w:id="0"/>
      <w:r w:rsidRPr="008047C9">
        <w:rPr>
          <w:rFonts w:ascii="Times New Roman" w:eastAsia="Times New Roman" w:hAnsi="Times New Roman"/>
          <w:sz w:val="24"/>
          <w:szCs w:val="24"/>
        </w:rPr>
        <w:t>a inými medzinárodnými dokumentmi, ktorými je Slovenská republika viazaná, ako aj s právne záväznými aktmi Európskej únie.</w:t>
      </w:r>
    </w:p>
    <w:p w14:paraId="3445F4E7" w14:textId="77777777" w:rsidR="00ED0029" w:rsidRPr="008047C9" w:rsidRDefault="00ED0029" w:rsidP="00ED0029">
      <w:pPr>
        <w:spacing w:after="0" w:line="240" w:lineRule="auto"/>
        <w:jc w:val="both"/>
        <w:rPr>
          <w:rFonts w:ascii="Times New Roman" w:hAnsi="Times New Roman"/>
          <w:sz w:val="24"/>
          <w:szCs w:val="24"/>
        </w:rPr>
      </w:pPr>
      <w:r w:rsidRPr="008047C9">
        <w:rPr>
          <w:rFonts w:ascii="Times New Roman" w:hAnsi="Times New Roman"/>
          <w:sz w:val="24"/>
          <w:szCs w:val="24"/>
        </w:rPr>
        <w:t>Vzhľadom na dĺžku legislatívneho procesu sa navrhuje účinnosť zákona od 1. januára 2025 s určeným prechodným obdobím na doplnenie údajov o verejne dostupných ambulanciách.</w:t>
      </w:r>
    </w:p>
    <w:p w14:paraId="0FB78278" w14:textId="77777777" w:rsidR="00ED0029" w:rsidRPr="008047C9" w:rsidRDefault="00ED0029" w:rsidP="00ED0029">
      <w:pPr>
        <w:spacing w:after="0" w:line="240" w:lineRule="auto"/>
        <w:jc w:val="both"/>
        <w:rPr>
          <w:rFonts w:ascii="Times New Roman" w:eastAsia="Times New Roman" w:hAnsi="Times New Roman"/>
          <w:sz w:val="24"/>
          <w:szCs w:val="24"/>
        </w:rPr>
      </w:pPr>
    </w:p>
    <w:p w14:paraId="6D6AF6CD" w14:textId="77777777" w:rsidR="00ED0029" w:rsidRPr="008047C9" w:rsidRDefault="00ED0029" w:rsidP="00ED0029">
      <w:pPr>
        <w:spacing w:after="0" w:line="240" w:lineRule="auto"/>
        <w:jc w:val="both"/>
        <w:rPr>
          <w:rFonts w:ascii="Times New Roman" w:eastAsia="Times New Roman" w:hAnsi="Times New Roman"/>
          <w:sz w:val="24"/>
          <w:szCs w:val="24"/>
        </w:rPr>
      </w:pPr>
      <w:r w:rsidRPr="008047C9">
        <w:rPr>
          <w:rFonts w:ascii="Times New Roman" w:eastAsia="Times New Roman" w:hAnsi="Times New Roman"/>
          <w:sz w:val="24"/>
          <w:szCs w:val="24"/>
        </w:rPr>
        <w:t>Návrh zákona nie je predmetom vnútrokomunitárneho pripomienkového konania.</w:t>
      </w:r>
    </w:p>
    <w:p w14:paraId="1FC39945" w14:textId="77777777" w:rsidR="00ED0029" w:rsidRPr="008047C9" w:rsidRDefault="00ED0029" w:rsidP="00ED0029">
      <w:pPr>
        <w:spacing w:after="0" w:line="240" w:lineRule="auto"/>
        <w:rPr>
          <w:rFonts w:ascii="Times New Roman" w:hAnsi="Times New Roman"/>
          <w:sz w:val="24"/>
          <w:szCs w:val="24"/>
        </w:rPr>
        <w:sectPr w:rsidR="00ED0029" w:rsidRPr="008047C9" w:rsidSect="004E5B09">
          <w:headerReference w:type="even" r:id="rId13"/>
          <w:footerReference w:type="even" r:id="rId14"/>
          <w:footerReference w:type="default" r:id="rId15"/>
          <w:headerReference w:type="first" r:id="rId16"/>
          <w:footerReference w:type="first" r:id="rId17"/>
          <w:pgSz w:w="11906" w:h="16838"/>
          <w:pgMar w:top="1417" w:right="1417" w:bottom="1276" w:left="1417" w:header="708" w:footer="708" w:gutter="0"/>
          <w:pgNumType w:start="1"/>
          <w:cols w:space="708"/>
          <w:titlePg/>
          <w:docGrid w:linePitch="360"/>
        </w:sectPr>
      </w:pPr>
    </w:p>
    <w:p w14:paraId="647BB7DB"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Graf 2: Zmluvné špecializované ambulancie podľa typu poskytovateľa (stav k 1. 6. 2022)</w:t>
      </w:r>
    </w:p>
    <w:p w14:paraId="0562CB0E" w14:textId="77777777" w:rsidR="00ED0029" w:rsidRPr="008047C9" w:rsidRDefault="00ED0029" w:rsidP="00ED0029">
      <w:pPr>
        <w:jc w:val="both"/>
        <w:rPr>
          <w:rFonts w:ascii="Times New Roman" w:hAnsi="Times New Roman"/>
          <w:sz w:val="24"/>
          <w:szCs w:val="24"/>
        </w:rPr>
      </w:pPr>
      <w:r w:rsidRPr="008047C9">
        <w:rPr>
          <w:rFonts w:ascii="Times New Roman" w:hAnsi="Times New Roman"/>
          <w:noProof/>
          <w:sz w:val="24"/>
          <w:szCs w:val="24"/>
          <w:lang w:eastAsia="sk-SK"/>
        </w:rPr>
        <w:drawing>
          <wp:inline distT="0" distB="0" distL="0" distR="0" wp14:anchorId="67070373" wp14:editId="07777777">
            <wp:extent cx="7447338" cy="521035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0255" cy="5219392"/>
                    </a:xfrm>
                    <a:prstGeom prst="rect">
                      <a:avLst/>
                    </a:prstGeom>
                    <a:noFill/>
                    <a:ln>
                      <a:noFill/>
                    </a:ln>
                  </pic:spPr>
                </pic:pic>
              </a:graphicData>
            </a:graphic>
          </wp:inline>
        </w:drawing>
      </w:r>
    </w:p>
    <w:p w14:paraId="5D202685" w14:textId="77777777" w:rsidR="00ED0029" w:rsidRPr="008047C9" w:rsidRDefault="00ED0029" w:rsidP="00ED0029">
      <w:pPr>
        <w:rPr>
          <w:rFonts w:ascii="Times New Roman" w:hAnsi="Times New Roman"/>
          <w:sz w:val="24"/>
          <w:szCs w:val="24"/>
        </w:rPr>
      </w:pPr>
      <w:r w:rsidRPr="008047C9">
        <w:rPr>
          <w:rFonts w:ascii="Times New Roman" w:hAnsi="Times New Roman"/>
          <w:sz w:val="24"/>
          <w:szCs w:val="24"/>
        </w:rPr>
        <w:lastRenderedPageBreak/>
        <w:t>Graf 3: Lekárske miesta, lekári* v špecializovaných ambulanciách a ich priemerný vek (stav k 1. 6. 2022)</w:t>
      </w:r>
      <w:r w:rsidRPr="008047C9">
        <w:rPr>
          <w:rFonts w:ascii="Times New Roman" w:hAnsi="Times New Roman"/>
          <w:sz w:val="24"/>
          <w:szCs w:val="24"/>
        </w:rPr>
        <w:br/>
      </w:r>
      <w:r w:rsidRPr="008047C9">
        <w:rPr>
          <w:rFonts w:ascii="Times New Roman" w:hAnsi="Times New Roman"/>
          <w:sz w:val="20"/>
          <w:szCs w:val="24"/>
        </w:rPr>
        <w:t>* do analýzy boli zahrnutí zdravotnícki pracovníci v povolaniach lekár, zubný lekár a vybrané zdravotnícke povolania z iných zdravotníckych pracovníkov (napr. logopéd, psychológ, liečebný pedagóg)</w:t>
      </w:r>
    </w:p>
    <w:p w14:paraId="34CE0A41" w14:textId="77777777" w:rsidR="00F0501B" w:rsidRPr="008047C9" w:rsidRDefault="00ED0029" w:rsidP="00F0501B">
      <w:pPr>
        <w:rPr>
          <w:rFonts w:ascii="Times New Roman" w:hAnsi="Times New Roman"/>
          <w:noProof/>
          <w:sz w:val="24"/>
          <w:szCs w:val="24"/>
          <w:lang w:eastAsia="sk-SK"/>
        </w:rPr>
      </w:pPr>
      <w:r w:rsidRPr="008047C9">
        <w:rPr>
          <w:rFonts w:ascii="Times New Roman" w:hAnsi="Times New Roman"/>
          <w:noProof/>
          <w:sz w:val="24"/>
          <w:szCs w:val="24"/>
          <w:lang w:eastAsia="sk-SK"/>
        </w:rPr>
        <w:drawing>
          <wp:inline distT="0" distB="0" distL="0" distR="0" wp14:anchorId="12497045" wp14:editId="07777777">
            <wp:extent cx="7323827" cy="4771776"/>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2705" cy="4784076"/>
                    </a:xfrm>
                    <a:prstGeom prst="rect">
                      <a:avLst/>
                    </a:prstGeom>
                    <a:noFill/>
                    <a:ln>
                      <a:noFill/>
                    </a:ln>
                  </pic:spPr>
                </pic:pic>
              </a:graphicData>
            </a:graphic>
          </wp:inline>
        </w:drawing>
      </w:r>
    </w:p>
    <w:p w14:paraId="2DD86C31" w14:textId="77777777" w:rsidR="00ED0029" w:rsidRPr="008047C9" w:rsidRDefault="00ED0029" w:rsidP="00F0501B">
      <w:pPr>
        <w:rPr>
          <w:rFonts w:ascii="Times New Roman" w:hAnsi="Times New Roman"/>
          <w:noProof/>
          <w:sz w:val="24"/>
          <w:szCs w:val="24"/>
          <w:lang w:eastAsia="sk-SK"/>
        </w:rPr>
      </w:pPr>
      <w:r w:rsidRPr="008047C9">
        <w:rPr>
          <w:rFonts w:ascii="Times New Roman" w:hAnsi="Times New Roman"/>
          <w:sz w:val="24"/>
          <w:szCs w:val="24"/>
        </w:rPr>
        <w:lastRenderedPageBreak/>
        <w:t>Graf 4: Návštevy v špecializovanej ambulantnej starostlivosti (rok 2019)</w:t>
      </w:r>
    </w:p>
    <w:p w14:paraId="62EBF3C5" w14:textId="77777777" w:rsidR="00ED0029" w:rsidRPr="008047C9" w:rsidRDefault="00ED0029" w:rsidP="00ED0029">
      <w:pPr>
        <w:jc w:val="both"/>
        <w:rPr>
          <w:rFonts w:ascii="Times New Roman" w:hAnsi="Times New Roman"/>
          <w:noProof/>
          <w:sz w:val="24"/>
          <w:szCs w:val="24"/>
          <w:lang w:eastAsia="sk-SK"/>
        </w:rPr>
      </w:pPr>
      <w:r w:rsidRPr="008047C9">
        <w:rPr>
          <w:rFonts w:ascii="Times New Roman" w:hAnsi="Times New Roman"/>
          <w:noProof/>
          <w:sz w:val="24"/>
          <w:szCs w:val="24"/>
          <w:lang w:eastAsia="sk-SK"/>
        </w:rPr>
        <w:drawing>
          <wp:inline distT="0" distB="0" distL="0" distR="0" wp14:anchorId="6C0E6E16" wp14:editId="07777777">
            <wp:extent cx="7410091" cy="4917863"/>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20886" cy="4925028"/>
                    </a:xfrm>
                    <a:prstGeom prst="rect">
                      <a:avLst/>
                    </a:prstGeom>
                    <a:noFill/>
                    <a:ln>
                      <a:noFill/>
                    </a:ln>
                  </pic:spPr>
                </pic:pic>
              </a:graphicData>
            </a:graphic>
          </wp:inline>
        </w:drawing>
      </w:r>
    </w:p>
    <w:p w14:paraId="7AD9CB90"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Tabuľka 1: Veková štruktúra pacientov v špecializovaných ambulanciách (rok 2023, zdravotné poisťovne)</w:t>
      </w:r>
    </w:p>
    <w:p w14:paraId="6D98A12B" w14:textId="77777777" w:rsidR="00ED0029" w:rsidRPr="008047C9" w:rsidRDefault="00ED0029" w:rsidP="00ED0029">
      <w:pPr>
        <w:jc w:val="both"/>
        <w:rPr>
          <w:rFonts w:ascii="Times New Roman" w:hAnsi="Times New Roman"/>
          <w:noProof/>
          <w:lang w:eastAsia="sk-SK"/>
        </w:rPr>
      </w:pPr>
      <w:r w:rsidRPr="008047C9">
        <w:rPr>
          <w:rFonts w:ascii="Times New Roman" w:hAnsi="Times New Roman"/>
          <w:noProof/>
          <w:lang w:eastAsia="sk-SK"/>
        </w:rPr>
        <w:drawing>
          <wp:inline distT="0" distB="0" distL="0" distR="0" wp14:anchorId="7CD52128" wp14:editId="07777777">
            <wp:extent cx="8039819" cy="4701778"/>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7625" cy="4706343"/>
                    </a:xfrm>
                    <a:prstGeom prst="rect">
                      <a:avLst/>
                    </a:prstGeom>
                    <a:noFill/>
                    <a:ln>
                      <a:noFill/>
                    </a:ln>
                  </pic:spPr>
                </pic:pic>
              </a:graphicData>
            </a:graphic>
          </wp:inline>
        </w:drawing>
      </w:r>
    </w:p>
    <w:p w14:paraId="2946DB82" w14:textId="77777777" w:rsidR="00ED0029" w:rsidRPr="008047C9" w:rsidRDefault="00ED0029" w:rsidP="00ED0029">
      <w:pPr>
        <w:jc w:val="both"/>
        <w:rPr>
          <w:rFonts w:ascii="Times New Roman" w:hAnsi="Times New Roman"/>
          <w:sz w:val="24"/>
          <w:szCs w:val="24"/>
        </w:rPr>
      </w:pPr>
    </w:p>
    <w:p w14:paraId="264FF7A4" w14:textId="77777777" w:rsidR="00ED0029" w:rsidRPr="008047C9" w:rsidRDefault="00ED0029" w:rsidP="00ED0029">
      <w:pPr>
        <w:jc w:val="both"/>
        <w:rPr>
          <w:rFonts w:ascii="Times New Roman" w:hAnsi="Times New Roman"/>
          <w:sz w:val="24"/>
          <w:szCs w:val="24"/>
        </w:rPr>
      </w:pPr>
      <w:r w:rsidRPr="008047C9">
        <w:rPr>
          <w:rFonts w:ascii="Times New Roman" w:hAnsi="Times New Roman"/>
          <w:sz w:val="24"/>
          <w:szCs w:val="24"/>
        </w:rPr>
        <w:lastRenderedPageBreak/>
        <w:t>Tabuľka 2: Vekovo-špecifický index ročnej návštevnosti v špecializovaných ambulanciách (rok 2023, zdravotné poisťovne)</w:t>
      </w:r>
    </w:p>
    <w:p w14:paraId="5997CC1D" w14:textId="77777777" w:rsidR="00E50350" w:rsidRPr="008047C9" w:rsidRDefault="00ED0029" w:rsidP="00ED0029">
      <w:r w:rsidRPr="008047C9">
        <w:rPr>
          <w:rFonts w:ascii="Times New Roman" w:hAnsi="Times New Roman"/>
          <w:noProof/>
          <w:lang w:eastAsia="sk-SK"/>
        </w:rPr>
        <w:drawing>
          <wp:inline distT="0" distB="0" distL="0" distR="0" wp14:anchorId="73FD4794" wp14:editId="07777777">
            <wp:extent cx="8005313" cy="4880579"/>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19319" cy="4889118"/>
                    </a:xfrm>
                    <a:prstGeom prst="rect">
                      <a:avLst/>
                    </a:prstGeom>
                    <a:noFill/>
                    <a:ln>
                      <a:noFill/>
                    </a:ln>
                  </pic:spPr>
                </pic:pic>
              </a:graphicData>
            </a:graphic>
          </wp:inline>
        </w:drawing>
      </w:r>
    </w:p>
    <w:sectPr w:rsidR="00E50350" w:rsidRPr="008047C9" w:rsidSect="00ED002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2A114F" w16cex:dateUtc="2024-09-23T15:38:39.993Z"/>
</w16cex:commentsExtensible>
</file>

<file path=word/commentsIds.xml><?xml version="1.0" encoding="utf-8"?>
<w16cid:commentsIds xmlns:mc="http://schemas.openxmlformats.org/markup-compatibility/2006" xmlns:w16cid="http://schemas.microsoft.com/office/word/2016/wordml/cid" mc:Ignorable="w16cid">
  <w16cid:commentId w16cid:paraId="1CBA1701" w16cid:durableId="4B2A1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13162" w14:textId="77777777" w:rsidR="00410F2B" w:rsidRDefault="00410F2B" w:rsidP="00ED0029">
      <w:pPr>
        <w:spacing w:after="0" w:line="240" w:lineRule="auto"/>
      </w:pPr>
      <w:r>
        <w:separator/>
      </w:r>
    </w:p>
  </w:endnote>
  <w:endnote w:type="continuationSeparator" w:id="0">
    <w:p w14:paraId="0F5ECCE5" w14:textId="77777777" w:rsidR="00410F2B" w:rsidRDefault="00410F2B" w:rsidP="00ED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133C" w14:textId="77777777" w:rsidR="00ED0029" w:rsidRDefault="00ED002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08CE6F91" w14:textId="77777777" w:rsidR="00ED0029" w:rsidRDefault="00ED002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64888"/>
      <w:docPartObj>
        <w:docPartGallery w:val="Page Numbers (Bottom of Page)"/>
        <w:docPartUnique/>
      </w:docPartObj>
    </w:sdtPr>
    <w:sdtEndPr/>
    <w:sdtContent>
      <w:p w14:paraId="2DFFD37F" w14:textId="4466A146" w:rsidR="00ED0029" w:rsidRDefault="00ED0029">
        <w:pPr>
          <w:pStyle w:val="Pta"/>
          <w:jc w:val="right"/>
        </w:pPr>
        <w:r>
          <w:fldChar w:fldCharType="begin"/>
        </w:r>
        <w:r>
          <w:instrText>PAGE   \* MERGEFORMAT</w:instrText>
        </w:r>
        <w:r>
          <w:fldChar w:fldCharType="separate"/>
        </w:r>
        <w:r w:rsidR="004B1128">
          <w:rPr>
            <w:noProof/>
          </w:rPr>
          <w:t>11</w:t>
        </w:r>
        <w:r>
          <w:fldChar w:fldCharType="end"/>
        </w:r>
      </w:p>
    </w:sdtContent>
  </w:sdt>
  <w:p w14:paraId="6B699379" w14:textId="77777777" w:rsidR="00ED0029" w:rsidRDefault="00ED0029">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E2FB" w14:textId="34F31BFC" w:rsidR="00ED0029" w:rsidRDefault="00ED0029">
    <w:pPr>
      <w:pStyle w:val="Pta"/>
      <w:jc w:val="right"/>
    </w:pPr>
    <w:r>
      <w:fldChar w:fldCharType="begin"/>
    </w:r>
    <w:r>
      <w:instrText>PAGE   \* MERGEFORMAT</w:instrText>
    </w:r>
    <w:r>
      <w:fldChar w:fldCharType="separate"/>
    </w:r>
    <w:r w:rsidR="004B1128">
      <w:rPr>
        <w:noProof/>
      </w:rPr>
      <w:t>1</w:t>
    </w:r>
    <w:r>
      <w:fldChar w:fldCharType="end"/>
    </w:r>
  </w:p>
  <w:p w14:paraId="52E56223" w14:textId="77777777" w:rsidR="00ED0029" w:rsidRDefault="00ED00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A539" w14:textId="77777777" w:rsidR="00410F2B" w:rsidRDefault="00410F2B" w:rsidP="00ED0029">
      <w:pPr>
        <w:spacing w:after="0" w:line="240" w:lineRule="auto"/>
      </w:pPr>
      <w:r>
        <w:separator/>
      </w:r>
    </w:p>
  </w:footnote>
  <w:footnote w:type="continuationSeparator" w:id="0">
    <w:p w14:paraId="7A37FA25" w14:textId="77777777" w:rsidR="00410F2B" w:rsidRDefault="00410F2B" w:rsidP="00ED0029">
      <w:pPr>
        <w:spacing w:after="0" w:line="240" w:lineRule="auto"/>
      </w:pPr>
      <w:r>
        <w:continuationSeparator/>
      </w:r>
    </w:p>
  </w:footnote>
  <w:footnote w:id="1">
    <w:p w14:paraId="2C0E27F0" w14:textId="77777777" w:rsidR="00ED0029" w:rsidRPr="00F0501B" w:rsidRDefault="00ED0029" w:rsidP="00ED0029">
      <w:pPr>
        <w:pStyle w:val="Textpoznmkypodiarou"/>
        <w:rPr>
          <w:rFonts w:ascii="Times New Roman" w:hAnsi="Times New Roman"/>
          <w:sz w:val="18"/>
        </w:rPr>
      </w:pPr>
      <w:r w:rsidRPr="00F0501B">
        <w:rPr>
          <w:rStyle w:val="Odkaznapoznmkupodiarou"/>
          <w:rFonts w:ascii="Times New Roman" w:hAnsi="Times New Roman"/>
          <w:sz w:val="18"/>
        </w:rPr>
        <w:footnoteRef/>
      </w:r>
      <w:r w:rsidRPr="00F0501B">
        <w:rPr>
          <w:rFonts w:ascii="Times New Roman" w:hAnsi="Times New Roman"/>
          <w:sz w:val="18"/>
        </w:rPr>
        <w:t xml:space="preserve"> Príloha č. 1a (zoznam špecializovaných ambulancií) Zákona č. 578/2004 Z.z. o poskytovateľoch zdravotnej starostlivosti, zdravotníckych pracovníkoch, stavovských organizáciách v zdravotníctve a o zmene a doplnení niektorých zákonov </w:t>
      </w:r>
    </w:p>
  </w:footnote>
  <w:footnote w:id="2">
    <w:p w14:paraId="31E2E316" w14:textId="77777777" w:rsidR="00ED0029" w:rsidRDefault="00ED0029" w:rsidP="00ED0029">
      <w:pPr>
        <w:pStyle w:val="Textpoznmkypodiarou"/>
      </w:pPr>
      <w:r w:rsidRPr="00F0501B">
        <w:rPr>
          <w:rStyle w:val="Odkaznapoznmkupodiarou"/>
          <w:rFonts w:ascii="Times New Roman" w:hAnsi="Times New Roman"/>
          <w:sz w:val="18"/>
        </w:rPr>
        <w:footnoteRef/>
      </w:r>
      <w:r w:rsidRPr="00F0501B">
        <w:rPr>
          <w:rFonts w:ascii="Times New Roman" w:hAnsi="Times New Roman"/>
          <w:sz w:val="18"/>
        </w:rPr>
        <w:t xml:space="preserve"> Príloha č. 3 nariadenia vlády SR č. 640/2008 Z.z. o verejnej minimálnej sieti poskytovateľov zdravotnej starostlivosti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860" w14:textId="77777777" w:rsidR="00ED0029" w:rsidRDefault="00ED0029" w:rsidP="00DB5C4F">
    <w:pPr>
      <w:pStyle w:val="Hlavika"/>
      <w:jc w:val="right"/>
      <w:rPr>
        <w:sz w:val="24"/>
        <w:szCs w:val="24"/>
      </w:rPr>
    </w:pPr>
    <w:r>
      <w:rPr>
        <w:sz w:val="24"/>
        <w:szCs w:val="24"/>
      </w:rPr>
      <w:t>Príloha č. 2</w:t>
    </w:r>
  </w:p>
  <w:p w14:paraId="23DE523C" w14:textId="77777777" w:rsidR="00ED0029" w:rsidRPr="00EB59C8" w:rsidRDefault="00ED0029" w:rsidP="00DB5C4F">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ED0029" w:rsidRPr="000A15AE" w:rsidRDefault="00ED0029" w:rsidP="00DB5C4F">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138"/>
    <w:multiLevelType w:val="hybridMultilevel"/>
    <w:tmpl w:val="F0A240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BF1D1A"/>
    <w:multiLevelType w:val="hybridMultilevel"/>
    <w:tmpl w:val="A6B8768E"/>
    <w:lvl w:ilvl="0" w:tplc="041B0015">
      <w:start w:val="1"/>
      <w:numFmt w:val="upperLetter"/>
      <w:lvlText w:val="%1."/>
      <w:lvlJc w:val="left"/>
      <w:pPr>
        <w:ind w:left="64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83D5472"/>
    <w:multiLevelType w:val="hybridMultilevel"/>
    <w:tmpl w:val="E838577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29"/>
    <w:rsid w:val="00050D85"/>
    <w:rsid w:val="001546D2"/>
    <w:rsid w:val="00312607"/>
    <w:rsid w:val="00410F2B"/>
    <w:rsid w:val="004B1128"/>
    <w:rsid w:val="00714960"/>
    <w:rsid w:val="007B1D56"/>
    <w:rsid w:val="008047C9"/>
    <w:rsid w:val="00852EB2"/>
    <w:rsid w:val="00985A8C"/>
    <w:rsid w:val="00BD53E7"/>
    <w:rsid w:val="00D40506"/>
    <w:rsid w:val="00E50350"/>
    <w:rsid w:val="00ED0029"/>
    <w:rsid w:val="00F0501B"/>
    <w:rsid w:val="0C70317E"/>
    <w:rsid w:val="2154B5B4"/>
    <w:rsid w:val="22501AC9"/>
    <w:rsid w:val="27675889"/>
    <w:rsid w:val="29A4840A"/>
    <w:rsid w:val="2B0256FD"/>
    <w:rsid w:val="2D10CE67"/>
    <w:rsid w:val="33C47E0E"/>
    <w:rsid w:val="3E02BA0F"/>
    <w:rsid w:val="48081FD8"/>
    <w:rsid w:val="51583201"/>
    <w:rsid w:val="51CD4365"/>
    <w:rsid w:val="53A00E4B"/>
    <w:rsid w:val="602BD5A7"/>
    <w:rsid w:val="638986FB"/>
    <w:rsid w:val="68EC2473"/>
    <w:rsid w:val="70D3090F"/>
    <w:rsid w:val="785E2322"/>
    <w:rsid w:val="7CF3F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91BE"/>
  <w15:chartTrackingRefBased/>
  <w15:docId w15:val="{DC8AC537-9770-4842-B289-39DF4ED3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2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D0029"/>
    <w:pPr>
      <w:tabs>
        <w:tab w:val="center" w:pos="4536"/>
        <w:tab w:val="right" w:pos="9072"/>
      </w:tabs>
    </w:pPr>
  </w:style>
  <w:style w:type="character" w:customStyle="1" w:styleId="HlavikaChar">
    <w:name w:val="Hlavička Char"/>
    <w:basedOn w:val="Predvolenpsmoodseku"/>
    <w:link w:val="Hlavika"/>
    <w:uiPriority w:val="99"/>
    <w:rsid w:val="00ED0029"/>
    <w:rPr>
      <w:rFonts w:ascii="Calibri" w:eastAsia="Calibri" w:hAnsi="Calibri" w:cs="Times New Roman"/>
    </w:rPr>
  </w:style>
  <w:style w:type="paragraph" w:styleId="Pta">
    <w:name w:val="footer"/>
    <w:basedOn w:val="Normlny"/>
    <w:link w:val="PtaChar"/>
    <w:uiPriority w:val="99"/>
    <w:unhideWhenUsed/>
    <w:rsid w:val="00ED0029"/>
    <w:pPr>
      <w:tabs>
        <w:tab w:val="center" w:pos="4536"/>
        <w:tab w:val="right" w:pos="9072"/>
      </w:tabs>
    </w:pPr>
  </w:style>
  <w:style w:type="character" w:customStyle="1" w:styleId="PtaChar">
    <w:name w:val="Päta Char"/>
    <w:basedOn w:val="Predvolenpsmoodseku"/>
    <w:link w:val="Pta"/>
    <w:uiPriority w:val="99"/>
    <w:rsid w:val="00ED0029"/>
    <w:rPr>
      <w:rFonts w:ascii="Calibri" w:eastAsia="Calibri" w:hAnsi="Calibri" w:cs="Times New Roman"/>
    </w:rPr>
  </w:style>
  <w:style w:type="paragraph" w:styleId="Textpoznmkypodiarou">
    <w:name w:val="footnote text"/>
    <w:basedOn w:val="Normlny"/>
    <w:link w:val="TextpoznmkypodiarouChar"/>
    <w:uiPriority w:val="99"/>
    <w:semiHidden/>
    <w:rsid w:val="00ED0029"/>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ED0029"/>
    <w:rPr>
      <w:rFonts w:ascii="Arial Narrow" w:eastAsia="Times New Roman" w:hAnsi="Arial Narrow" w:cs="Times New Roman"/>
      <w:sz w:val="20"/>
      <w:szCs w:val="20"/>
    </w:rPr>
  </w:style>
  <w:style w:type="character" w:styleId="Hypertextovprepojenie">
    <w:name w:val="Hyperlink"/>
    <w:uiPriority w:val="99"/>
    <w:rsid w:val="00ED0029"/>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
    <w:basedOn w:val="Normlny"/>
    <w:link w:val="OdsekzoznamuChar"/>
    <w:uiPriority w:val="34"/>
    <w:qFormat/>
    <w:rsid w:val="00ED0029"/>
    <w:pPr>
      <w:spacing w:after="0" w:line="240" w:lineRule="auto"/>
      <w:ind w:left="708"/>
    </w:pPr>
    <w:rPr>
      <w:rFonts w:ascii="Times New Roman" w:eastAsia="Times New Roman" w:hAnsi="Times New Roman"/>
      <w:sz w:val="24"/>
      <w:szCs w:val="24"/>
      <w:lang w:eastAsia="cs-CZ"/>
    </w:rPr>
  </w:style>
  <w:style w:type="paragraph" w:styleId="Bezriadkovania">
    <w:name w:val="No Spacing"/>
    <w:uiPriority w:val="1"/>
    <w:qFormat/>
    <w:rsid w:val="00ED0029"/>
    <w:pPr>
      <w:spacing w:after="0" w:line="240" w:lineRule="auto"/>
      <w:jc w:val="both"/>
    </w:pPr>
    <w:rPr>
      <w:rFonts w:ascii="Calibri" w:eastAsia="Times New Roman" w:hAnsi="Calibri" w:cs="Times New Roman"/>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ED0029"/>
    <w:rPr>
      <w:rFonts w:ascii="Times New Roman" w:eastAsia="Times New Roman" w:hAnsi="Times New Roman" w:cs="Times New Roman"/>
      <w:sz w:val="24"/>
      <w:szCs w:val="24"/>
      <w:lang w:eastAsia="cs-CZ"/>
    </w:rPr>
  </w:style>
  <w:style w:type="character" w:styleId="Odkaznapoznmkupodiarou">
    <w:name w:val="footnote reference"/>
    <w:uiPriority w:val="99"/>
    <w:unhideWhenUsed/>
    <w:rsid w:val="00ED0029"/>
    <w:rPr>
      <w:vertAlign w:val="superscript"/>
    </w:rPr>
  </w:style>
  <w:style w:type="character" w:styleId="slostrany">
    <w:name w:val="page number"/>
    <w:uiPriority w:val="99"/>
    <w:rsid w:val="00ED0029"/>
    <w:rPr>
      <w:rFonts w:cs="Times New Roman"/>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Times New Roman"/>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B11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1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552a3421952d4a5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sk/?Analyza-stavu-SA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health.gov.sk/?Analyza-stavu-SAS" TargetMode="External"/><Relationship Id="rId19" Type="http://schemas.openxmlformats.org/officeDocument/2006/relationships/image" Target="media/image3.png"/><Relationship Id="R77ca2676598942e8"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4F82D-333E-4960-A1F6-AD7C18F62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C86BE-BD30-4929-8114-ED175843C757}"/>
</file>

<file path=customXml/itemProps3.xml><?xml version="1.0" encoding="utf-8"?>
<ds:datastoreItem xmlns:ds="http://schemas.openxmlformats.org/officeDocument/2006/customXml" ds:itemID="{01CA7FB9-5A94-46E6-90E9-730C7B433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3007</Words>
  <Characters>17143</Characters>
  <Application>Microsoft Office Word</Application>
  <DocSecurity>0</DocSecurity>
  <Lines>142</Lines>
  <Paragraphs>40</Paragraphs>
  <ScaleCrop>false</ScaleCrop>
  <Company>MZ SR</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11</cp:revision>
  <dcterms:created xsi:type="dcterms:W3CDTF">2024-07-22T08:12:00Z</dcterms:created>
  <dcterms:modified xsi:type="dcterms:W3CDTF">2024-09-25T09:33:00Z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