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B0803" w:rsidRPr="00A244E5" w:rsidTr="00FC3E5A">
        <w:trPr>
          <w:trHeight w:val="534"/>
          <w:jc w:val="center"/>
        </w:trPr>
        <w:tc>
          <w:tcPr>
            <w:tcW w:w="5000" w:type="pct"/>
            <w:gridSpan w:val="3"/>
            <w:tcBorders>
              <w:bottom w:val="single" w:sz="4" w:space="0" w:color="auto"/>
            </w:tcBorders>
            <w:shd w:val="clear" w:color="auto" w:fill="808080"/>
          </w:tcPr>
          <w:p w:rsidR="009B0803" w:rsidRPr="002F4E1E" w:rsidRDefault="009B0803" w:rsidP="00FC3E5A">
            <w:pPr>
              <w:spacing w:after="0" w:line="240" w:lineRule="auto"/>
              <w:ind w:left="-284" w:firstLine="284"/>
              <w:jc w:val="center"/>
              <w:rPr>
                <w:rFonts w:ascii="Arial" w:hAnsi="Arial" w:cs="Arial"/>
                <w:b/>
                <w:lang w:eastAsia="sk-SK"/>
              </w:rPr>
            </w:pPr>
            <w:r w:rsidRPr="002F4E1E">
              <w:rPr>
                <w:rFonts w:ascii="Arial" w:hAnsi="Arial" w:cs="Arial"/>
                <w:b/>
                <w:sz w:val="28"/>
                <w:lang w:eastAsia="sk-SK"/>
              </w:rPr>
              <w:t>Analýza sociálnych vplyvov</w:t>
            </w:r>
          </w:p>
          <w:p w:rsidR="009B0803" w:rsidRPr="002F4E1E" w:rsidRDefault="009B0803" w:rsidP="00FC3E5A">
            <w:pPr>
              <w:spacing w:after="0" w:line="240" w:lineRule="auto"/>
              <w:jc w:val="center"/>
              <w:rPr>
                <w:rFonts w:ascii="Arial" w:hAnsi="Arial" w:cs="Arial"/>
                <w:b/>
                <w:sz w:val="24"/>
                <w:lang w:eastAsia="sk-SK"/>
              </w:rPr>
            </w:pPr>
            <w:r w:rsidRPr="002F4E1E">
              <w:rPr>
                <w:rFonts w:ascii="Arial" w:hAnsi="Arial" w:cs="Arial"/>
                <w:b/>
                <w:sz w:val="24"/>
                <w:lang w:eastAsia="sk-SK"/>
              </w:rPr>
              <w:t>Vplyvy na hospodárenie domácností, prístup k zdrojom, právam, tovarom a službám, sociálnu inklúziu, rovnosť príležitostí a rovnosť žien a mužov a vplyvy na zamestnanosť</w:t>
            </w:r>
          </w:p>
          <w:p w:rsidR="009B0803" w:rsidRPr="002F4E1E" w:rsidRDefault="009B0803" w:rsidP="00FC3E5A">
            <w:pPr>
              <w:spacing w:after="0" w:line="240" w:lineRule="auto"/>
              <w:jc w:val="both"/>
              <w:rPr>
                <w:rFonts w:ascii="Arial" w:hAnsi="Arial" w:cs="Arial"/>
                <w:b/>
                <w:lang w:eastAsia="sk-SK"/>
              </w:rPr>
            </w:pPr>
            <w:r w:rsidRPr="002F4E1E">
              <w:rPr>
                <w:rFonts w:ascii="Arial" w:hAnsi="Arial" w:cs="Arial"/>
                <w:b/>
                <w:sz w:val="18"/>
                <w:lang w:eastAsia="sk-SK"/>
              </w:rPr>
              <w:t>(</w:t>
            </w:r>
            <w:r w:rsidRPr="002F4E1E">
              <w:rPr>
                <w:rFonts w:ascii="Arial" w:hAnsi="Arial" w:cs="Arial"/>
                <w:sz w:val="18"/>
                <w:lang w:eastAsia="sk-SK"/>
              </w:rPr>
              <w:t>Ak v niektorej z hodnotených oblastí sociálnych vplyvov (bodov 4.1 až 4.4) nebol identifikovaný vplyv, uveďte v príslušnom riadku analýzy poznámku „Bez vplyvu.“.)</w:t>
            </w:r>
          </w:p>
        </w:tc>
      </w:tr>
      <w:tr w:rsidR="009B0803" w:rsidRPr="00A244E5" w:rsidTr="00FC3E5A">
        <w:trPr>
          <w:jc w:val="center"/>
        </w:trPr>
        <w:tc>
          <w:tcPr>
            <w:tcW w:w="5000" w:type="pct"/>
            <w:gridSpan w:val="3"/>
            <w:tcBorders>
              <w:bottom w:val="single" w:sz="4" w:space="0" w:color="auto"/>
            </w:tcBorders>
            <w:shd w:val="clear" w:color="auto" w:fill="A6A6A6"/>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lang w:eastAsia="sk-SK"/>
              </w:rPr>
              <w:t xml:space="preserve">4.1 </w:t>
            </w:r>
            <w:r w:rsidRPr="002F4E1E">
              <w:rPr>
                <w:rFonts w:ascii="Arial" w:hAnsi="Arial" w:cs="Arial"/>
                <w:b/>
                <w:sz w:val="24"/>
                <w:lang w:eastAsia="sk-SK"/>
              </w:rPr>
              <w:t>Identifikujte, popíšte a kvantifikujte vplyv na hospodárenie domácností a špecifikujte ovplyvnené skupiny domácností, ktoré budú pozitívne/negatívne ovplyvnené.</w:t>
            </w:r>
          </w:p>
        </w:tc>
      </w:tr>
      <w:tr w:rsidR="009B0803" w:rsidRPr="00A244E5" w:rsidTr="00FC3E5A">
        <w:trPr>
          <w:jc w:val="center"/>
        </w:trPr>
        <w:tc>
          <w:tcPr>
            <w:tcW w:w="5000" w:type="pct"/>
            <w:gridSpan w:val="3"/>
            <w:tcBorders>
              <w:bottom w:val="single" w:sz="4" w:space="0" w:color="auto"/>
            </w:tcBorders>
            <w:shd w:val="clear" w:color="auto" w:fill="F2F2F2"/>
          </w:tcPr>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Vedie návrh k zvýšeniu alebo zníženiu príjmov alebo výdavkov domácností?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Ktoré skupiny domácností/obyvateľstva sú takto ovplyvnené a akým spôsobom?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Sú medzi potenciálne ovplyvnenými skupinami skupiny v riziku chudoby alebo sociálneho vylúčenia?</w:t>
            </w:r>
          </w:p>
          <w:p w:rsidR="009B0803" w:rsidRPr="002F4E1E" w:rsidRDefault="009B0803" w:rsidP="00FC3E5A">
            <w:pPr>
              <w:spacing w:after="0" w:line="240" w:lineRule="auto"/>
              <w:rPr>
                <w:rFonts w:ascii="Arial" w:hAnsi="Arial" w:cs="Arial"/>
                <w:b/>
                <w:sz w:val="18"/>
                <w:lang w:eastAsia="sk-SK"/>
              </w:rPr>
            </w:pPr>
            <w:r w:rsidRPr="002F4E1E">
              <w:rPr>
                <w:rFonts w:ascii="Arial" w:hAnsi="Arial" w:cs="Arial"/>
                <w:b/>
                <w:sz w:val="18"/>
                <w:lang w:eastAsia="sk-SK"/>
              </w:rPr>
              <w:t>(V prípade vyššieho počtu hodnotených opatrení doplňte podľa potreby do tabuľky pred bod 4.2 ďalšie sekcie - 4.1.1 Pozitívny vplyv/4.1.2 Negatívny vplyv).</w:t>
            </w: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sz w:val="20"/>
                <w:szCs w:val="20"/>
                <w:lang w:eastAsia="sk-SK"/>
              </w:rPr>
            </w:pPr>
            <w:r w:rsidRPr="002F4E1E">
              <w:rPr>
                <w:rFonts w:ascii="Arial" w:hAnsi="Arial" w:cs="Arial"/>
                <w:b/>
                <w:i/>
                <w:sz w:val="20"/>
                <w:szCs w:val="20"/>
                <w:lang w:eastAsia="sk-SK"/>
              </w:rPr>
              <w:t>4.1.1 Pozitívny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t>b)</w:t>
            </w: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jc w:val="both"/>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rast príjmov alebo pokles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170"/>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b/>
                <w:i/>
                <w:sz w:val="20"/>
                <w:szCs w:val="20"/>
                <w:lang w:eastAsia="sk-SK"/>
              </w:rPr>
            </w:pPr>
            <w:r w:rsidRPr="002F4E1E">
              <w:rPr>
                <w:rFonts w:ascii="Arial" w:hAnsi="Arial" w:cs="Arial"/>
                <w:b/>
                <w:i/>
                <w:sz w:val="20"/>
                <w:szCs w:val="20"/>
                <w:lang w:eastAsia="sk-SK"/>
              </w:rPr>
              <w:t>4.1.1.1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pozitívny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Kvantifikujte </w:t>
            </w:r>
            <w:r w:rsidRPr="002F4E1E">
              <w:rPr>
                <w:rFonts w:ascii="Arial" w:hAnsi="Arial" w:cs="Arial"/>
                <w:i/>
                <w:sz w:val="20"/>
                <w:szCs w:val="20"/>
                <w:lang w:eastAsia="sk-SK"/>
              </w:rPr>
              <w:t xml:space="preserve">rast príjmov alebo pokles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50"/>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color w:val="0070C0"/>
                <w:sz w:val="20"/>
                <w:szCs w:val="20"/>
                <w:lang w:eastAsia="sk-SK"/>
              </w:rPr>
            </w:pPr>
            <w:r w:rsidRPr="002F4E1E">
              <w:rPr>
                <w:rFonts w:ascii="Arial" w:hAnsi="Arial" w:cs="Arial"/>
                <w:b/>
                <w:i/>
                <w:sz w:val="20"/>
                <w:szCs w:val="20"/>
                <w:lang w:eastAsia="sk-SK"/>
              </w:rPr>
              <w:t>4.1.2 Negatívny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lastRenderedPageBreak/>
              <w:t>b)</w:t>
            </w:r>
          </w:p>
          <w:p w:rsidR="009B0803" w:rsidRPr="002F4E1E" w:rsidRDefault="009B0803" w:rsidP="00FC3E5A">
            <w:pPr>
              <w:spacing w:after="0" w:line="240" w:lineRule="auto"/>
              <w:ind w:left="360"/>
              <w:contextualSpacing/>
              <w:jc w:val="center"/>
              <w:rPr>
                <w:rFonts w:ascii="Arial" w:hAnsi="Arial" w:cs="Arial"/>
                <w:i/>
                <w:sz w:val="18"/>
                <w:szCs w:val="18"/>
                <w:lang w:eastAsia="sk-SK"/>
              </w:rPr>
            </w:pP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Špecifikujte</w:t>
            </w:r>
            <w:r w:rsidRPr="002F4E1E">
              <w:rPr>
                <w:rFonts w:ascii="Arial" w:hAnsi="Arial" w:cs="Arial"/>
                <w:i/>
                <w:sz w:val="20"/>
                <w:szCs w:val="20"/>
                <w:lang w:eastAsia="sk-SK"/>
              </w:rPr>
              <w:t xml:space="preserve"> 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tcBorders>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tcBorders>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22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4.1.2.1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negatívny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20"/>
                <w:szCs w:val="20"/>
                <w:lang w:eastAsia="sk-SK"/>
              </w:rPr>
              <w:t>(</w:t>
            </w:r>
            <w:r w:rsidRPr="002F4E1E">
              <w:rPr>
                <w:rFonts w:ascii="Arial" w:hAnsi="Arial" w:cs="Arial"/>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F4E1E">
              <w:rPr>
                <w:rFonts w:ascii="Arial" w:hAnsi="Arial" w:cs="Arial"/>
                <w:i/>
                <w:sz w:val="20"/>
                <w:szCs w:val="20"/>
                <w:lang w:eastAsia="sk-SK"/>
              </w:rPr>
              <w:t>)</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Popíšte</w:t>
            </w:r>
            <w:r w:rsidRPr="002F4E1E">
              <w:rPr>
                <w:rFonts w:ascii="Arial" w:hAnsi="Arial" w:cs="Arial"/>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bl>
    <w:p w:rsidR="009B0803" w:rsidRPr="00A244E5" w:rsidRDefault="009B0803" w:rsidP="009B0803">
      <w:pPr>
        <w:spacing w:after="160" w:line="259" w:lineRule="auto"/>
        <w:sectPr w:rsidR="009B0803" w:rsidRPr="00A244E5" w:rsidSect="00FD284C">
          <w:footerReference w:type="default" r:id="rId10"/>
          <w:footnotePr>
            <w:numFmt w:val="chicago"/>
          </w:footnotePr>
          <w:pgSz w:w="11906" w:h="16838"/>
          <w:pgMar w:top="992" w:right="1418" w:bottom="1418" w:left="1418" w:header="510" w:footer="567" w:gutter="0"/>
          <w:cols w:space="708"/>
          <w:formProt w:val="0"/>
          <w:docGrid w:linePitch="360"/>
        </w:sectPr>
      </w:pPr>
      <w:r w:rsidRPr="00A244E5">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2"/>
        <w:gridCol w:w="4190"/>
        <w:gridCol w:w="4965"/>
      </w:tblGrid>
      <w:tr w:rsidR="009B0803" w:rsidRPr="002F4E1E" w:rsidTr="00FC3E5A">
        <w:trPr>
          <w:trHeight w:val="339"/>
          <w:jc w:val="center"/>
        </w:trPr>
        <w:tc>
          <w:tcPr>
            <w:tcW w:w="5000" w:type="pct"/>
            <w:gridSpan w:val="3"/>
            <w:tcBorders>
              <w:bottom w:val="single" w:sz="4" w:space="0" w:color="auto"/>
            </w:tcBorders>
            <w:shd w:val="clear" w:color="auto" w:fill="D9D9D9"/>
          </w:tcPr>
          <w:p w:rsidR="009B0803" w:rsidRPr="002F4E1E" w:rsidRDefault="009B0803" w:rsidP="00FC3E5A">
            <w:pPr>
              <w:spacing w:after="0" w:line="240" w:lineRule="auto"/>
              <w:rPr>
                <w:rFonts w:ascii="Arial" w:hAnsi="Arial" w:cs="Arial"/>
                <w:b/>
                <w:sz w:val="24"/>
                <w:szCs w:val="24"/>
                <w:lang w:eastAsia="sk-SK"/>
              </w:rPr>
            </w:pPr>
            <w:r w:rsidRPr="002F4E1E">
              <w:rPr>
                <w:rFonts w:ascii="Arial" w:hAnsi="Arial" w:cs="Arial"/>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9B0803" w:rsidRPr="002F4E1E" w:rsidTr="00FC3E5A">
        <w:trPr>
          <w:trHeight w:val="290"/>
          <w:jc w:val="center"/>
        </w:trPr>
        <w:tc>
          <w:tcPr>
            <w:tcW w:w="5000" w:type="pct"/>
            <w:gridSpan w:val="3"/>
            <w:tcBorders>
              <w:bottom w:val="single" w:sz="4" w:space="0" w:color="auto"/>
            </w:tcBorders>
            <w:shd w:val="clear" w:color="auto" w:fill="F2F2F2"/>
            <w:vAlign w:val="center"/>
          </w:tcPr>
          <w:p w:rsidR="009B0803" w:rsidRPr="002F4E1E" w:rsidRDefault="009B0803" w:rsidP="00FC3E5A">
            <w:pPr>
              <w:spacing w:after="0" w:line="240" w:lineRule="auto"/>
              <w:jc w:val="both"/>
              <w:rPr>
                <w:rFonts w:ascii="Arial" w:hAnsi="Arial" w:cs="Arial"/>
                <w:i/>
                <w:sz w:val="20"/>
                <w:szCs w:val="24"/>
                <w:lang w:eastAsia="sk-SK"/>
              </w:rPr>
            </w:pPr>
            <w:r w:rsidRPr="002F4E1E">
              <w:rPr>
                <w:rFonts w:ascii="Arial" w:hAnsi="Arial" w:cs="Arial"/>
                <w:i/>
                <w:sz w:val="20"/>
                <w:szCs w:val="24"/>
                <w:lang w:eastAsia="sk-SK"/>
              </w:rPr>
              <w:t xml:space="preserve">Má návrh vplyv na prístup k zdrojom, právam, tovarom a službám? </w:t>
            </w:r>
          </w:p>
          <w:p w:rsidR="009B0803" w:rsidRPr="002F4E1E" w:rsidRDefault="009B0803" w:rsidP="00FC3E5A">
            <w:pPr>
              <w:spacing w:after="0" w:line="240" w:lineRule="auto"/>
              <w:jc w:val="both"/>
              <w:rPr>
                <w:rFonts w:ascii="Arial" w:hAnsi="Arial" w:cs="Arial"/>
                <w:i/>
                <w:sz w:val="24"/>
                <w:szCs w:val="24"/>
                <w:lang w:eastAsia="sk-SK"/>
              </w:rPr>
            </w:pPr>
            <w:r w:rsidRPr="002F4E1E">
              <w:rPr>
                <w:rFonts w:ascii="Arial" w:hAnsi="Arial" w:cs="Arial"/>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B0803" w:rsidRPr="002F4E1E" w:rsidTr="00FC3E5A">
        <w:tblPrEx>
          <w:tblBorders>
            <w:top w:val="none" w:sz="0" w:space="0" w:color="auto"/>
            <w:bottom w:val="none" w:sz="0" w:space="0" w:color="auto"/>
          </w:tblBorders>
        </w:tblPrEx>
        <w:trPr>
          <w:trHeight w:val="557"/>
          <w:jc w:val="center"/>
        </w:trPr>
        <w:tc>
          <w:tcPr>
            <w:tcW w:w="180" w:type="pct"/>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Rozumie sa najmä na prístup k:</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sociálnej ochrane, sociálno-právnej ochrane, sociálnym službám (vrátane služieb starostlivosti o deti, starších ľudí a ľudí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kvalitnej práci, ochrane zdravia, dôstojnosti a bezpečnosti pri práci pre zamestnancov a existujúcim zamestnaneckým právam,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pomoci pri úhrade výdavkov súvisiacich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zamestnaniu, na trh práce (napr. uľahčenie zosúladenia rodinných a pracovných povinností, služby zamestnanosti), k školeniam, odbornému vzdelávaniu a príprave na trh práce,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zdravotnej starostlivosti vrátane cenovo dostupných pomôcok pre občanov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 formálnemu i neformálnemu vzdelávaniu a celo</w:t>
            </w:r>
            <w:r w:rsidRPr="002F4E1E">
              <w:rPr>
                <w:rFonts w:ascii="Arial" w:hAnsi="Arial" w:cs="Arial"/>
                <w:i/>
                <w:sz w:val="18"/>
                <w:szCs w:val="18"/>
                <w:lang w:eastAsia="sk-SK"/>
              </w:rPr>
              <w:softHyphen/>
              <w:t xml:space="preserve">životnému vzdelávaniu,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bývaniu a súvisiacim základným komunálnym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doprave,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ďalším službám najmä službám všeobecného záujmu a tovarom,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spravodlivosti, právnej ochrane, právnym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informáciám,</w:t>
            </w:r>
          </w:p>
          <w:p w:rsidR="009B0803" w:rsidRPr="002F4E1E" w:rsidRDefault="009B0803" w:rsidP="009B0803">
            <w:pPr>
              <w:numPr>
                <w:ilvl w:val="0"/>
                <w:numId w:val="1"/>
              </w:numPr>
              <w:spacing w:after="0" w:line="240" w:lineRule="auto"/>
              <w:ind w:left="170" w:hanging="170"/>
              <w:jc w:val="both"/>
              <w:rPr>
                <w:rFonts w:ascii="Arial" w:hAnsi="Arial" w:cs="Arial"/>
                <w:i/>
                <w:sz w:val="20"/>
                <w:szCs w:val="20"/>
                <w:lang w:eastAsia="sk-SK"/>
              </w:rPr>
            </w:pPr>
            <w:r w:rsidRPr="002F4E1E">
              <w:rPr>
                <w:rFonts w:ascii="Arial" w:hAnsi="Arial" w:cs="Arial"/>
                <w:i/>
                <w:sz w:val="18"/>
                <w:szCs w:val="18"/>
                <w:lang w:eastAsia="sk-SK"/>
              </w:rPr>
              <w:t>k iným právam (napr. politickým).</w:t>
            </w:r>
          </w:p>
        </w:tc>
        <w:tc>
          <w:tcPr>
            <w:tcW w:w="2615" w:type="pct"/>
            <w:shd w:val="clear" w:color="auto" w:fill="auto"/>
          </w:tcPr>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Áno, návrh zákona má pozitívny vplyv na prístup k zdravotnej starostlivosti. Zvýšenie dostupnosti </w:t>
            </w:r>
            <w:r>
              <w:rPr>
                <w:rFonts w:ascii="Arial" w:hAnsi="Arial" w:cs="Arial"/>
                <w:sz w:val="20"/>
                <w:szCs w:val="20"/>
                <w:lang w:eastAsia="sk-SK"/>
              </w:rPr>
              <w:t xml:space="preserve">zdravotnej </w:t>
            </w:r>
            <w:r w:rsidRPr="002F4E1E">
              <w:rPr>
                <w:rFonts w:ascii="Arial" w:hAnsi="Arial" w:cs="Arial"/>
                <w:sz w:val="20"/>
                <w:szCs w:val="20"/>
                <w:lang w:eastAsia="sk-SK"/>
              </w:rPr>
              <w:t xml:space="preserve"> starostlivosti </w:t>
            </w:r>
            <w:r>
              <w:rPr>
                <w:rFonts w:ascii="Arial" w:hAnsi="Arial" w:cs="Arial"/>
                <w:sz w:val="20"/>
                <w:szCs w:val="20"/>
                <w:lang w:eastAsia="sk-SK"/>
              </w:rPr>
              <w:t xml:space="preserve">poskytovanej v špecializovaných ambulanciách </w:t>
            </w:r>
            <w:r w:rsidRPr="002F4E1E">
              <w:rPr>
                <w:rFonts w:ascii="Arial" w:hAnsi="Arial" w:cs="Arial"/>
                <w:sz w:val="20"/>
                <w:szCs w:val="20"/>
                <w:lang w:eastAsia="sk-SK"/>
              </w:rPr>
              <w:t>nemožno očakávať hneď od začiatku účinnosti legislatívneho návrhu v dôsledku obmedzených súčasných kapac</w:t>
            </w:r>
            <w:r>
              <w:rPr>
                <w:rFonts w:ascii="Arial" w:hAnsi="Arial" w:cs="Arial"/>
                <w:sz w:val="20"/>
                <w:szCs w:val="20"/>
                <w:lang w:eastAsia="sk-SK"/>
              </w:rPr>
              <w:t>ít lekárov a iných zdravotníckych pracovníkov v špecializovaných ambulanciách</w:t>
            </w:r>
            <w:r w:rsidRPr="002F4E1E">
              <w:rPr>
                <w:rFonts w:ascii="Arial" w:hAnsi="Arial" w:cs="Arial"/>
                <w:sz w:val="20"/>
                <w:szCs w:val="20"/>
                <w:lang w:eastAsia="sk-SK"/>
              </w:rPr>
              <w:t>. Získanie odbornej spôsobilosti v príslušnom špecializačnom odbore trvá niekoľko rokov. Údaje o chýbajúcich špecializáciách ako jeden z výsledkov každoročného vyhodnotenia stavu siete budú predpokladom pri strategickom plánovaní počtov študentov rezidentského štúdi</w:t>
            </w:r>
            <w:r>
              <w:rPr>
                <w:rFonts w:ascii="Arial" w:hAnsi="Arial" w:cs="Arial"/>
                <w:sz w:val="20"/>
                <w:szCs w:val="20"/>
                <w:lang w:eastAsia="sk-SK"/>
              </w:rPr>
              <w:t>a. Samotné definovanie optimálnej</w:t>
            </w:r>
            <w:r w:rsidRPr="002F4E1E">
              <w:rPr>
                <w:rFonts w:ascii="Arial" w:hAnsi="Arial" w:cs="Arial"/>
                <w:sz w:val="20"/>
                <w:szCs w:val="20"/>
                <w:lang w:eastAsia="sk-SK"/>
              </w:rPr>
              <w:t xml:space="preserve"> kapacity nových spôsobom vytvára predpoklad na rozšírenie súčasnej siete poskytovateľov, pričom ostáva zachovaná povinnosť zdravotnej poisťovne uzatvoriť zmluvu o poskytovaní zdravotnej starostlivosti do výšky naplnenia stanovenej verejnej optimálnej siete, čo je garanciou zabezpečeného financovania na strane poskytovateľa.</w:t>
            </w:r>
          </w:p>
          <w:p w:rsidR="009B0803" w:rsidRPr="002F4E1E" w:rsidRDefault="009B0803" w:rsidP="00FC3E5A">
            <w:pPr>
              <w:spacing w:after="0" w:line="240" w:lineRule="auto"/>
              <w:jc w:val="both"/>
              <w:rPr>
                <w:rFonts w:ascii="Arial" w:hAnsi="Arial" w:cs="Arial"/>
                <w:sz w:val="20"/>
                <w:szCs w:val="20"/>
                <w:lang w:eastAsia="sk-SK"/>
              </w:rPr>
            </w:pP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Pozitívny vplyv má aj rozšírenie súčasnej územnej jednotky</w:t>
            </w:r>
            <w:r>
              <w:rPr>
                <w:rFonts w:ascii="Arial" w:hAnsi="Arial" w:cs="Arial"/>
                <w:sz w:val="20"/>
                <w:szCs w:val="20"/>
                <w:lang w:eastAsia="sk-SK"/>
              </w:rPr>
              <w:t>,</w:t>
            </w:r>
            <w:r w:rsidRPr="002F4E1E">
              <w:rPr>
                <w:rFonts w:ascii="Arial" w:hAnsi="Arial" w:cs="Arial"/>
                <w:sz w:val="20"/>
                <w:szCs w:val="20"/>
                <w:lang w:eastAsia="sk-SK"/>
              </w:rPr>
              <w:t xml:space="preserve"> v rámci ktorej je definovaná </w:t>
            </w:r>
            <w:r>
              <w:rPr>
                <w:rFonts w:ascii="Arial" w:hAnsi="Arial" w:cs="Arial"/>
                <w:sz w:val="20"/>
                <w:szCs w:val="20"/>
                <w:lang w:eastAsia="sk-SK"/>
              </w:rPr>
              <w:t xml:space="preserve">súčasná </w:t>
            </w:r>
            <w:r w:rsidRPr="002F4E1E">
              <w:rPr>
                <w:rFonts w:ascii="Arial" w:hAnsi="Arial" w:cs="Arial"/>
                <w:sz w:val="20"/>
                <w:szCs w:val="20"/>
                <w:lang w:eastAsia="sk-SK"/>
              </w:rPr>
              <w:t>verejná minimálna sieť. Územná jednotka kraj sa pre odbornosti definované hlavnými odborníkmi MZ SR a zástupcami odborných spoločností mení na územnú jednotku okres.</w:t>
            </w: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Spôsob výpočtu verejnej optimálnej siete v porovnaní so súčasným stavom vychádza principiálne z iných parametrov, pričom zohľadňuje okrem počtu poistencov aj ich vekovú štruktúru v okrese, vekovo-špecifický index návštevnosti a chorobnosti, čím sa zohľadňujú vlastnosti jednotlivých regiónov z pohľadu čerpania zdravotnej starostlivosti v špecializovaných ambulanciách. </w:t>
            </w:r>
          </w:p>
          <w:p w:rsidR="009B0803"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Pozitívny vplyv spočíva navyše aj v tom, že „nový normatív“ bude Úrad pre dohľad nad zdravotnou starostlivosťou ustanovovať každoročne s cieľom </w:t>
            </w:r>
            <w:r>
              <w:rPr>
                <w:rFonts w:ascii="Arial" w:hAnsi="Arial" w:cs="Arial"/>
                <w:sz w:val="20"/>
                <w:szCs w:val="20"/>
                <w:lang w:eastAsia="sk-SK"/>
              </w:rPr>
              <w:t>dynamicky</w:t>
            </w:r>
            <w:r w:rsidRPr="002F4E1E">
              <w:rPr>
                <w:rFonts w:ascii="Arial" w:hAnsi="Arial" w:cs="Arial"/>
                <w:sz w:val="20"/>
                <w:szCs w:val="20"/>
                <w:lang w:eastAsia="sk-SK"/>
              </w:rPr>
              <w:t xml:space="preserve"> reagovať na zmeny v populácii. Hodnoty súčasného normatív</w:t>
            </w:r>
            <w:r>
              <w:rPr>
                <w:rFonts w:ascii="Arial" w:hAnsi="Arial" w:cs="Arial"/>
                <w:sz w:val="20"/>
                <w:szCs w:val="20"/>
                <w:lang w:eastAsia="sk-SK"/>
              </w:rPr>
              <w:t>u</w:t>
            </w:r>
            <w:r w:rsidRPr="002F4E1E">
              <w:rPr>
                <w:rFonts w:ascii="Arial" w:hAnsi="Arial" w:cs="Arial"/>
                <w:sz w:val="20"/>
                <w:szCs w:val="20"/>
                <w:lang w:eastAsia="sk-SK"/>
              </w:rPr>
              <w:t xml:space="preserve"> </w:t>
            </w:r>
            <w:r>
              <w:rPr>
                <w:rFonts w:ascii="Arial" w:hAnsi="Arial" w:cs="Arial"/>
                <w:sz w:val="20"/>
                <w:szCs w:val="20"/>
                <w:lang w:eastAsia="sk-SK"/>
              </w:rPr>
              <w:t>sú v platnosti</w:t>
            </w:r>
            <w:r w:rsidRPr="002F4E1E">
              <w:rPr>
                <w:rFonts w:ascii="Arial" w:hAnsi="Arial" w:cs="Arial"/>
                <w:sz w:val="20"/>
                <w:szCs w:val="20"/>
                <w:lang w:eastAsia="sk-SK"/>
              </w:rPr>
              <w:t xml:space="preserve"> bez zmeny od roku 2008.</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Pr="009C41CA"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 xml:space="preserve">Zavedenie komunitnej a prierezovej starostlivosti do zákona o poskytovaní zdravotnej starostlivosti má potenciál priniesť významné pozitívne sociálne vplyvy. Aktuálne legislatíva neobsahuje mechanizmy na koordináciu komplexnej starostlivosti, čo často vedie k fragmentácii poskytovaných služieb, nedostatočnej komunikácii medzi jednotlivými poskytovateľmi a prehlbovaniu sociálnych a zdravotných problémov u pacientov. Zavedenie komunitnej a prierezovej </w:t>
            </w:r>
            <w:r w:rsidRPr="009C41CA">
              <w:rPr>
                <w:rFonts w:ascii="Arial" w:hAnsi="Arial" w:cs="Arial"/>
                <w:sz w:val="20"/>
                <w:szCs w:val="20"/>
                <w:lang w:eastAsia="sk-SK"/>
              </w:rPr>
              <w:lastRenderedPageBreak/>
              <w:t>starostlivosti by mohlo výrazne zlepšiť prístup k zdravotnej a sociálnej starostlivosti prostredníctvom niekoľkých kľúčových aspektov.</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Komunitná a prierezová starostlivosť integruje rôzne druhy služieb, ktoré sú pacientom poskytované v rámci jednej koordinovanej siete. Tento prístup zabezpečuje, že pacienti nebudú musieť samostatne navigovať komplexným systémom zdravotnej a sociálnej starostlivosti. Namiesto toho budú mať prístup k službám prostredníctvom jedného kontaktného bodu, čím sa eliminuje mnoho prekážok a administratívnych ťažkostí, ktoré môžu odradiť od vyhľadania potrebnej starostlivosti.</w:t>
            </w:r>
            <w:r w:rsidRPr="009C41CA">
              <w:rPr>
                <w:rFonts w:ascii="Arial" w:hAnsi="Arial" w:cs="Arial"/>
              </w:rPr>
              <w:t xml:space="preserve"> </w:t>
            </w:r>
            <w:r w:rsidRPr="009C41CA">
              <w:rPr>
                <w:rFonts w:ascii="Arial" w:hAnsi="Arial" w:cs="Arial"/>
                <w:sz w:val="20"/>
                <w:szCs w:val="20"/>
                <w:lang w:eastAsia="sk-SK"/>
              </w:rPr>
              <w:t xml:space="preserve">Jedným z kľúčových prvkov tejto reformy je zavedenie pozície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manažéra.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 je odborník, ktorý má na starosti koordináciu všetkých členov multidisciplinárneho tímu, ktorý zahŕňa lekárov, zdravotné sestry, sociálnych pracovníkov, terapeutov a iných odborníkov potrebných na poskytnutie komplexnej starostlivosti. Úlohou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manažéra je zabezpečiť, že všetky aspekty starostlivosti sú integrovane a efektívne poskytované, pričom sa sústreďuje na individuálne potreby pacienta.</w:t>
            </w:r>
            <w:r w:rsidRPr="009C41CA">
              <w:rPr>
                <w:rFonts w:ascii="Arial" w:hAnsi="Arial" w:cs="Arial"/>
              </w:rPr>
              <w:t xml:space="preserve"> </w:t>
            </w:r>
            <w:r w:rsidRPr="009C41CA">
              <w:rPr>
                <w:rFonts w:ascii="Arial" w:hAnsi="Arial" w:cs="Arial"/>
                <w:sz w:val="20"/>
                <w:szCs w:val="20"/>
                <w:lang w:eastAsia="sk-SK"/>
              </w:rPr>
              <w:t>Na komunitnej úrovni má táto legislatívna zmena potenciál zlepšiť celkové zdravie a pohodu komunity. Poskytovaním integrovaných služieb sa znižuje sociálna nerovnosť a zlepšuje sa prístup k starostlivosti pre zraniteľné skupiny, ako sú seniori, ľudia s chronickými ochoreniami, osoby so zdravotným postihnutím a ľudia v sociálne znevýhodnených situáciách. Toto vedie k silnejšej a zdravšej komunite, kde sú obyvatelia lepšie podporovaní a majú väčšiu šancu na aktívny a nezávislý život.</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Úprava súčasného znenia ustanovení § 9b o obmedzovacích prostriedkoch v zákone č. 576/2004 Z. z. a ich nahradenie navrhovaným znením má predovšetkým pozitívny sociálny vplyv. Tieto zmeny prinášajú niekoľko kľúčových výhod a ochranných mechanizmov, ktoré zlepšujú práva a bezpečnosť pacientov pri použití obmedzovacích prostri</w:t>
            </w:r>
            <w:r>
              <w:rPr>
                <w:rFonts w:ascii="Arial" w:hAnsi="Arial" w:cs="Arial"/>
                <w:sz w:val="20"/>
                <w:szCs w:val="20"/>
                <w:lang w:eastAsia="sk-SK"/>
              </w:rPr>
              <w:t>edkov v ústavnej starostlivosti:</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zlepšenie ochrany práv pacientov,</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transparentnosť a zodpovednosť,</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odborné školenie a kvalifikácia,</w:t>
            </w:r>
          </w:p>
          <w:p w:rsidR="00A52B70" w:rsidRPr="00C641F8"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minimalizácia poškodenia a rizika.</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w:t>
            </w:r>
            <w:proofErr w:type="spellStart"/>
            <w:r>
              <w:rPr>
                <w:rFonts w:ascii="Arial" w:hAnsi="Arial" w:cs="Arial"/>
                <w:b/>
                <w:sz w:val="20"/>
                <w:szCs w:val="20"/>
                <w:lang w:eastAsia="sk-SK"/>
              </w:rPr>
              <w:t>telemedicíne</w:t>
            </w:r>
            <w:proofErr w:type="spellEnd"/>
            <w:r>
              <w:rPr>
                <w:rFonts w:ascii="Arial" w:hAnsi="Arial" w:cs="Arial"/>
                <w:b/>
                <w:sz w:val="20"/>
                <w:szCs w:val="20"/>
                <w:lang w:eastAsia="sk-SK"/>
              </w:rPr>
              <w:t>:</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Zavedenie </w:t>
            </w:r>
            <w:proofErr w:type="spellStart"/>
            <w:r w:rsidRPr="00C641F8">
              <w:rPr>
                <w:rFonts w:ascii="Arial" w:hAnsi="Arial" w:cs="Arial"/>
                <w:sz w:val="20"/>
                <w:szCs w:val="20"/>
                <w:lang w:eastAsia="sk-SK"/>
              </w:rPr>
              <w:t>telemedicíny</w:t>
            </w:r>
            <w:proofErr w:type="spellEnd"/>
            <w:r w:rsidRPr="00C641F8">
              <w:rPr>
                <w:rFonts w:ascii="Arial" w:hAnsi="Arial" w:cs="Arial"/>
                <w:sz w:val="20"/>
                <w:szCs w:val="20"/>
                <w:lang w:eastAsia="sk-SK"/>
              </w:rPr>
              <w:t xml:space="preserve"> do zdravotníckych predpisov prináša množstvo pozitívnych sociálnych vplyvov. Ide o moderný spôsob poskytovania zdravotnej starostlivosti, ktorý využíva informačné a komunikačné technológie na diagnostiku, liečbu a prevenciu chorôb na diaľku. Toto opatrenie má potenciál výrazne zlepšiť prístup k zdravotnej starostlivosti, efektivitu a kvalitu služieb, čo sa prejaví pozitívne na celkovom sociálnom prostredí.</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 xml:space="preserve">Medzi hlavné výhody </w:t>
            </w:r>
            <w:proofErr w:type="spellStart"/>
            <w:r>
              <w:rPr>
                <w:rFonts w:ascii="Arial" w:hAnsi="Arial" w:cs="Arial"/>
                <w:sz w:val="20"/>
                <w:szCs w:val="20"/>
                <w:lang w:eastAsia="sk-SK"/>
              </w:rPr>
              <w:t>telemedicíny</w:t>
            </w:r>
            <w:proofErr w:type="spellEnd"/>
            <w:r>
              <w:rPr>
                <w:rFonts w:ascii="Arial" w:hAnsi="Arial" w:cs="Arial"/>
                <w:sz w:val="20"/>
                <w:szCs w:val="20"/>
                <w:lang w:eastAsia="sk-SK"/>
              </w:rPr>
              <w:t xml:space="preserve"> patrí zlepšenie prístupu k zdravotnej starostlivosti, efektívnosť a úspora nákladov, zvýšená flexibilita a komfort pre pacientov, zlepšenie zdravotnej gramotnosti a angažovanie pacientov.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 xml:space="preserve">V rámci dopadov na sociálne prostredie je možné hovoriť o sociálnej inklúzii, zlepšení kvality života či podpory verejného zdravia.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T</w:t>
            </w:r>
            <w:r w:rsidRPr="00FB0A79">
              <w:rPr>
                <w:rFonts w:ascii="Arial" w:hAnsi="Arial" w:cs="Arial"/>
                <w:sz w:val="20"/>
                <w:szCs w:val="20"/>
                <w:lang w:eastAsia="sk-SK"/>
              </w:rPr>
              <w:t xml:space="preserve">ento krok zlepšuje prístup k zdravotnej starostlivosti, zvyšuje efektívnosť a kvalitu služieb, a zároveň podporuje sociálnu inklúziu a zlepšuje kvalitu života pacientov.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má potenciál výrazne transformovať zdravotnícke systémy a priniesť mnoho výhod pre spoločnosť ako celok.</w:t>
            </w:r>
          </w:p>
          <w:p w:rsidR="00A52B70" w:rsidRPr="00FB0A79"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w:t>
            </w:r>
            <w:proofErr w:type="spellStart"/>
            <w:r w:rsidRPr="00FB0A79">
              <w:rPr>
                <w:rFonts w:ascii="Arial" w:hAnsi="Arial" w:cs="Arial"/>
                <w:b/>
                <w:sz w:val="20"/>
                <w:szCs w:val="20"/>
                <w:lang w:eastAsia="sk-SK"/>
              </w:rPr>
              <w:t>ePN</w:t>
            </w:r>
            <w:proofErr w:type="spellEnd"/>
            <w:r w:rsidRPr="00FB0A79">
              <w:rPr>
                <w:rFonts w:ascii="Arial" w:hAnsi="Arial" w:cs="Arial"/>
                <w:b/>
                <w:sz w:val="20"/>
                <w:szCs w:val="20"/>
                <w:lang w:eastAsia="sk-SK"/>
              </w:rPr>
              <w:t>:</w:t>
            </w:r>
          </w:p>
          <w:p w:rsidR="00A52B70" w:rsidRDefault="00AB3A49" w:rsidP="00A52B70">
            <w:pPr>
              <w:spacing w:after="0" w:line="240" w:lineRule="auto"/>
              <w:jc w:val="both"/>
              <w:rPr>
                <w:rFonts w:ascii="Arial" w:hAnsi="Arial" w:cs="Arial"/>
                <w:sz w:val="20"/>
                <w:szCs w:val="20"/>
                <w:lang w:eastAsia="sk-SK"/>
              </w:rPr>
            </w:pPr>
            <w:r>
              <w:rPr>
                <w:rFonts w:ascii="Arial" w:hAnsi="Arial" w:cs="Arial"/>
                <w:sz w:val="20"/>
                <w:szCs w:val="20"/>
                <w:lang w:eastAsia="sk-SK"/>
              </w:rPr>
              <w:t xml:space="preserve">Upravuje sa, že pacient nebude musieť navštíviť svojho všeobecného lekára po návšteve APS alebo zubno-lekárskej pohotovostnej službe, ak bude vyžadovať vystavenie dočasnej pracovnej neschopnosti. Touto úpravou bude môcť pacient získať dočasnú pracovnú neschopnosť aj v ambulancii ambulantnej pohotovostnej služby alebo zubno-lekárskej pohotovostnej služby. Cieľom je ľahšia cesta pacienta, ako aj odľahčenie administratívnej záťaže pre všeobecného lekára. </w:t>
            </w:r>
            <w:bookmarkStart w:id="0" w:name="_GoBack"/>
            <w:bookmarkEnd w:id="0"/>
          </w:p>
          <w:p w:rsidR="00A52B70" w:rsidRPr="00FC06E2" w:rsidRDefault="00A52B70" w:rsidP="00A52B70">
            <w:pPr>
              <w:spacing w:after="0" w:line="240" w:lineRule="auto"/>
              <w:jc w:val="both"/>
              <w:rPr>
                <w:rFonts w:ascii="Arial" w:hAnsi="Arial" w:cs="Arial"/>
                <w:b/>
                <w:sz w:val="20"/>
                <w:szCs w:val="20"/>
                <w:lang w:eastAsia="sk-SK"/>
              </w:rPr>
            </w:pPr>
            <w:r w:rsidRPr="00FC06E2">
              <w:rPr>
                <w:rFonts w:ascii="Arial" w:hAnsi="Arial" w:cs="Arial"/>
                <w:bCs/>
                <w:sz w:val="20"/>
                <w:szCs w:val="20"/>
                <w:lang w:eastAsia="sk-SK"/>
              </w:rPr>
              <w:t>Povinnosť oznámenia:</w:t>
            </w:r>
            <w:r w:rsidRPr="00FC06E2">
              <w:rPr>
                <w:rFonts w:ascii="Arial" w:hAnsi="Arial" w:cs="Arial"/>
                <w:sz w:val="20"/>
                <w:szCs w:val="20"/>
                <w:lang w:eastAsia="sk-SK"/>
              </w:rPr>
              <w:t xml:space="preserve"> Zabezpečuje lepšiu informovanosť ošetrujúceho lekára o zdravotnom stave pacienta po prepustení z ústavnej starostlivosti, čo vedie k lepšej kontinuite starostlivosti.</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sidRPr="00FC06E2">
              <w:rPr>
                <w:rFonts w:ascii="Arial" w:hAnsi="Arial" w:cs="Arial"/>
                <w:sz w:val="20"/>
                <w:szCs w:val="20"/>
                <w:lang w:eastAsia="sk-SK"/>
              </w:rPr>
              <w:t>Zavedenie povinného hradenia zubno-lekárskej starostlivosti v celkovej anestézii zo strany poisťovní pre osoby, ktoré nie je možné ošetriť iným spôsobom, má výz</w:t>
            </w:r>
            <w:r>
              <w:rPr>
                <w:rFonts w:ascii="Arial" w:hAnsi="Arial" w:cs="Arial"/>
                <w:sz w:val="20"/>
                <w:szCs w:val="20"/>
                <w:lang w:eastAsia="sk-SK"/>
              </w:rPr>
              <w:t>namné pozitívne sociálne vplyvy:</w:t>
            </w:r>
          </w:p>
          <w:p w:rsidR="00A52B70" w:rsidRDefault="00A52B70" w:rsidP="00A52B70">
            <w:pPr>
              <w:pStyle w:val="Odsekzoznamu"/>
              <w:numPr>
                <w:ilvl w:val="0"/>
                <w:numId w:val="5"/>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 xml:space="preserve">zvýšený prístup k zdravotnej starostlivosti </w:t>
            </w:r>
          </w:p>
          <w:p w:rsidR="00A52B70" w:rsidRPr="002F4E1E" w:rsidRDefault="00A52B70" w:rsidP="00A52B70">
            <w:pPr>
              <w:spacing w:after="0" w:line="240" w:lineRule="auto"/>
              <w:jc w:val="both"/>
              <w:rPr>
                <w:rFonts w:ascii="Arial" w:hAnsi="Arial" w:cs="Arial"/>
                <w:color w:val="FF0000"/>
                <w:sz w:val="20"/>
                <w:szCs w:val="20"/>
                <w:lang w:eastAsia="sk-SK"/>
              </w:rPr>
            </w:pPr>
            <w:r>
              <w:rPr>
                <w:rFonts w:ascii="Arial" w:hAnsi="Arial" w:cs="Arial"/>
                <w:sz w:val="20"/>
                <w:szCs w:val="20"/>
                <w:lang w:eastAsia="sk-SK"/>
              </w:rPr>
              <w:t>p</w:t>
            </w:r>
            <w:r w:rsidRPr="0014349E">
              <w:rPr>
                <w:rFonts w:ascii="Arial" w:hAnsi="Arial" w:cs="Arial"/>
                <w:sz w:val="20"/>
                <w:szCs w:val="20"/>
                <w:lang w:eastAsia="sk-SK"/>
              </w:rPr>
              <w:t>acienti, ktorí nie sú schopní podstúpiť zubné ošetrenie tradičnými metódami kvôli závažným zdravotným stavom alebo iným komplikáciám, získajú prístup k potrebnej starostlivosti. Tento krok odstráni finančné bariéry, ktoré by mohli brániť v prijatí ošetrenia.</w:t>
            </w:r>
          </w:p>
        </w:tc>
      </w:tr>
      <w:tr w:rsidR="009B0803" w:rsidRPr="002F4E1E" w:rsidTr="00FC3E5A">
        <w:trPr>
          <w:jc w:val="center"/>
        </w:trPr>
        <w:tc>
          <w:tcPr>
            <w:tcW w:w="180"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lang w:eastAsia="sk-SK"/>
              </w:rPr>
            </w:pPr>
            <w:r w:rsidRPr="002F4E1E">
              <w:rPr>
                <w:rFonts w:ascii="Arial" w:hAnsi="Arial" w:cs="Arial"/>
                <w:i/>
                <w:sz w:val="18"/>
                <w:lang w:eastAsia="sk-SK"/>
              </w:rPr>
              <w:lastRenderedPageBreak/>
              <w:t>b)</w:t>
            </w:r>
          </w:p>
        </w:tc>
        <w:tc>
          <w:tcPr>
            <w:tcW w:w="4820"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i/>
                <w:sz w:val="20"/>
                <w:szCs w:val="20"/>
                <w:lang w:eastAsia="sk-SK"/>
              </w:rPr>
              <w:t xml:space="preserve">Má návrh významný vplyv na niektorú zo zraniteľných skupín obyvateľstva alebo skupín v riziku chudoby alebo sociálneho vylúčenia? </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sz w:val="20"/>
                <w:szCs w:val="20"/>
                <w:lang w:eastAsia="sk-SK"/>
              </w:rPr>
              <w:t xml:space="preserve">Špecifikujte ovplyvnené skupiny v riziku chudoby a sociálneho vylúčenia a popíšte vplyv na </w:t>
            </w:r>
            <w:proofErr w:type="spellStart"/>
            <w:r w:rsidRPr="002F4E1E">
              <w:rPr>
                <w:rFonts w:ascii="Arial" w:hAnsi="Arial" w:cs="Arial"/>
                <w:i/>
                <w:sz w:val="20"/>
                <w:szCs w:val="20"/>
                <w:lang w:eastAsia="sk-SK"/>
              </w:rPr>
              <w:t>ne</w:t>
            </w:r>
            <w:proofErr w:type="spellEnd"/>
            <w:r w:rsidRPr="002F4E1E">
              <w:rPr>
                <w:rFonts w:ascii="Arial" w:hAnsi="Arial" w:cs="Arial"/>
                <w:i/>
                <w:sz w:val="20"/>
                <w:szCs w:val="20"/>
                <w:lang w:eastAsia="sk-SK"/>
              </w:rPr>
              <w:t>. Je tento vplyv väčší ako vplyv na iné skupiny či subjekty? Uveďte veľkosť jednotlivých ovplyvnených skupín.</w:t>
            </w:r>
          </w:p>
        </w:tc>
      </w:tr>
      <w:tr w:rsidR="009B0803" w:rsidRPr="002F4E1E" w:rsidTr="00FC3E5A">
        <w:tblPrEx>
          <w:tblBorders>
            <w:top w:val="none" w:sz="0" w:space="0" w:color="auto"/>
          </w:tblBorders>
        </w:tblPrEx>
        <w:trPr>
          <w:trHeight w:val="677"/>
          <w:jc w:val="center"/>
        </w:trPr>
        <w:tc>
          <w:tcPr>
            <w:tcW w:w="180"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c)</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Zraniteľné skupiny alebo skupiny v riziku chudoby alebo sociálneho vylúčenia sú napr.:</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nezamestnaní, najmä dlhodobo nezamestnaní, mladí nezamestnaní a nezamestnaní nad 50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deti (0 – 17),</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mladí ľudia (18 – 25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starší ľudia, napr. ľudia vo veku nad 65 rokov alebo dôchodcovia,</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ľudia so zdravotným postihnutím,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marginalizované rómske komunity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3 a viac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jednorodičovské domácnosti s deťmi (neúplné rodiny, ktoré tvoria najmä osamelé matky s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príslušníci tretích krajín, azylanti, žiadatelia o azyl,</w:t>
            </w:r>
          </w:p>
          <w:p w:rsidR="009B0803" w:rsidRPr="002F4E1E" w:rsidRDefault="009B0803" w:rsidP="009B0803">
            <w:pPr>
              <w:numPr>
                <w:ilvl w:val="0"/>
                <w:numId w:val="1"/>
              </w:numPr>
              <w:spacing w:after="0" w:line="240" w:lineRule="auto"/>
              <w:ind w:left="170" w:hanging="170"/>
              <w:jc w:val="both"/>
              <w:rPr>
                <w:rFonts w:ascii="Arial" w:hAnsi="Arial" w:cs="Arial"/>
                <w:sz w:val="20"/>
                <w:lang w:eastAsia="sk-SK"/>
              </w:rPr>
            </w:pPr>
            <w:r w:rsidRPr="002F4E1E">
              <w:rPr>
                <w:rFonts w:ascii="Arial" w:hAnsi="Arial" w:cs="Arial"/>
                <w:i/>
                <w:sz w:val="18"/>
                <w:szCs w:val="18"/>
                <w:lang w:eastAsia="sk-SK"/>
              </w:rPr>
              <w:lastRenderedPageBreak/>
              <w:t>iné zraniteľné skupiny, ako sú napr. bezdomovci, ľudia opúšťajúci detské domovy alebo iné inštitucionálne zariadenia</w:t>
            </w:r>
          </w:p>
        </w:tc>
        <w:tc>
          <w:tcPr>
            <w:tcW w:w="2615" w:type="pct"/>
            <w:shd w:val="clear" w:color="auto" w:fill="auto"/>
          </w:tcPr>
          <w:p w:rsidR="009B0803" w:rsidRPr="002F4E1E" w:rsidRDefault="0098287A" w:rsidP="00FC3E5A">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Pre</w:t>
            </w:r>
            <w:r w:rsidR="009B0803" w:rsidRPr="002F4E1E">
              <w:rPr>
                <w:rFonts w:ascii="Arial" w:hAnsi="Arial" w:cs="Arial"/>
                <w:sz w:val="20"/>
                <w:szCs w:val="20"/>
                <w:lang w:eastAsia="sk-SK"/>
              </w:rPr>
              <w:t xml:space="preserve"> niektorú zo zraniteľných skupín obyvateľstva alebo skupín v riziku chudoby alebo sociálneho vylúčenia</w:t>
            </w:r>
            <w:r>
              <w:rPr>
                <w:rFonts w:ascii="Arial" w:hAnsi="Arial" w:cs="Arial"/>
                <w:sz w:val="20"/>
                <w:szCs w:val="20"/>
                <w:lang w:eastAsia="sk-SK"/>
              </w:rPr>
              <w:t xml:space="preserve"> má významný vplyv</w:t>
            </w:r>
            <w:r w:rsidR="009B0803" w:rsidRPr="002F4E1E">
              <w:rPr>
                <w:rFonts w:ascii="Arial" w:hAnsi="Arial" w:cs="Arial"/>
                <w:sz w:val="20"/>
                <w:szCs w:val="20"/>
                <w:lang w:eastAsia="sk-SK"/>
              </w:rPr>
              <w:t xml:space="preserve">. Špecializovaná ambulantná starostlivosť </w:t>
            </w:r>
            <w:r w:rsidR="009B0803">
              <w:rPr>
                <w:rFonts w:ascii="Arial" w:hAnsi="Arial" w:cs="Arial"/>
                <w:sz w:val="20"/>
                <w:szCs w:val="20"/>
                <w:lang w:eastAsia="sk-SK"/>
              </w:rPr>
              <w:t xml:space="preserve">poskytovaná v špecializovaných ambulanciách </w:t>
            </w:r>
            <w:r w:rsidR="009B0803" w:rsidRPr="002F4E1E">
              <w:rPr>
                <w:rFonts w:ascii="Arial" w:hAnsi="Arial" w:cs="Arial"/>
                <w:sz w:val="20"/>
                <w:szCs w:val="20"/>
                <w:lang w:eastAsia="sk-SK"/>
              </w:rPr>
              <w:t>nie je poskytovaná iba niektorej vybranej skupine. Je poskytovaná osobám verejne zdravotne poisteným a v prípade neodkladnej zdravotnej starostlivosti platí univerzálny prístup pre obyvateľov ako aj cudzincov.</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 xml:space="preserve">Vplyv zavedenia komunitnej a prierezovej starostlivosti je výraznejší na vyššie uvedené zraniteľné skupiny v porovnaní s inými subjekty. Tieto skupiny sú častejšie konfrontované s prekážkami v prístupe k službám a ich situácia môže byť výrazne zlepšená koordinovaným prístupom k starostlivosti. Pre ostatné skupiny obyvateľstva, ktoré nemajú rovnaké problémy s prístupom alebo ktoré majú lepšie finančné a sociálne </w:t>
            </w:r>
            <w:r w:rsidRPr="009C41CA">
              <w:rPr>
                <w:rFonts w:ascii="Arial" w:hAnsi="Arial" w:cs="Arial"/>
                <w:sz w:val="20"/>
                <w:szCs w:val="20"/>
                <w:lang w:eastAsia="sk-SK"/>
              </w:rPr>
              <w:lastRenderedPageBreak/>
              <w:t>zázemie, bude tento vplyv menej výrazný, hoci stále pozitívny.</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Podľa údajov </w:t>
            </w:r>
            <w:proofErr w:type="spellStart"/>
            <w:r w:rsidRPr="00C641F8">
              <w:rPr>
                <w:rFonts w:ascii="Arial" w:hAnsi="Arial" w:cs="Arial"/>
                <w:sz w:val="20"/>
                <w:szCs w:val="20"/>
                <w:lang w:eastAsia="sk-SK"/>
              </w:rPr>
              <w:t>Eurostatu</w:t>
            </w:r>
            <w:proofErr w:type="spellEnd"/>
            <w:r w:rsidRPr="00C641F8">
              <w:rPr>
                <w:rFonts w:ascii="Arial" w:hAnsi="Arial" w:cs="Arial"/>
                <w:sz w:val="20"/>
                <w:szCs w:val="20"/>
                <w:lang w:eastAsia="sk-SK"/>
              </w:rPr>
              <w:t xml:space="preserve">, v roku 2020 bolo približne 19,1% populácie Slovenska vo veku 65 rokov a viac. Seniori často čelia problémom s prístupom k zdravotnej a sociálnej starostlivosti kvôli </w:t>
            </w:r>
            <w:proofErr w:type="spellStart"/>
            <w:r w:rsidRPr="00C641F8">
              <w:rPr>
                <w:rFonts w:ascii="Arial" w:hAnsi="Arial" w:cs="Arial"/>
                <w:sz w:val="20"/>
                <w:szCs w:val="20"/>
                <w:lang w:eastAsia="sk-SK"/>
              </w:rPr>
              <w:t>mobilitným</w:t>
            </w:r>
            <w:proofErr w:type="spellEnd"/>
            <w:r w:rsidRPr="00C641F8">
              <w:rPr>
                <w:rFonts w:ascii="Arial" w:hAnsi="Arial" w:cs="Arial"/>
                <w:sz w:val="20"/>
                <w:szCs w:val="20"/>
                <w:lang w:eastAsia="sk-SK"/>
              </w:rPr>
              <w:t xml:space="preserve"> obmedzeniam, nízkym dôchodkom a nedostatku informácií o dostupných službách. Koordinovaná starostlivosť zabezpečená </w:t>
            </w:r>
            <w:proofErr w:type="spellStart"/>
            <w:r w:rsidRPr="00C641F8">
              <w:rPr>
                <w:rFonts w:ascii="Arial" w:hAnsi="Arial" w:cs="Arial"/>
                <w:sz w:val="20"/>
                <w:szCs w:val="20"/>
                <w:lang w:eastAsia="sk-SK"/>
              </w:rPr>
              <w:t>case</w:t>
            </w:r>
            <w:proofErr w:type="spellEnd"/>
            <w:r w:rsidRPr="00C641F8">
              <w:rPr>
                <w:rFonts w:ascii="Arial" w:hAnsi="Arial" w:cs="Arial"/>
                <w:sz w:val="20"/>
                <w:szCs w:val="20"/>
                <w:lang w:eastAsia="sk-SK"/>
              </w:rPr>
              <w:t xml:space="preserve"> manažérom zlepší ich prístup k službám, poskytne podporu pri navigácii systémom a zvýši kvalitu života. </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N</w:t>
            </w:r>
            <w:r>
              <w:rPr>
                <w:rFonts w:ascii="Arial" w:hAnsi="Arial" w:cs="Arial"/>
                <w:sz w:val="20"/>
                <w:szCs w:val="20"/>
                <w:lang w:eastAsia="sk-SK"/>
              </w:rPr>
              <w:t xml:space="preserve">a </w:t>
            </w:r>
            <w:r w:rsidRPr="00C641F8">
              <w:rPr>
                <w:rFonts w:ascii="Arial" w:hAnsi="Arial" w:cs="Arial"/>
                <w:sz w:val="20"/>
                <w:szCs w:val="20"/>
                <w:lang w:eastAsia="sk-SK"/>
              </w:rPr>
              <w:t>Slovensku je podľa údajov Národného centra zdravotníckych informácií (NCZI) približne 12% obyvateľov so zdravotným postihnutím. Táto skupina často potrebuje špecializovanú starostlivosť a podporu, čo môže byť ťažko dostupné v súčasnom systéme. Integrovaná starostlivosť umožní lepšiu koordináciu medzi zdravotníckymi a sociálnymi službami, čím sa zníži stres a zlepší celková pohoda týchto osôb.</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Podľa štatistík </w:t>
            </w:r>
            <w:proofErr w:type="spellStart"/>
            <w:r w:rsidRPr="00C641F8">
              <w:rPr>
                <w:rFonts w:ascii="Arial" w:hAnsi="Arial" w:cs="Arial"/>
                <w:sz w:val="20"/>
                <w:szCs w:val="20"/>
                <w:lang w:eastAsia="sk-SK"/>
              </w:rPr>
              <w:t>Eurostatu</w:t>
            </w:r>
            <w:proofErr w:type="spellEnd"/>
            <w:r w:rsidRPr="00C641F8">
              <w:rPr>
                <w:rFonts w:ascii="Arial" w:hAnsi="Arial" w:cs="Arial"/>
                <w:sz w:val="20"/>
                <w:szCs w:val="20"/>
                <w:lang w:eastAsia="sk-SK"/>
              </w:rPr>
              <w:t>, približne 12,8% populácie Slovenska žilo v roku 2020 v domácnostiach s príjmom pod hranicou chudoby. Rodiny s nízkymi príjmami často nemajú prostriedky na súkromnú zdravotnú starostlivosť a môžu mať obmedzený prístup k verejným službám. Koordinovaná starostlivosť im poskytne lepšiu podporu a zabezpečí, že dostanú potrebnú pomoc bez zbytočných komplikácií a dodatočných nákladov.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Podľa odhadov žije na Slovensku približne 500,000 Rómov, čo predstavuje asi 9% populácie. Rómovia často čelia diskriminácii a sociálnemu vylúčeniu, čo výrazne obmedzuje ich prístup k zdravotnej a sociálnej starostlivosti. Zavedenie komunitnej a prierezovej starostlivosti môže znížiť tieto bariéry, zvýšiť inklúziu a zlepšiť zdravotné a sociálne výsledky v týchto komunitách.</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Nemá významný vplyv.</w:t>
            </w:r>
          </w:p>
          <w:p w:rsidR="00A52B70"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w:t>
            </w:r>
            <w:proofErr w:type="spellStart"/>
            <w:r w:rsidRPr="00FB0A79">
              <w:rPr>
                <w:rFonts w:ascii="Arial" w:hAnsi="Arial" w:cs="Arial"/>
                <w:b/>
                <w:sz w:val="20"/>
                <w:szCs w:val="20"/>
                <w:lang w:eastAsia="sk-SK"/>
              </w:rPr>
              <w:t>telemedicíne</w:t>
            </w:r>
            <w:proofErr w:type="spellEnd"/>
            <w:r w:rsidRPr="00FB0A79">
              <w:rPr>
                <w:rFonts w:ascii="Arial" w:hAnsi="Arial" w:cs="Arial"/>
                <w:b/>
                <w:sz w:val="20"/>
                <w:szCs w:val="20"/>
                <w:lang w:eastAsia="sk-SK"/>
              </w:rPr>
              <w:t>:</w:t>
            </w:r>
          </w:p>
          <w:p w:rsidR="00A52B70" w:rsidRDefault="00A52B70" w:rsidP="00A52B70">
            <w:pPr>
              <w:spacing w:after="0" w:line="240" w:lineRule="auto"/>
              <w:jc w:val="both"/>
              <w:rPr>
                <w:rFonts w:ascii="Arial" w:hAnsi="Arial" w:cs="Arial"/>
                <w:sz w:val="20"/>
                <w:szCs w:val="20"/>
                <w:lang w:eastAsia="sk-SK"/>
              </w:rPr>
            </w:pP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umožňuje pacientom v odľahlých a vidieckych oblastiach získať prístup k špecializovanej zdravotnej starostlivosti bez nutnosti cestovania do vzdialených zdravotníckych zariadení. To môže byť zvlášť významné pre starších ľudí a osoby so zníženou mobilitou.</w:t>
            </w:r>
            <w:r w:rsidRPr="00FB0A79">
              <w:t xml:space="preserve">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môže znížiť náklady spojené s cestovaním, hospitalizáciou a administratívnymi úkonmi. Pre zdravotnícke zariadenia to znamená efektívnejšie využívanie zdrojov.</w:t>
            </w:r>
            <w:r w:rsidRPr="00FB0A79">
              <w:rPr>
                <w:rFonts w:ascii="Times New Roman" w:eastAsia="Times New Roman" w:hAnsi="Symbol"/>
                <w:sz w:val="24"/>
                <w:szCs w:val="24"/>
                <w:lang w:eastAsia="sk-SK"/>
              </w:rPr>
              <w:t xml:space="preserve">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môže pomôcť preklenúť medzery v prístupe k zdravotnej starostlivosti pre marginalizované a zraniteľné skupiny obyvateľstva, ako sú seniori, osoby so zdravotným postihnutím a nízkopríjmové rodiny. Zlepšený prístup k zdravotnej starostlivosti môže znížiť sociálne nerovnosti a podporiť sociálnu inklúziu.</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w:t>
            </w:r>
            <w:proofErr w:type="spellStart"/>
            <w:r>
              <w:rPr>
                <w:rFonts w:ascii="Arial" w:hAnsi="Arial" w:cs="Arial"/>
                <w:b/>
                <w:sz w:val="20"/>
                <w:szCs w:val="20"/>
                <w:lang w:eastAsia="sk-SK"/>
              </w:rPr>
              <w:t>ePN</w:t>
            </w:r>
            <w:proofErr w:type="spellEnd"/>
            <w:r>
              <w:rPr>
                <w:rFonts w:ascii="Arial" w:hAnsi="Arial" w:cs="Arial"/>
                <w:b/>
                <w:sz w:val="20"/>
                <w:szCs w:val="20"/>
                <w:lang w:eastAsia="sk-SK"/>
              </w:rPr>
              <w:t>:</w:t>
            </w:r>
          </w:p>
          <w:p w:rsidR="00A52B70" w:rsidRDefault="00A52B70" w:rsidP="00A52B70">
            <w:pPr>
              <w:spacing w:after="0" w:line="240" w:lineRule="auto"/>
              <w:jc w:val="both"/>
              <w:rPr>
                <w:rFonts w:ascii="Arial" w:hAnsi="Arial" w:cs="Arial"/>
                <w:bCs/>
                <w:sz w:val="20"/>
                <w:szCs w:val="20"/>
                <w:lang w:eastAsia="sk-SK"/>
              </w:rPr>
            </w:pPr>
            <w:r w:rsidRPr="00FC06E2">
              <w:rPr>
                <w:rFonts w:ascii="Arial" w:hAnsi="Arial" w:cs="Arial"/>
                <w:bCs/>
                <w:sz w:val="20"/>
                <w:szCs w:val="20"/>
                <w:lang w:eastAsia="sk-SK"/>
              </w:rPr>
              <w:t>Nemá výrazný vplyv na niektorú zo zraniteľných skupín.</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Uvedená úprava má významný vplyv pre zraniteľnú skupinu obyvateľov, nakoľko sa uvedenou úpravou výrazne podporujú všetky zraniteľné skupiny</w:t>
            </w:r>
          </w:p>
          <w:p w:rsidR="00A52B70" w:rsidRDefault="00A52B70" w:rsidP="00A52B70">
            <w:pPr>
              <w:pStyle w:val="Odsekzoznamu"/>
              <w:numPr>
                <w:ilvl w:val="0"/>
                <w:numId w:val="6"/>
              </w:numPr>
              <w:spacing w:after="0" w:line="240" w:lineRule="auto"/>
              <w:jc w:val="both"/>
              <w:rPr>
                <w:rFonts w:ascii="Arial" w:hAnsi="Arial" w:cs="Arial"/>
                <w:sz w:val="20"/>
                <w:szCs w:val="20"/>
                <w:lang w:eastAsia="sk-SK"/>
              </w:rPr>
            </w:pPr>
            <w:r w:rsidRPr="0014349E">
              <w:rPr>
                <w:rFonts w:ascii="Arial" w:hAnsi="Arial" w:cs="Arial"/>
                <w:b/>
                <w:bCs/>
                <w:sz w:val="20"/>
                <w:szCs w:val="20"/>
                <w:lang w:eastAsia="sk-SK"/>
              </w:rPr>
              <w:t>Deti a starší pacienti:</w:t>
            </w:r>
            <w:r w:rsidRPr="0014349E">
              <w:rPr>
                <w:rFonts w:ascii="Arial" w:hAnsi="Arial" w:cs="Arial"/>
                <w:sz w:val="20"/>
                <w:szCs w:val="20"/>
                <w:lang w:eastAsia="sk-SK"/>
              </w:rPr>
              <w:t xml:space="preserve"> Deti, starší pacienti a osoby so zdravotným postihnutím, ktoré môžu mať problémy s tradičným zubným ošetrením, budú mať zabezpečenú potrebnú starostlivosť v bezpečnom prostredí celkovej anestézie.</w:t>
            </w:r>
          </w:p>
          <w:p w:rsidR="009B0803" w:rsidRPr="002F4E1E" w:rsidRDefault="00A52B70" w:rsidP="00A52B70">
            <w:pPr>
              <w:spacing w:after="0" w:line="240" w:lineRule="auto"/>
              <w:rPr>
                <w:rFonts w:ascii="Arial" w:hAnsi="Arial" w:cs="Arial"/>
                <w:sz w:val="20"/>
                <w:szCs w:val="20"/>
                <w:lang w:eastAsia="sk-SK"/>
              </w:rPr>
            </w:pPr>
            <w:r w:rsidRPr="0014349E">
              <w:rPr>
                <w:rFonts w:ascii="Arial" w:hAnsi="Arial" w:cs="Arial"/>
                <w:b/>
                <w:bCs/>
                <w:sz w:val="20"/>
                <w:szCs w:val="20"/>
                <w:lang w:eastAsia="sk-SK"/>
              </w:rPr>
              <w:t>Osoby s psychickými a fyzickými obmedzeniami:</w:t>
            </w:r>
            <w:r w:rsidRPr="0014349E">
              <w:rPr>
                <w:rFonts w:ascii="Arial" w:hAnsi="Arial" w:cs="Arial"/>
                <w:sz w:val="20"/>
                <w:szCs w:val="20"/>
                <w:lang w:eastAsia="sk-SK"/>
              </w:rPr>
              <w:t xml:space="preserve"> Pacienti trpiaci silným strachom z návštevy zubára alebo pacienti s fyzickými obmedzeniami, ktoré im znemožňujú absolvovať zubné ošetrenie tradičnými metódami, budú mať možnosť podstúpiť ošetrenie bez stresu a bolesti.</w:t>
            </w:r>
          </w:p>
        </w:tc>
      </w:tr>
    </w:tbl>
    <w:p w:rsidR="009B0803" w:rsidRPr="00A244E5" w:rsidRDefault="009B0803" w:rsidP="009B0803">
      <w:pPr>
        <w:spacing w:after="160" w:line="259" w:lineRule="auto"/>
        <w:rPr>
          <w:rFonts w:ascii="Times New Roman" w:hAnsi="Times New Roman"/>
          <w:sz w:val="20"/>
        </w:rPr>
        <w:sectPr w:rsidR="009B0803" w:rsidRPr="00A244E5" w:rsidSect="00FD284C">
          <w:headerReference w:type="default" r:id="rId11"/>
          <w:footerReference w:type="default" r:id="rId12"/>
          <w:footnotePr>
            <w:numFmt w:val="chicago"/>
          </w:footnotePr>
          <w:type w:val="continuous"/>
          <w:pgSz w:w="11906" w:h="16838"/>
          <w:pgMar w:top="992" w:right="1418" w:bottom="1418" w:left="1418" w:header="510" w:footer="567" w:gutter="0"/>
          <w:pgNumType w:start="3"/>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75"/>
        <w:gridCol w:w="3460"/>
        <w:gridCol w:w="5510"/>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szCs w:val="24"/>
              </w:rPr>
            </w:pPr>
            <w:r w:rsidRPr="002F4E1E">
              <w:rPr>
                <w:rFonts w:ascii="Arial" w:hAnsi="Arial" w:cs="Arial"/>
                <w:b/>
                <w:sz w:val="24"/>
                <w:szCs w:val="24"/>
              </w:rPr>
              <w:lastRenderedPageBreak/>
              <w:t>4.3 Identifikujte a popíšte vplyv na rovnosť príležitostí.</w:t>
            </w:r>
          </w:p>
          <w:p w:rsidR="009B0803" w:rsidRPr="002F4E1E" w:rsidRDefault="009B0803" w:rsidP="00FC3E5A">
            <w:pPr>
              <w:spacing w:after="0" w:line="240" w:lineRule="auto"/>
              <w:ind w:left="340"/>
              <w:jc w:val="both"/>
              <w:rPr>
                <w:rFonts w:ascii="Arial" w:hAnsi="Arial" w:cs="Arial"/>
                <w:sz w:val="24"/>
                <w:szCs w:val="24"/>
              </w:rPr>
            </w:pPr>
            <w:r w:rsidRPr="002F4E1E">
              <w:rPr>
                <w:rFonts w:ascii="Arial" w:hAnsi="Arial" w:cs="Arial"/>
                <w:b/>
                <w:sz w:val="24"/>
                <w:szCs w:val="24"/>
              </w:rPr>
              <w:t>Identifikujte, popíšte a kvantifikujte vplyv na rovnosť žien a mužov.</w:t>
            </w:r>
          </w:p>
        </w:tc>
      </w:tr>
      <w:tr w:rsidR="009B0803" w:rsidRPr="002F4E1E" w:rsidTr="00FC3E5A">
        <w:trPr>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4"/>
                <w:szCs w:val="24"/>
              </w:rPr>
            </w:pPr>
            <w:r w:rsidRPr="002F4E1E">
              <w:rPr>
                <w:rFonts w:ascii="Arial" w:hAnsi="Arial" w:cs="Arial"/>
                <w:i/>
                <w:sz w:val="18"/>
                <w:szCs w:val="24"/>
              </w:rPr>
              <w:t>a)</w:t>
            </w:r>
          </w:p>
        </w:tc>
        <w:tc>
          <w:tcPr>
            <w:tcW w:w="4868"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4"/>
                <w:szCs w:val="24"/>
              </w:rPr>
            </w:pPr>
            <w:r w:rsidRPr="002F4E1E">
              <w:rPr>
                <w:rFonts w:ascii="Arial" w:hAnsi="Arial" w:cs="Arial"/>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B0803" w:rsidRPr="002F4E1E" w:rsidTr="00FC3E5A">
        <w:trPr>
          <w:trHeight w:val="928"/>
          <w:jc w:val="center"/>
        </w:trPr>
        <w:tc>
          <w:tcPr>
            <w:tcW w:w="132" w:type="pct"/>
            <w:tcBorders>
              <w:top w:val="nil"/>
              <w:bottom w:val="nil"/>
            </w:tcBorders>
            <w:shd w:val="clear" w:color="auto" w:fill="auto"/>
          </w:tcPr>
          <w:p w:rsidR="009B0803" w:rsidRPr="002F4E1E" w:rsidRDefault="009B0803" w:rsidP="00FC3E5A">
            <w:pPr>
              <w:spacing w:after="0" w:line="240" w:lineRule="auto"/>
              <w:rPr>
                <w:rFonts w:ascii="Arial" w:hAnsi="Arial" w:cs="Arial"/>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18"/>
              </w:rPr>
            </w:pPr>
            <w:r w:rsidRPr="002F4E1E">
              <w:rPr>
                <w:rFonts w:ascii="Arial" w:hAnsi="Arial" w:cs="Arial"/>
                <w:i/>
                <w:sz w:val="18"/>
              </w:rPr>
              <w:t>b)</w:t>
            </w: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tc>
        <w:tc>
          <w:tcPr>
            <w:tcW w:w="4868" w:type="pct"/>
            <w:gridSpan w:val="2"/>
            <w:tcBorders>
              <w:top w:val="nil"/>
              <w:bottom w:val="nil"/>
            </w:tcBorders>
            <w:shd w:val="clear" w:color="auto" w:fill="auto"/>
          </w:tcPr>
          <w:p w:rsidR="009B0803" w:rsidRPr="002F4E1E" w:rsidRDefault="009B0803" w:rsidP="00FC3E5A">
            <w:pPr>
              <w:spacing w:after="160" w:line="259" w:lineRule="auto"/>
              <w:rPr>
                <w:rFonts w:ascii="Arial" w:hAnsi="Arial" w:cs="Arial"/>
                <w:sz w:val="20"/>
              </w:rPr>
            </w:pPr>
            <w:r w:rsidRPr="002F4E1E">
              <w:rPr>
                <w:rFonts w:ascii="Arial" w:hAnsi="Arial" w:cs="Arial"/>
                <w:sz w:val="20"/>
              </w:rPr>
              <w:t>Návrh zákona dodržiava povinnosť rovnakého zaobchádzania so skupinami alebo jednotlivcami na základe pohlavia, rasy, etnicity, náboženstva alebo viery, zdravotného postihnutia a sexuálnej orientácie. Návrh zákona nemá vplyv na rovnosť príležitostí.</w:t>
            </w:r>
          </w:p>
        </w:tc>
      </w:tr>
      <w:tr w:rsidR="009B0803" w:rsidRPr="002F4E1E" w:rsidTr="00FC3E5A">
        <w:trPr>
          <w:trHeight w:val="345"/>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68"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 xml:space="preserve">4.3.2 Môže návrh viesť k zväčšovaniu nerovností medzi ženami a mužmi? </w:t>
            </w:r>
            <w:r w:rsidRPr="002F4E1E">
              <w:rPr>
                <w:rFonts w:ascii="Arial" w:hAnsi="Arial" w:cs="Arial"/>
                <w:i/>
                <w:sz w:val="20"/>
                <w:szCs w:val="24"/>
              </w:rPr>
              <w:t xml:space="preserve">Podporuje návrh rovnosť príležitostí? </w:t>
            </w:r>
            <w:r w:rsidRPr="002F4E1E">
              <w:rPr>
                <w:rFonts w:ascii="Arial" w:hAnsi="Arial" w:cs="Arial"/>
                <w:i/>
                <w:sz w:val="20"/>
                <w:szCs w:val="20"/>
              </w:rPr>
              <w:t>Má návrh odlišný vplyv na ženy a mužov? Popíšte vplyvy.</w:t>
            </w:r>
          </w:p>
        </w:tc>
      </w:tr>
      <w:tr w:rsidR="009B0803" w:rsidRPr="002F4E1E" w:rsidTr="00FC3E5A">
        <w:tblPrEx>
          <w:tblBorders>
            <w:top w:val="none" w:sz="0" w:space="0" w:color="auto"/>
            <w:bottom w:val="none" w:sz="0" w:space="0" w:color="auto"/>
          </w:tblBorders>
        </w:tblPrEx>
        <w:trPr>
          <w:trHeight w:val="372"/>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d)</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riziká návrhu, ktoré môžu viesť k zväčšovaniu nerovností:</w:t>
            </w:r>
          </w:p>
        </w:tc>
        <w:tc>
          <w:tcPr>
            <w:tcW w:w="2988" w:type="pct"/>
            <w:shd w:val="clear" w:color="auto" w:fill="auto"/>
          </w:tcPr>
          <w:p w:rsidR="009B0803" w:rsidRPr="002F4E1E" w:rsidRDefault="009B0803" w:rsidP="00FC3E5A">
            <w:pPr>
              <w:spacing w:after="0" w:line="240" w:lineRule="auto"/>
              <w:jc w:val="both"/>
              <w:rPr>
                <w:rFonts w:ascii="Arial" w:hAnsi="Arial" w:cs="Arial"/>
                <w:sz w:val="20"/>
              </w:rPr>
            </w:pPr>
            <w:r w:rsidRPr="002F4E1E">
              <w:rPr>
                <w:rFonts w:ascii="Arial" w:hAnsi="Arial" w:cs="Arial"/>
                <w:sz w:val="20"/>
              </w:rPr>
              <w:t>Bez vplyvu.</w:t>
            </w:r>
          </w:p>
        </w:tc>
      </w:tr>
      <w:tr w:rsidR="009B0803" w:rsidRPr="002F4E1E" w:rsidTr="00FC3E5A">
        <w:tblPrEx>
          <w:tblBorders>
            <w:top w:val="none" w:sz="0" w:space="0" w:color="auto"/>
            <w:bottom w:val="none" w:sz="0" w:space="0" w:color="auto"/>
          </w:tblBorders>
        </w:tblPrEx>
        <w:trPr>
          <w:trHeight w:val="371"/>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80"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1880"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B0803" w:rsidRPr="002F4E1E" w:rsidRDefault="009B0803" w:rsidP="00FC3E5A">
            <w:pPr>
              <w:spacing w:after="0" w:line="240" w:lineRule="auto"/>
              <w:jc w:val="both"/>
              <w:rPr>
                <w:rFonts w:ascii="Arial" w:eastAsia="Times New Roman" w:hAnsi="Arial" w:cs="Arial"/>
                <w:color w:val="000000"/>
                <w:sz w:val="27"/>
                <w:szCs w:val="27"/>
              </w:rPr>
            </w:pPr>
            <w:r w:rsidRPr="002F4E1E">
              <w:rPr>
                <w:rFonts w:ascii="Arial" w:hAnsi="Arial" w:cs="Arial"/>
                <w:i/>
                <w:sz w:val="18"/>
                <w:szCs w:val="18"/>
              </w:rPr>
              <w:t xml:space="preserve">V ktorých oblastiach podpory rovnosti žien a mužov návrh odstraňuje prekážky a/alebo podporuje rovnosť žien a mužov? </w:t>
            </w:r>
            <w:r w:rsidRPr="002F4E1E">
              <w:rPr>
                <w:rFonts w:ascii="Arial" w:eastAsia="Times New Roman" w:hAnsi="Arial" w:cs="Arial"/>
                <w:i/>
                <w:iCs/>
                <w:color w:val="000000"/>
                <w:sz w:val="18"/>
                <w:szCs w:val="18"/>
              </w:rPr>
              <w:t>Medzi oblasti podpory rovnosti žien a mužov okrem iného patria:</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slobodného výberu povolania a ekonomickej činnosti</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vyrovnávania ekonomickej nezávislosti,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zosúladenie pracovného, súkromného a rodinného života,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rovnosti príležitostí pri participácii na rozhodovaní,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boj proti domácemu násiliu,  násiliu na ženách  a obchodovaniu s ľuďmi,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vnímania osobnej starostlivosti o dieťa za rovnocennú s ekonomickou činnosťou a podpora neviditeľnej práce v domácnosti ako takej,</w:t>
            </w:r>
          </w:p>
          <w:p w:rsidR="009B0803" w:rsidRPr="002F4E1E" w:rsidRDefault="009B0803" w:rsidP="009B0803">
            <w:pPr>
              <w:numPr>
                <w:ilvl w:val="0"/>
                <w:numId w:val="2"/>
              </w:numPr>
              <w:spacing w:after="0" w:line="240" w:lineRule="auto"/>
              <w:ind w:left="170" w:hanging="170"/>
              <w:jc w:val="both"/>
              <w:rPr>
                <w:rFonts w:ascii="Arial" w:hAnsi="Arial" w:cs="Arial"/>
                <w:i/>
                <w:sz w:val="18"/>
                <w:szCs w:val="18"/>
              </w:rPr>
            </w:pPr>
            <w:r w:rsidRPr="002F4E1E">
              <w:rPr>
                <w:rFonts w:ascii="Arial" w:hAnsi="Arial" w:cs="Arial"/>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rPr>
            </w:pPr>
            <w:r w:rsidRPr="002F4E1E">
              <w:rPr>
                <w:rFonts w:ascii="Arial" w:hAnsi="Arial" w:cs="Arial"/>
                <w:sz w:val="20"/>
              </w:rPr>
              <w:t>Bez vplyvu.</w:t>
            </w:r>
          </w:p>
        </w:tc>
      </w:tr>
    </w:tbl>
    <w:p w:rsidR="009B0803" w:rsidRPr="002F4E1E" w:rsidRDefault="009B0803" w:rsidP="009B0803">
      <w:pPr>
        <w:spacing w:after="0" w:line="240" w:lineRule="auto"/>
        <w:rPr>
          <w:rFonts w:ascii="Arial" w:hAnsi="Arial" w:cs="Arial"/>
          <w:b/>
          <w:sz w:val="24"/>
          <w:lang w:eastAsia="sk-SK"/>
        </w:rPr>
        <w:sectPr w:rsidR="009B0803" w:rsidRPr="002F4E1E" w:rsidSect="00DB5C4F">
          <w:footnotePr>
            <w:numFmt w:val="chicago"/>
          </w:footnotePr>
          <w:pgSz w:w="11906" w:h="16838"/>
          <w:pgMar w:top="992" w:right="1418" w:bottom="1418"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sz w:val="24"/>
                <w:lang w:eastAsia="sk-SK"/>
              </w:rPr>
              <w:lastRenderedPageBreak/>
              <w:t>4.4 Identifikujte, popíšte a kvantifikujte vplyvy na zamestnanosť a na trh práce.</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lang w:eastAsia="sk-SK"/>
              </w:rPr>
              <w:t xml:space="preserve">V prípade kladnej odpovede pripojte </w:t>
            </w:r>
            <w:r w:rsidRPr="002F4E1E">
              <w:rPr>
                <w:rFonts w:ascii="Arial" w:hAnsi="Arial" w:cs="Arial"/>
                <w:b/>
                <w:i/>
                <w:lang w:eastAsia="sk-SK"/>
              </w:rPr>
              <w:t>odôvodnenie</w:t>
            </w:r>
            <w:r w:rsidRPr="002F4E1E">
              <w:rPr>
                <w:rFonts w:ascii="Arial" w:hAnsi="Arial" w:cs="Arial"/>
                <w:i/>
                <w:lang w:eastAsia="sk-SK"/>
              </w:rPr>
              <w:t xml:space="preserve"> v súlade s Metodickým postupom pre analýzu sociálnych vplyvov.</w:t>
            </w:r>
          </w:p>
        </w:tc>
      </w:tr>
      <w:tr w:rsidR="009B0803" w:rsidRPr="002F4E1E" w:rsidTr="00FC3E5A">
        <w:trPr>
          <w:trHeight w:val="28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a)</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Uľahčuje návrh vznik nových pracovných miest? Ak áno, ako? Ak je to možné, doplňte kvantifikáciu.</w:t>
            </w:r>
          </w:p>
        </w:tc>
      </w:tr>
      <w:tr w:rsidR="009B0803" w:rsidRPr="002F4E1E" w:rsidTr="00FC3E5A">
        <w:trPr>
          <w:trHeight w:val="567"/>
          <w:jc w:val="center"/>
        </w:trPr>
        <w:tc>
          <w:tcPr>
            <w:tcW w:w="129" w:type="pct"/>
            <w:tcBorders>
              <w:top w:val="nil"/>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b)</w:t>
            </w:r>
          </w:p>
        </w:tc>
        <w:tc>
          <w:tcPr>
            <w:tcW w:w="1838"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nového definovania verejnej optimálnej siete poskytovateľov špecializovanej ambulantnej starostlivosti poskytovanej v špecializovaných ambulanciách podporuje vznik nových pracovných miest (sektor zdravotníctvo, povolanie lekár v špecializovanej ambulancii, poskytovateľ špecializovanej ambulantnej starostlivosti v špecializovanej ambulancii) identifikovaním nedostatkových okresov resp. krajov z hľadiska naplnenosti verejnej optimálnej siete na území Slovenskej republiky. Ak sa lekár v príslušnom špecializačnom odbore rozhodne stať sa poskytovateľom zdravotnej starostlivosti a začať prevádzkovať špecializovanú ambulanciu v nedostatkovom regióne, zdravotná poisťovňa bude povinná s ním uzatvoriť zmluvu o poskytovaní zdravotnej starostlivosti do výšky naplnenia definovaného rozsahu verejnej optimálnej siete v príslušnom regióne.</w:t>
            </w:r>
            <w:r w:rsidRPr="002F4E1E">
              <w:rPr>
                <w:rFonts w:ascii="Arial" w:hAnsi="Arial" w:cs="Arial"/>
                <w:sz w:val="20"/>
                <w:szCs w:val="18"/>
              </w:rPr>
              <w:t xml:space="preserve"> </w:t>
            </w:r>
          </w:p>
        </w:tc>
      </w:tr>
      <w:tr w:rsidR="009B0803" w:rsidRPr="002F4E1E" w:rsidTr="00FC3E5A">
        <w:trPr>
          <w:trHeight w:val="270"/>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Vedie návrh k zániku pracovných miest?</w:t>
            </w:r>
            <w:r w:rsidRPr="002F4E1E">
              <w:rPr>
                <w:rFonts w:ascii="Arial" w:hAnsi="Arial" w:cs="Arial"/>
                <w:sz w:val="20"/>
                <w:szCs w:val="20"/>
              </w:rPr>
              <w:t xml:space="preserve"> </w:t>
            </w:r>
            <w:r w:rsidRPr="002F4E1E">
              <w:rPr>
                <w:rFonts w:ascii="Arial" w:hAnsi="Arial" w:cs="Arial"/>
                <w:i/>
                <w:sz w:val="20"/>
                <w:szCs w:val="20"/>
              </w:rPr>
              <w:t>Ak áno, ako a akých? Ak je to možné, doplňte kvantifikáciu</w:t>
            </w:r>
          </w:p>
        </w:tc>
      </w:tr>
      <w:tr w:rsidR="009B0803" w:rsidRPr="002F4E1E" w:rsidTr="00FC3E5A">
        <w:trPr>
          <w:trHeight w:val="45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d)</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vplyv na zánik pracovných miest.</w:t>
            </w:r>
          </w:p>
        </w:tc>
      </w:tr>
      <w:tr w:rsidR="009B0803" w:rsidRPr="002F4E1E" w:rsidTr="00FC3E5A">
        <w:trPr>
          <w:trHeight w:val="24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dopyt po práci? Ak áno, ako?</w:t>
            </w:r>
          </w:p>
        </w:tc>
      </w:tr>
      <w:tr w:rsidR="009B0803" w:rsidRPr="002F4E1E" w:rsidTr="00FC3E5A">
        <w:trPr>
          <w:trHeight w:val="209"/>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umožní mladým lekárom s prí</w:t>
            </w:r>
            <w:r>
              <w:rPr>
                <w:rFonts w:ascii="Arial" w:hAnsi="Arial" w:cs="Arial"/>
                <w:sz w:val="20"/>
                <w:szCs w:val="18"/>
              </w:rPr>
              <w:t>s</w:t>
            </w:r>
            <w:r w:rsidRPr="00BC18E1">
              <w:rPr>
                <w:rFonts w:ascii="Arial" w:hAnsi="Arial" w:cs="Arial"/>
                <w:sz w:val="20"/>
                <w:szCs w:val="18"/>
              </w:rPr>
              <w:t>lušnou špecializáciou získať štruktúrovanú informáciu o počte chýbajúcich špecializovaných ambulancií v okresoch resp. krajoch, kde nie je zabezpečený dostatočný počet ambulancií za účelom prijatia informovaného</w:t>
            </w:r>
            <w:r w:rsidRPr="002F4E1E">
              <w:rPr>
                <w:rFonts w:ascii="Arial" w:hAnsi="Arial" w:cs="Arial"/>
                <w:sz w:val="20"/>
                <w:szCs w:val="18"/>
              </w:rPr>
              <w:t xml:space="preserve"> rozhodnutia pri voľbe svojej budúcej kariérnej cesty.</w:t>
            </w:r>
          </w:p>
        </w:tc>
      </w:tr>
      <w:tr w:rsidR="009B0803" w:rsidRPr="002F4E1E" w:rsidTr="00FC3E5A">
        <w:trPr>
          <w:trHeight w:val="20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dosah na fungovanie trhu práce?</w:t>
            </w:r>
            <w:r w:rsidRPr="002F4E1E">
              <w:rPr>
                <w:rFonts w:ascii="Arial" w:hAnsi="Arial" w:cs="Arial"/>
                <w:sz w:val="20"/>
                <w:szCs w:val="20"/>
              </w:rPr>
              <w:t xml:space="preserve"> </w:t>
            </w:r>
            <w:r w:rsidRPr="002F4E1E">
              <w:rPr>
                <w:rFonts w:ascii="Arial" w:hAnsi="Arial" w:cs="Arial"/>
                <w:i/>
                <w:sz w:val="20"/>
                <w:szCs w:val="20"/>
              </w:rPr>
              <w:t>Ak áno, aký?</w:t>
            </w:r>
          </w:p>
        </w:tc>
      </w:tr>
      <w:tr w:rsidR="009B0803" w:rsidRPr="002F4E1E" w:rsidTr="00FC3E5A">
        <w:trPr>
          <w:trHeight w:val="79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h)</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Týka sa makroekonomických dosahov ako je napr. participácia na trhu práce, dlhodobá nezamestnanosť, regionálne rozdiely v mierach zamestnanosti.</w:t>
            </w:r>
            <w:r w:rsidRPr="002F4E1E">
              <w:rPr>
                <w:rFonts w:ascii="Arial" w:hAnsi="Arial" w:cs="Arial"/>
                <w:sz w:val="18"/>
                <w:szCs w:val="18"/>
              </w:rPr>
              <w:t xml:space="preserve"> </w:t>
            </w:r>
            <w:r w:rsidRPr="002F4E1E">
              <w:rPr>
                <w:rFonts w:ascii="Arial" w:hAnsi="Arial" w:cs="Arial"/>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Áno, návrh vytvára nové pracovné príležitosti aj v nedostatkových regiónoch a má potenciál prispieť k efektívnejšej alokácii pracovnej sily.</w:t>
            </w:r>
          </w:p>
        </w:tc>
      </w:tr>
      <w:tr w:rsidR="009B0803" w:rsidRPr="002F4E1E" w:rsidTr="00FC3E5A">
        <w:trPr>
          <w:trHeight w:val="324"/>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i)</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špecifické negatívne dôsledky pre isté skupiny profesií, skupín zamestnancov či živnostníkov?</w:t>
            </w:r>
            <w:r w:rsidRPr="002F4E1E">
              <w:rPr>
                <w:rFonts w:ascii="Arial" w:hAnsi="Arial" w:cs="Arial"/>
                <w:sz w:val="20"/>
                <w:szCs w:val="20"/>
              </w:rPr>
              <w:t xml:space="preserve"> </w:t>
            </w:r>
            <w:r w:rsidRPr="002F4E1E">
              <w:rPr>
                <w:rFonts w:ascii="Arial" w:hAnsi="Arial" w:cs="Arial"/>
                <w:i/>
                <w:sz w:val="20"/>
                <w:szCs w:val="20"/>
              </w:rPr>
              <w:t>Ak áno, aké a pre ktoré skupiny?</w:t>
            </w:r>
          </w:p>
        </w:tc>
      </w:tr>
      <w:tr w:rsidR="009B0803" w:rsidRPr="002F4E1E" w:rsidTr="00FC3E5A">
        <w:trPr>
          <w:trHeight w:val="216"/>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j)</w:t>
            </w:r>
          </w:p>
        </w:tc>
        <w:tc>
          <w:tcPr>
            <w:tcW w:w="1838"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negatívne dôsledky pre žiadne skupiny profesií.</w:t>
            </w:r>
          </w:p>
        </w:tc>
      </w:tr>
      <w:tr w:rsidR="009B0803" w:rsidRPr="002F4E1E" w:rsidTr="00FC3E5A">
        <w:trPr>
          <w:trHeight w:val="219"/>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k)</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špecifické vekové skupiny zamestnancov? Ak áno, aké? Akým spôsobom?</w:t>
            </w:r>
          </w:p>
        </w:tc>
      </w:tr>
      <w:tr w:rsidR="009B0803" w:rsidRPr="002F4E1E" w:rsidTr="00FC3E5A">
        <w:trPr>
          <w:trHeight w:val="497"/>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l)</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Návrh zákona nemá vplyv na špecifické vekové skupiny zamestnancov.</w:t>
            </w:r>
          </w:p>
        </w:tc>
      </w:tr>
    </w:tbl>
    <w:p w:rsidR="00E50350" w:rsidRDefault="00E50350"/>
    <w:sectPr w:rsidR="00E503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A6" w:rsidRDefault="00953EA6" w:rsidP="009B0803">
      <w:pPr>
        <w:spacing w:after="0" w:line="240" w:lineRule="auto"/>
      </w:pPr>
      <w:r>
        <w:separator/>
      </w:r>
    </w:p>
  </w:endnote>
  <w:endnote w:type="continuationSeparator" w:id="0">
    <w:p w:rsidR="00953EA6" w:rsidRDefault="00953EA6" w:rsidP="009B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81898"/>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B3A49">
          <w:rPr>
            <w:noProof/>
          </w:rPr>
          <w:t>2</w:t>
        </w:r>
        <w:r>
          <w:fldChar w:fldCharType="end"/>
        </w:r>
      </w:p>
    </w:sdtContent>
  </w:sdt>
  <w:p w:rsidR="00495A22" w:rsidRPr="001D6749" w:rsidRDefault="00953EA6">
    <w:pPr>
      <w:pStyle w:val="Pta"/>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92611"/>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B3A49">
          <w:rPr>
            <w:noProof/>
          </w:rPr>
          <w:t>9</w:t>
        </w:r>
        <w:r>
          <w:fldChar w:fldCharType="end"/>
        </w:r>
      </w:p>
    </w:sdtContent>
  </w:sdt>
  <w:p w:rsidR="00495A22" w:rsidRPr="001D6749" w:rsidRDefault="00953EA6">
    <w:pPr>
      <w:pStyle w:val="Pta"/>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A6" w:rsidRDefault="00953EA6" w:rsidP="009B0803">
      <w:pPr>
        <w:spacing w:after="0" w:line="240" w:lineRule="auto"/>
      </w:pPr>
      <w:r>
        <w:separator/>
      </w:r>
    </w:p>
  </w:footnote>
  <w:footnote w:type="continuationSeparator" w:id="0">
    <w:p w:rsidR="00953EA6" w:rsidRDefault="00953EA6" w:rsidP="009B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A22" w:rsidRPr="00433C47" w:rsidRDefault="00953EA6" w:rsidP="00DB5C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FDB266C"/>
    <w:multiLevelType w:val="hybridMultilevel"/>
    <w:tmpl w:val="92F66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8B280A"/>
    <w:multiLevelType w:val="hybridMultilevel"/>
    <w:tmpl w:val="A8FAF1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19E79CA"/>
    <w:multiLevelType w:val="hybridMultilevel"/>
    <w:tmpl w:val="3F6EC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03"/>
    <w:rsid w:val="003530D6"/>
    <w:rsid w:val="004979E2"/>
    <w:rsid w:val="00621A4F"/>
    <w:rsid w:val="00953EA6"/>
    <w:rsid w:val="0098287A"/>
    <w:rsid w:val="009B0803"/>
    <w:rsid w:val="00A52B70"/>
    <w:rsid w:val="00AB3A49"/>
    <w:rsid w:val="00E50350"/>
    <w:rsid w:val="00FD28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2F2B"/>
  <w15:chartTrackingRefBased/>
  <w15:docId w15:val="{7ACA6D45-2AA7-42FC-B213-C370120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080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B0803"/>
    <w:pPr>
      <w:tabs>
        <w:tab w:val="center" w:pos="4536"/>
        <w:tab w:val="right" w:pos="9072"/>
      </w:tabs>
    </w:pPr>
  </w:style>
  <w:style w:type="character" w:customStyle="1" w:styleId="HlavikaChar">
    <w:name w:val="Hlavička Char"/>
    <w:basedOn w:val="Predvolenpsmoodseku"/>
    <w:link w:val="Hlavika"/>
    <w:uiPriority w:val="99"/>
    <w:rsid w:val="009B0803"/>
    <w:rPr>
      <w:rFonts w:ascii="Calibri" w:eastAsia="Calibri" w:hAnsi="Calibri" w:cs="Times New Roman"/>
    </w:rPr>
  </w:style>
  <w:style w:type="paragraph" w:styleId="Pta">
    <w:name w:val="footer"/>
    <w:basedOn w:val="Normlny"/>
    <w:link w:val="PtaChar"/>
    <w:uiPriority w:val="99"/>
    <w:unhideWhenUsed/>
    <w:rsid w:val="009B0803"/>
    <w:pPr>
      <w:tabs>
        <w:tab w:val="center" w:pos="4536"/>
        <w:tab w:val="right" w:pos="9072"/>
      </w:tabs>
    </w:pPr>
  </w:style>
  <w:style w:type="character" w:customStyle="1" w:styleId="PtaChar">
    <w:name w:val="Päta Char"/>
    <w:basedOn w:val="Predvolenpsmoodseku"/>
    <w:link w:val="Pta"/>
    <w:uiPriority w:val="99"/>
    <w:rsid w:val="009B0803"/>
    <w:rPr>
      <w:rFonts w:ascii="Calibri" w:eastAsia="Calibri" w:hAnsi="Calibri" w:cs="Times New Roman"/>
    </w:rPr>
  </w:style>
  <w:style w:type="paragraph" w:styleId="Odsekzoznamu">
    <w:name w:val="List Paragraph"/>
    <w:basedOn w:val="Normlny"/>
    <w:uiPriority w:val="34"/>
    <w:qFormat/>
    <w:rsid w:val="00A52B7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4B166-4240-4BBB-9299-E9475E257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89A1D4-4AE5-431D-B745-B304FE635D5D}">
  <ds:schemaRefs>
    <ds:schemaRef ds:uri="http://schemas.microsoft.com/sharepoint/v3/contenttype/forms"/>
  </ds:schemaRefs>
</ds:datastoreItem>
</file>

<file path=customXml/itemProps3.xml><?xml version="1.0" encoding="utf-8"?>
<ds:datastoreItem xmlns:ds="http://schemas.openxmlformats.org/officeDocument/2006/customXml" ds:itemID="{324AE789-E8B6-4A41-8231-F01446C5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3511</Words>
  <Characters>20014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3</cp:revision>
  <dcterms:created xsi:type="dcterms:W3CDTF">2024-07-27T06:20:00Z</dcterms:created>
  <dcterms:modified xsi:type="dcterms:W3CDTF">2024-09-24T08:19:00Z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