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CA3F65" w:rsidR="008112AB" w:rsidP="1033436C" w:rsidRDefault="008112AB" w14:paraId="700F3B95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caps w:val="1"/>
          <w:spacing w:val="30"/>
          <w:sz w:val="24"/>
          <w:szCs w:val="24"/>
          <w:lang w:eastAsia="sk-SK"/>
        </w:rPr>
      </w:pPr>
      <w:r w:rsidRPr="1033436C" w:rsidR="4495299A">
        <w:rPr>
          <w:rFonts w:ascii="Times New Roman" w:hAnsi="Times New Roman" w:eastAsia="Times New Roman"/>
          <w:b w:val="1"/>
          <w:bCs w:val="1"/>
          <w:caps w:val="1"/>
          <w:spacing w:val="30"/>
          <w:sz w:val="24"/>
          <w:szCs w:val="24"/>
          <w:lang w:eastAsia="sk-SK"/>
        </w:rPr>
        <w:t>D</w:t>
      </w:r>
      <w:r w:rsidRPr="1033436C" w:rsidR="4495299A">
        <w:rPr>
          <w:rFonts w:ascii="Times New Roman" w:hAnsi="Times New Roman" w:eastAsia="Times New Roman" w:cs="Times New Roman"/>
          <w:b w:val="1"/>
          <w:bCs w:val="1"/>
          <w:caps w:val="1"/>
          <w:spacing w:val="30"/>
          <w:sz w:val="24"/>
          <w:szCs w:val="24"/>
          <w:lang w:eastAsia="sk-SK"/>
        </w:rPr>
        <w:t>oložka zlučiteľnosti</w:t>
      </w:r>
    </w:p>
    <w:p xmlns:wp14="http://schemas.microsoft.com/office/word/2010/wordml" w:rsidRPr="00CA3F65" w:rsidR="008112AB" w:rsidP="1033436C" w:rsidRDefault="008112AB" w14:paraId="2996F4C9" wp14:textId="777777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sk-SK"/>
        </w:rPr>
      </w:pPr>
      <w:r w:rsidRPr="1033436C" w:rsidR="4495299A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sk-SK"/>
        </w:rPr>
        <w:t>návrhu zákona s právom Európskej únie</w:t>
      </w:r>
    </w:p>
    <w:p xmlns:wp14="http://schemas.microsoft.com/office/word/2010/wordml" w:rsidRPr="00CA3F65" w:rsidR="008112AB" w:rsidP="1033436C" w:rsidRDefault="008112AB" w14:paraId="672A6659" wp14:textId="77777777" wp14:noSpellErr="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sk-SK"/>
        </w:rPr>
      </w:pPr>
    </w:p>
    <w:p xmlns:wp14="http://schemas.microsoft.com/office/word/2010/wordml" w:rsidRPr="00CA3F65" w:rsidR="008112AB" w:rsidP="1033436C" w:rsidRDefault="008112AB" w14:paraId="0A37501D" wp14:textId="77777777" wp14:noSpellErr="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eastAsia="sk-SK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04"/>
        <w:gridCol w:w="9627"/>
      </w:tblGrid>
      <w:tr xmlns:wp14="http://schemas.microsoft.com/office/word/2010/wordml" w:rsidRPr="00CA3F65" w:rsidR="008112AB" w:rsidTr="1033436C" w14:paraId="20C8E854" wp14:textId="77777777">
        <w:tc>
          <w:tcPr>
            <w:tcW w:w="404" w:type="dxa"/>
            <w:shd w:val="clear" w:color="auto" w:fill="auto"/>
            <w:tcMar/>
          </w:tcPr>
          <w:p w:rsidRPr="00CA3F65" w:rsidR="008112AB" w:rsidP="1033436C" w:rsidRDefault="008112AB" w14:paraId="0135CBF0" wp14:textId="7777777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sk-SK"/>
              </w:rPr>
            </w:pPr>
            <w:r w:rsidRPr="1033436C" w:rsidR="4495299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9627" w:type="dxa"/>
            <w:shd w:val="clear" w:color="auto" w:fill="auto"/>
            <w:tcMar/>
          </w:tcPr>
          <w:p w:rsidRPr="00CA3F65" w:rsidR="008112AB" w:rsidP="1033436C" w:rsidRDefault="008112AB" w14:paraId="7C4807D9" wp14:textId="7777777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sk-SK"/>
              </w:rPr>
            </w:pPr>
            <w:r w:rsidRPr="1033436C" w:rsidR="4495299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sk-SK"/>
              </w:rPr>
              <w:t>Navrhovateľ zákona:</w:t>
            </w:r>
            <w:r w:rsidRPr="1033436C" w:rsidR="4495299A">
              <w:rPr>
                <w:rFonts w:ascii="Times New Roman" w:hAnsi="Times New Roman" w:eastAsia="Times New Roman" w:cs="Times New Roman"/>
                <w:sz w:val="24"/>
                <w:szCs w:val="24"/>
                <w:lang w:eastAsia="sk-SK"/>
              </w:rPr>
              <w:t xml:space="preserve"> Ministerstvo zdravotníctva Slovenskej republiky</w: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begin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instrText xml:space="preserve"> DOCPROPERTY  FSC#SKEDITIONSLOVLEX@103.510:zodpinstitucia  \* MERGEFORMAT </w:instrTex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end"/>
            </w:r>
          </w:p>
        </w:tc>
      </w:tr>
      <w:tr xmlns:wp14="http://schemas.microsoft.com/office/word/2010/wordml" w:rsidRPr="00CA3F65" w:rsidR="008112AB" w:rsidTr="1033436C" w14:paraId="5DAB6C7B" wp14:textId="77777777">
        <w:tc>
          <w:tcPr>
            <w:tcW w:w="404" w:type="dxa"/>
            <w:shd w:val="clear" w:color="auto" w:fill="auto"/>
            <w:tcMar/>
          </w:tcPr>
          <w:p w:rsidRPr="00CA3F65" w:rsidR="008112AB" w:rsidP="1033436C" w:rsidRDefault="008112AB" w14:paraId="02EB378F" wp14:textId="77777777" wp14:noSpellErr="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627" w:type="dxa"/>
            <w:shd w:val="clear" w:color="auto" w:fill="auto"/>
            <w:tcMar/>
          </w:tcPr>
          <w:p w:rsidRPr="00CA3F65" w:rsidR="008112AB" w:rsidP="1033436C" w:rsidRDefault="008112AB" w14:paraId="6A05A809" wp14:textId="77777777" wp14:noSpellErr="1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sk-SK"/>
              </w:rPr>
            </w:pPr>
          </w:p>
        </w:tc>
      </w:tr>
      <w:tr xmlns:wp14="http://schemas.microsoft.com/office/word/2010/wordml" w:rsidRPr="00CA3F65" w:rsidR="008112AB" w:rsidTr="1033436C" w14:paraId="36AD1004" wp14:textId="77777777">
        <w:tc>
          <w:tcPr>
            <w:tcW w:w="404" w:type="dxa"/>
            <w:shd w:val="clear" w:color="auto" w:fill="auto"/>
            <w:tcMar/>
          </w:tcPr>
          <w:p w:rsidRPr="00CA3F65" w:rsidR="008112AB" w:rsidP="1033436C" w:rsidRDefault="008112AB" w14:paraId="47886996" wp14:textId="77777777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sk-SK"/>
              </w:rPr>
            </w:pPr>
            <w:r w:rsidRPr="1033436C" w:rsidR="4495299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9627" w:type="dxa"/>
            <w:shd w:val="clear" w:color="auto" w:fill="auto"/>
            <w:tcMar/>
          </w:tcPr>
          <w:p w:rsidRPr="00CA3F65" w:rsidR="008112AB" w:rsidP="1033436C" w:rsidRDefault="008112AB" w14:paraId="421BD957" wp14:textId="5322B7CD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sk-SK"/>
              </w:rPr>
            </w:pPr>
            <w:r w:rsidRPr="1033436C" w:rsidR="4495299A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eastAsia="sk-SK"/>
              </w:rPr>
              <w:t>Názov návrhu zákona:</w:t>
            </w:r>
            <w:r w:rsidRPr="1033436C" w:rsidR="4495299A">
              <w:rPr>
                <w:rFonts w:ascii="Times New Roman" w:hAnsi="Times New Roman" w:eastAsia="Times New Roman" w:cs="Times New Roman"/>
                <w:sz w:val="24"/>
                <w:szCs w:val="24"/>
                <w:lang w:eastAsia="sk-SK"/>
              </w:rPr>
              <w:t xml:space="preserve"> Návrh zákona, ktorým sa mení a dopĺňa zákon č. 578/2004 Z. z. o poskytovateľoch zdravotnej starostlivosti, zdravotníckych pracovníkoch, stavovských organizáciách v zdravotníctve a o zmene a doplnení niektorých zákonov v znení neskorších predpisov a ktorým sa menia a dopĺňajú niektoré zákony</w: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begin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instrText xml:space="preserve"> DOCPROPERTY  FSC#SKEDITIONSLOVLEX@103.510:plnynazovpredpis  \* MERGEFORMAT </w:instrTex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end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begin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instrText xml:space="preserve"> DOCPROPERTY  FSC#SKEDITIONSLOVLEX@103.510:plnynazovpredpis1  \* MERGEFORMAT </w:instrTex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end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begin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instrText xml:space="preserve"> DOCPROPERTY  FSC#SKEDITIONSLOVLEX@103.510:plnynazovpredpis2  \* MERGEFORMAT </w:instrTex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end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begin"/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instrText xml:space="preserve"> DOCPROPERTY  FSC#SKEDITIONSLOVLEX@103.510:plnynazovpredpis3  \* MERGEFORMAT </w:instrText>
            </w:r>
            <w:r w:rsidRPr="1033436C">
              <w:rPr>
                <w:rFonts w:ascii="Times New Roman" w:hAnsi="Times New Roman" w:eastAsia="Times New Roman"/>
                <w:sz w:val="24"/>
                <w:szCs w:val="24"/>
                <w:lang w:eastAsia="sk-SK"/>
              </w:rPr>
              <w:fldChar w:fldCharType="end"/>
            </w:r>
          </w:p>
        </w:tc>
      </w:tr>
      <w:tr w:rsidR="1033436C" w:rsidTr="1033436C" w14:paraId="1B2BE9E2">
        <w:trPr>
          <w:trHeight w:val="300"/>
        </w:trPr>
        <w:tc>
          <w:tcPr>
            <w:tcW w:w="404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4E0A8C09" w14:textId="78352954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9627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5EA3A01B" w14:textId="68B18A4F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033436C" w:rsidTr="1033436C" w14:paraId="57580CB9">
        <w:trPr>
          <w:trHeight w:val="300"/>
        </w:trPr>
        <w:tc>
          <w:tcPr>
            <w:tcW w:w="404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3FAC1191" w14:textId="5F58405B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3.</w:t>
            </w:r>
          </w:p>
        </w:tc>
        <w:tc>
          <w:tcPr>
            <w:tcW w:w="9627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3A3B4A17" w14:textId="1476626F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Predmet návrhu zákona je upravený v práve Európskej únie:</w:t>
            </w:r>
          </w:p>
          <w:p w:rsidR="1033436C" w:rsidP="1033436C" w:rsidRDefault="1033436C" w14:paraId="7FABD013" w14:textId="2175B6FF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1033436C" w:rsidTr="1033436C" w14:paraId="0E659F85">
        <w:trPr>
          <w:trHeight w:val="300"/>
        </w:trPr>
        <w:tc>
          <w:tcPr>
            <w:tcW w:w="404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2B069713" w14:textId="573EB9F0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7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1A33CD69" w14:textId="431D7B52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v primárnom práve</w:t>
            </w:r>
          </w:p>
          <w:p w:rsidR="1033436C" w:rsidP="1033436C" w:rsidRDefault="1033436C" w14:paraId="1BD80AC0" w14:textId="10887D91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1033436C" w:rsidP="1033436C" w:rsidRDefault="1033436C" w14:paraId="514CA223" w14:textId="0487C624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čl. 168 Zmluvy o fungovaní Európskej únie</w:t>
            </w:r>
          </w:p>
          <w:p w:rsidR="1033436C" w:rsidP="1033436C" w:rsidRDefault="1033436C" w14:paraId="3A1BB8DF" w14:textId="70128767">
            <w:pPr>
              <w:spacing w:before="0" w:beforeAutospacing="off" w:after="0" w:afterAutospacing="off" w:line="240" w:lineRule="auto"/>
              <w:rPr>
                <w:rStyle w:val="ListParagraph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Style w:val="ListParagraph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144C79B7" w14:textId="432B2B97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0" w:beforeAutospacing="off" w:after="0" w:afterAutospacing="off" w:line="240" w:lineRule="auto"/>
              <w:ind w:left="720" w:right="0" w:hanging="36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v sekundárnom práve</w:t>
            </w:r>
          </w:p>
          <w:p w:rsidR="1033436C" w:rsidP="1033436C" w:rsidRDefault="1033436C" w14:paraId="17010E8D" w14:textId="612FA61D">
            <w:pPr>
              <w:spacing w:before="0" w:beforeAutospacing="off" w:after="0" w:afterAutospacing="off" w:line="240" w:lineRule="auto"/>
              <w:ind w:left="60" w:righ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330E493F" w14:textId="245B201E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Nariadenie (ES) Európskeho parlamentu a Rady 883/2004 z 29. apríla 2004 o koordinácii systémov sociálneho zabezpečenia (Mimoriadne vydanie Ú. v. EÚ, kap. 5/zv. 5; Ú. v. EÚ L 166, 30.4.2004) v platnom znení,</w:t>
            </w:r>
          </w:p>
          <w:p w:rsidR="1033436C" w:rsidP="1033436C" w:rsidRDefault="1033436C" w14:paraId="57E0BBCE" w14:textId="4B3BF3F9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356B37DC" w14:textId="7DE9A53A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Gestor: Ministerstvo práce, sociálnych vecí a rodiny Slovenskej republiky</w:t>
            </w:r>
          </w:p>
          <w:p w:rsidR="1033436C" w:rsidP="1033436C" w:rsidRDefault="1033436C" w14:paraId="1346D020" w14:textId="6B3A9A51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Spolugestor</w:t>
            </w: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: Ministerstvo zdravotníctva Slovenskej republiky</w:t>
            </w:r>
          </w:p>
          <w:p w:rsidR="1033436C" w:rsidP="1033436C" w:rsidRDefault="1033436C" w14:paraId="22C5CEDD" w14:textId="0A8FAD0C">
            <w:pPr>
              <w:spacing w:before="0" w:beforeAutospacing="off" w:after="0" w:afterAutospacing="off" w:line="240" w:lineRule="auto"/>
              <w:ind w:left="1068" w:righ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18110598" w14:textId="78A6E9AA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Nariadenie Európskeho parlamentu a Rady  (ES) č. 987/2009 zo 16. septembra 2009, ktorým sa ustanovuje postup vykonávania nariadenia (ES) č. 883/2004 o koordinácii systémov sociálneho zabezpečenia (Ú. v. EÚ L 284, 30. 10. 2009) v platnom znení,</w:t>
            </w:r>
          </w:p>
          <w:p w:rsidR="1033436C" w:rsidP="1033436C" w:rsidRDefault="1033436C" w14:paraId="714D790E" w14:textId="1710E7EA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3073BA2E" w14:textId="24AAE9E6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Gestor: Ministerstvo práce, sociálnych vecí a rodiny Slovenskej republiky</w:t>
            </w:r>
          </w:p>
          <w:p w:rsidR="1033436C" w:rsidP="1033436C" w:rsidRDefault="1033436C" w14:paraId="0124EADB" w14:textId="1A60EBCC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Spolugestor</w:t>
            </w: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: Ministerstvo zdravotníctva Slovenskej republiky</w:t>
            </w:r>
          </w:p>
          <w:p w:rsidR="1033436C" w:rsidP="1033436C" w:rsidRDefault="1033436C" w14:paraId="3D1D9AC9" w14:textId="525B24D3">
            <w:pPr>
              <w:spacing w:before="0" w:beforeAutospacing="off" w:after="0" w:afterAutospacing="off" w:line="240" w:lineRule="auto"/>
              <w:ind w:left="1068" w:righ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4DC525C6" w14:textId="372DBAD8">
            <w:pPr>
              <w:spacing w:before="0" w:beforeAutospacing="off" w:after="0" w:afterAutospacing="off" w:line="240" w:lineRule="auto"/>
              <w:ind w:left="60" w:righ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Smernica Európskeho parlamentu a Rady 2011/24/EÚ z 9. marca 2011 o uplatňovaní práv pacientov pri cezhraničnej zdravotnej starostlivosti (Ú. v. EÚ L 88, 4. 4. 2011) v platnom znení. </w:t>
            </w:r>
          </w:p>
          <w:p w:rsidR="1033436C" w:rsidP="1033436C" w:rsidRDefault="1033436C" w14:paraId="44F6B3D0" w14:textId="714D1043">
            <w:pPr>
              <w:spacing w:before="0" w:beforeAutospacing="off" w:after="0" w:afterAutospacing="off" w:line="240" w:lineRule="auto"/>
              <w:ind w:left="60" w:right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690F1E47" w14:textId="2F4CFF02">
            <w:pPr>
              <w:spacing w:before="0" w:beforeAutospacing="off" w:after="0" w:afterAutospacing="off" w:line="240" w:lineRule="auto"/>
              <w:ind w:left="60" w:right="0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Gestor: Ministerstvo zdravotníctva Slovenskej republiky</w:t>
            </w:r>
          </w:p>
          <w:p w:rsidR="1033436C" w:rsidP="1033436C" w:rsidRDefault="1033436C" w14:paraId="378B2F3C" w14:textId="49397032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  <w:tr w:rsidR="1033436C" w:rsidTr="1033436C" w14:paraId="2EA393EF">
        <w:trPr>
          <w:trHeight w:val="300"/>
        </w:trPr>
        <w:tc>
          <w:tcPr>
            <w:tcW w:w="404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20EA7643" w14:textId="39737818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27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4A97CCCC" w14:textId="6C1316F4">
            <w:pPr>
              <w:pStyle w:val="ListParagraph"/>
              <w:numPr>
                <w:ilvl w:val="0"/>
                <w:numId w:val="2"/>
              </w:num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  <w:lang w:eastAsia="en-US" w:bidi="ar-SA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>v judikatúre Súdneho dvora Európskej</w:t>
            </w: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color w:val="auto"/>
                <w:sz w:val="24"/>
                <w:szCs w:val="24"/>
                <w:lang w:eastAsia="en-US" w:bidi="ar-SA"/>
              </w:rPr>
              <w:t>únie</w:t>
            </w:r>
          </w:p>
          <w:p w:rsidR="1033436C" w:rsidP="1033436C" w:rsidRDefault="1033436C" w14:paraId="0443714A" w14:textId="0262710C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ind w:left="360" w:right="0"/>
              <w:rPr>
                <w:rStyle w:val="ListParagraph"/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Style w:val="ListParagraph"/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1033436C" w:rsidTr="1033436C" w14:paraId="36E23E2C">
        <w:trPr>
          <w:trHeight w:val="300"/>
        </w:trPr>
        <w:tc>
          <w:tcPr>
            <w:tcW w:w="404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131A1C96" w14:textId="3176861A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  <w:tc>
          <w:tcPr>
            <w:tcW w:w="9627" w:type="dxa"/>
            <w:tcMar>
              <w:left w:w="108" w:type="dxa"/>
              <w:right w:w="108" w:type="dxa"/>
            </w:tcMar>
            <w:vAlign w:val="top"/>
          </w:tcPr>
          <w:p w:rsidR="1033436C" w:rsidP="1033436C" w:rsidRDefault="1033436C" w14:paraId="58C75454" w14:textId="5F720FC2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Rozsudok Súdneho dvora (veľká komora) z 11. júna 2020 v spojených veciach C‑262/18 P a C‑271/18 P (Európska komisia a Slovenská republika proti Dôvera zdravotná poisťovňa, a. s.)</w:t>
            </w:r>
          </w:p>
          <w:p w:rsidR="1033436C" w:rsidP="1033436C" w:rsidRDefault="1033436C" w14:paraId="2D02761F" w14:textId="42DC2E2F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4F246AFE" w14:textId="7070D1EF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„Hoci prípadné zisky, ktoré títo poskytovatelia dosiahnu, môžu byť použité a rozdelené, musí to byť v súlade s požiadavkami na zabezpečenie udržateľnosti systému a dosahovanie sociálnych a solidárnych cieľov, na ktorých je systém založený. Zdá sa teda, že možnosť usilovať sa o zisk a dosahovať ho je značne obmedzená zákonom a na rozdiel od úvah Všeobecného súdu rozvinutých v bodoch 63 a 64 napadnutého rozsudku ju nemožno považovať za okolnosť, ktorá by mohla vyvrátiť sociálny a solidárny charakter vyplývajúci zo samotnej povahy dotknutých činností.“</w:t>
            </w:r>
          </w:p>
          <w:p w:rsidR="1033436C" w:rsidP="1033436C" w:rsidRDefault="1033436C" w14:paraId="5B560B73" w14:textId="5564C1F6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„Možnosť poskytovateľov poistenia usilovať sa o zisk, používať ho a rozdeľovať ho je značne obmedzená zákonom, účelom týchto zákonných povinností je zabezpečiť životaschopnosť a kontinuitu povinného zdravotného poistenia.“</w:t>
            </w:r>
          </w:p>
          <w:p w:rsidR="1033436C" w:rsidP="1033436C" w:rsidRDefault="1033436C" w14:paraId="1F297DDA" w14:textId="1328AE16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1569153F" w14:textId="23666B74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Rozsudok Súdneho dvora zo 16. marca 2004, AOK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Bundesverband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a i., C 264/01, C 306/01, C 354/01 a C 355/01, EU:C:2004:15</w:t>
            </w:r>
          </w:p>
          <w:p w:rsidR="1033436C" w:rsidP="1033436C" w:rsidRDefault="1033436C" w14:paraId="73DA90D8" w14:textId="0A5DE077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„Zavedenie konkurenčného prvku do systému s charakteristikami uvedenými v bode 32 tohto rozsudku s ohľadom na to, že jeho cieľom je motivovať hospodárske subjekty k výkonu ich činnosti v súlade so zásadami dobrej správy, teda čo najefektívnejšie a s čo najnižšími nákladmi, v záujme riadneho fungovania systému sociálneho zabezpečenia, nemení povahu tohto systému.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“</w:t>
            </w:r>
          </w:p>
          <w:p w:rsidR="1033436C" w:rsidP="1033436C" w:rsidRDefault="1033436C" w14:paraId="720E6846" w14:textId="03A400BC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0FD04BB9" w14:textId="1AE980AA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Rozsudok Súdneho dvora (tretia komora) z 5. marca 2009, 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Kattner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Stahlbau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proti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Maschinenbau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‑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und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Metall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‑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Berufsgenossenschaft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, C 350/07</w:t>
            </w:r>
          </w:p>
          <w:p w:rsidR="1033436C" w:rsidP="1033436C" w:rsidRDefault="1033436C" w14:paraId="2810FE63" w14:textId="405BC94C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„členský štát nezveruje správu systému sociálneho zabezpečenia jedinému poskytovateľovi poistenia, ale rôznym poskytovateľom, nemôže spochybniť zásadu solidarity, na ktorej je založený tento systém, a to tým skôr, že v rámci uvedeného systému si dotknutí poskytovatelia medzi sebou prerozdeľujú náklady a riziká.“</w:t>
            </w:r>
          </w:p>
          <w:p w:rsidR="1033436C" w:rsidP="1033436C" w:rsidRDefault="1033436C" w14:paraId="4777334A" w14:textId="135509F5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</w:p>
          <w:p w:rsidR="1033436C" w:rsidP="1033436C" w:rsidRDefault="1033436C" w14:paraId="3ABDD58F" w14:textId="244A9C5D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Rozsudok Súdneho dvora (veľká komora) zo 16. mája 2006 vo veci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Watts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, C-372/04 (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The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Queen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na návrh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Yvonne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Watts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proti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Bedford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Primary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Care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Trust)</w:t>
            </w:r>
          </w:p>
          <w:p w:rsidR="1033436C" w:rsidP="1033436C" w:rsidRDefault="1033436C" w14:paraId="5A5CB6D9" w14:textId="5891D0F2">
            <w:pPr>
              <w:pStyle w:val="ListParagraph"/>
              <w:numPr>
                <w:ilvl w:val="0"/>
                <w:numId w:val="5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>„čakacia doba, ktorá vyplýva z cieľov plánovania a riadenia nemocničnej ponuky sledovaných vnútroštátnymi orgánmi v závislosti od klinických priorít vopred určených všeobecným spôsobom, v rámci ktorých možno dostať nemocničnú liečbu vyžadovanú zdravotným stavom pacienta v zariadení patriacom do predmetného vnútroštátneho systému, neprekračuje prijateľnú dobu so zreteľom na objektívne medicínske posúdenie klinických potrieb dotknutej osoby s ohľadom na stav choroby, zdravotné záznamy a pravdepodobný ďalší vývoj ochorenia, stupeň bolesti a/alebo charakter postihnutia v čase žiadosti o súhlas.“</w:t>
            </w:r>
          </w:p>
          <w:p w:rsidR="1033436C" w:rsidP="1033436C" w:rsidRDefault="1033436C" w14:paraId="18FFA3F1" w14:textId="22BE7C83">
            <w:pPr>
              <w:tabs>
                <w:tab w:val="left" w:leader="none" w:pos="360"/>
              </w:tabs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Normlnatabuka"/>
        <w:tblW w:w="0" w:type="auto"/>
        <w:tblLayout w:type="fixed"/>
        <w:tblLook w:val="04A0" w:firstRow="1" w:lastRow="0" w:firstColumn="1" w:lastColumn="0" w:noHBand="0" w:noVBand="1"/>
      </w:tblPr>
      <w:tblGrid>
        <w:gridCol w:w="453"/>
        <w:gridCol w:w="272"/>
        <w:gridCol w:w="8335"/>
      </w:tblGrid>
      <w:tr w:rsidR="1033436C" w:rsidTr="1033436C" w14:paraId="366A96AE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7B270A93" w14:textId="2FE6A7A3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4.</w:t>
            </w:r>
          </w:p>
        </w:tc>
        <w:tc>
          <w:tcPr>
            <w:tcW w:w="8607" w:type="dxa"/>
            <w:gridSpan w:val="2"/>
            <w:tcMar/>
            <w:vAlign w:val="center"/>
          </w:tcPr>
          <w:p w:rsidR="1033436C" w:rsidP="1033436C" w:rsidRDefault="1033436C" w14:paraId="6437A02F" w14:textId="66F98DB9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Záväzky Slovenskej republiky vo vzťahu k Európskej únii:</w:t>
            </w:r>
          </w:p>
        </w:tc>
      </w:tr>
      <w:tr w:rsidR="1033436C" w:rsidTr="1033436C" w14:paraId="695A69BA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5684B4E8" w14:textId="6C2960A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38BAD3CA" w14:textId="1AA32C3A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70794EA5" w:rsidP="1033436C" w:rsidRDefault="70794EA5" w14:paraId="0AEA444C" w14:textId="20A80BE6">
            <w:pPr>
              <w:pStyle w:val="ListParagraph"/>
              <w:numPr>
                <w:ilvl w:val="0"/>
                <w:numId w:val="13"/>
              </w:numPr>
              <w:suppressLineNumbers w:val="0"/>
              <w:bidi w:val="0"/>
              <w:spacing w:before="0" w:beforeAutospacing="off" w:after="0" w:afterAutospacing="off" w:line="240" w:lineRule="auto"/>
              <w:ind w:right="0"/>
              <w:jc w:val="left"/>
              <w:rPr>
                <w:rFonts w:ascii="Times New Roman" w:hAnsi="Times New Roman" w:eastAsia="Times New Roman" w:cs="Times New Roman"/>
                <w:i w:val="1"/>
                <w:iCs w:val="1"/>
                <w:sz w:val="24"/>
                <w:szCs w:val="24"/>
              </w:rPr>
            </w:pPr>
            <w:r w:rsidRPr="1033436C" w:rsidR="70794EA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lehota na prebratie smernice alebo lehota na implementáciu nariadenia alebo rozhodnutia</w:t>
            </w:r>
          </w:p>
          <w:p w:rsidR="1033436C" w:rsidP="1033436C" w:rsidRDefault="1033436C" w14:paraId="51323EB0" w14:textId="55C1775B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41C2CFAB" w14:textId="2842CB49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Predkladaným návrhom nedochádza k implementácii nariadenia Európskej únie, ani k transpozícií smernice Európskej únie.</w:t>
            </w:r>
          </w:p>
        </w:tc>
      </w:tr>
      <w:tr w:rsidR="1033436C" w:rsidTr="1033436C" w14:paraId="16D25494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3A9540DC" w14:textId="0A9D0EC7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474330DA" w14:textId="685F221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1033436C" w:rsidP="1033436C" w:rsidRDefault="1033436C" w14:paraId="7C773E2C" w14:textId="57DA6E5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033436C" w:rsidTr="1033436C" w14:paraId="1C5E70C8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3F2297A3" w14:textId="0891201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3FDE1065" w14:textId="1B71B016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7A9828E0" w:rsidP="1033436C" w:rsidRDefault="7A9828E0" w14:paraId="1439A6DD" w14:textId="433B57DA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7A9828E0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b)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 </w:t>
            </w:r>
          </w:p>
          <w:p w:rsidR="1033436C" w:rsidP="1033436C" w:rsidRDefault="1033436C" w14:paraId="20A1AFE5" w14:textId="48BAE00C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4487FA0B" w14:textId="12D848CC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žiadne informácie</w:t>
            </w:r>
          </w:p>
        </w:tc>
      </w:tr>
      <w:tr w:rsidR="1033436C" w:rsidTr="1033436C" w14:paraId="35695C80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08F41CEC" w14:textId="1727547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0603C788" w14:textId="715C0E4C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1033436C" w:rsidP="1033436C" w:rsidRDefault="1033436C" w14:paraId="6802AD05" w14:textId="726ED30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033436C" w:rsidTr="1033436C" w14:paraId="0F22D74D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052FE65D" w14:textId="7D1E4E42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09F06698" w14:textId="704C3DCB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63AC5A41" w:rsidP="1033436C" w:rsidRDefault="63AC5A41" w14:paraId="40FA9AF4" w14:textId="72BF5C38">
            <w:pPr>
              <w:pStyle w:val="ListParagraph"/>
              <w:suppressLineNumbers w:val="0"/>
              <w:bidi w:val="0"/>
              <w:spacing w:before="0" w:beforeAutospacing="off" w:after="0" w:afterAutospacing="off" w:line="240" w:lineRule="auto"/>
              <w:ind w:left="72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63AC5A4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c) </w:t>
            </w: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informácia o právnych predpisoch, v ktorých sú preberané smernice už prebraté spolu s uvedením rozsahu tohto prebratia</w:t>
            </w:r>
          </w:p>
          <w:p w:rsidR="1033436C" w:rsidP="1033436C" w:rsidRDefault="1033436C" w14:paraId="5945DEC9" w14:textId="3DA97448">
            <w:pPr>
              <w:spacing w:before="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2F1A5DB7" w14:textId="6DCC99C4">
            <w:pPr>
              <w:pStyle w:val="ListParagraph"/>
              <w:numPr>
                <w:ilvl w:val="0"/>
                <w:numId w:val="10"/>
              </w:numPr>
              <w:spacing w:before="0" w:beforeAutospacing="off" w:after="0" w:afterAutospacing="off" w:line="240" w:lineRule="auto"/>
              <w:ind w:left="360" w:right="0" w:hanging="3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Smernica Európskeho parlamentu a Rady 2011/24/EÚ z 9. marca 2011 o uplatňovaní práv pacientov pri cezhraničnej zdravotnej starostlivosti (Ú. v. EÚ L 88, 4. 4. 2011) v platnom znení bola transponovaná do nasledovných právnych prepisov: </w:t>
            </w:r>
          </w:p>
          <w:p w:rsidR="1033436C" w:rsidP="1033436C" w:rsidRDefault="1033436C" w14:paraId="0A1403FA" w14:textId="6FF86FD0">
            <w:pPr>
              <w:spacing w:before="240" w:beforeAutospacing="off" w:after="240" w:afterAutospacing="off" w:line="240" w:lineRule="auto"/>
              <w:ind w:left="720" w:righ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:rsidR="1033436C" w:rsidP="1033436C" w:rsidRDefault="1033436C" w14:paraId="38B1AA05" w14:textId="3AAEDF42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Zákon č. 576/2004 Z. z. o zdravotnej starostlivosti, službách súvisiacich s poskytovaním zdravotnej starostlivosti a o zmene a doplnení niektorých zákonov</w:t>
            </w:r>
          </w:p>
          <w:p w:rsidR="1033436C" w:rsidP="1033436C" w:rsidRDefault="1033436C" w14:paraId="02BD94A7" w14:textId="774A994B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Zákon č. 580/2004 Z. z. o zdravotnom poistení a o zmene a doplnení zákona č. 95/2002 Z. z. o poisťovníctve a o zmene a doplnení niektorých zákonov</w:t>
            </w:r>
          </w:p>
          <w:p w:rsidR="1033436C" w:rsidP="1033436C" w:rsidRDefault="1033436C" w14:paraId="044CF900" w14:textId="4C7A1BF6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Zákon č. 581/2004 Z. z. o zdravotných poisťovniach, dohľade nad zdravotnou starostlivosťou a o zmene a doplnení niektorých zákonov</w:t>
            </w:r>
          </w:p>
          <w:p w:rsidR="1033436C" w:rsidP="1033436C" w:rsidRDefault="1033436C" w14:paraId="10DC593A" w14:textId="705AA310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Zákon č. 577/2004 Z. z. o rozsahu zdravotnej starostlivosti uhrádzanej na základe verejného zdravotného poistenia a o úhradách za služby súvisiace s poskytovaním zdravotnej starostlivosti</w:t>
            </w:r>
          </w:p>
          <w:p w:rsidR="1033436C" w:rsidP="1033436C" w:rsidRDefault="1033436C" w14:paraId="0B767DA1" w14:textId="54399638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Zákon č. 578/2004 Z. z. o poskytovateľoch zdravotnej starostlivosti, zdravotníckych pracovníkoch, stavovských organizáciách v zdravotníctve a o zmene a doplnení niektorých zákonov</w:t>
            </w:r>
          </w:p>
          <w:p w:rsidR="1033436C" w:rsidP="1033436C" w:rsidRDefault="1033436C" w14:paraId="4592BFC0" w14:textId="3B05D9EA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Zákon č. 362/2011 Z. z. o liekoch a zdravotníckych pomôckach a o zmene a doplnení niektorých zákonov</w:t>
            </w:r>
          </w:p>
          <w:p w:rsidR="1033436C" w:rsidP="1033436C" w:rsidRDefault="1033436C" w14:paraId="1209F48E" w14:textId="033C212E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Vyhláška Ministerstva zdravotníctva Slovenskej republiky č. 341/2013 Z. z., ktorou sa ustanovuje cezhraničná zdravotná starostlivosť, ktorá podlieha predchádzajúcemu súhlasu príslušnej zdravotnej poisťovne na účely jej preplatenia</w:t>
            </w:r>
          </w:p>
          <w:p w:rsidR="1033436C" w:rsidP="1033436C" w:rsidRDefault="1033436C" w14:paraId="1D39ADE9" w14:textId="59BFFBFB">
            <w:pPr>
              <w:spacing w:before="240" w:beforeAutospacing="off" w:after="0" w:afterAutospacing="off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Vyhláška Ministerstva zdravotníctva Slovenskej republiky č. 232/2014 Z. z., ktorou sa upravuje postup poskytovateľa zdravotnej starostlivosti, zdravotnej poisťovne a Úradu pre dohľad nad zdravotnou starostlivosťou pri poskytovaní cezhraničnej zdravotnej starostlivosti.</w:t>
            </w:r>
          </w:p>
        </w:tc>
      </w:tr>
      <w:tr w:rsidR="1033436C" w:rsidTr="1033436C" w14:paraId="7C3CDB8C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136084CF" w14:textId="5BC3E0D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77377A74" w14:textId="5E94EF7E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1033436C" w:rsidP="1033436C" w:rsidRDefault="1033436C" w14:paraId="2D93FF65" w14:textId="6F3BB006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1033436C" w:rsidTr="1033436C" w14:paraId="046018EF">
        <w:trPr>
          <w:trHeight w:val="300"/>
        </w:trPr>
        <w:tc>
          <w:tcPr>
            <w:tcW w:w="453" w:type="dxa"/>
            <w:tcMar/>
            <w:vAlign w:val="top"/>
          </w:tcPr>
          <w:p w:rsidR="1033436C" w:rsidP="1033436C" w:rsidRDefault="1033436C" w14:paraId="74790F6C" w14:textId="3325329B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5.</w:t>
            </w:r>
          </w:p>
        </w:tc>
        <w:tc>
          <w:tcPr>
            <w:tcW w:w="8607" w:type="dxa"/>
            <w:gridSpan w:val="2"/>
            <w:tcMar/>
            <w:vAlign w:val="top"/>
          </w:tcPr>
          <w:p w:rsidR="1033436C" w:rsidP="1033436C" w:rsidRDefault="1033436C" w14:paraId="52449EA6" w14:textId="25DF675A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Návrh zákona je zlučiteľný s právom Európskej únie </w:t>
            </w:r>
          </w:p>
        </w:tc>
      </w:tr>
      <w:tr w:rsidR="1033436C" w:rsidTr="1033436C" w14:paraId="6D35CF2A">
        <w:trPr>
          <w:trHeight w:val="75"/>
        </w:trPr>
        <w:tc>
          <w:tcPr>
            <w:tcW w:w="453" w:type="dxa"/>
            <w:tcMar/>
            <w:vAlign w:val="top"/>
          </w:tcPr>
          <w:p w:rsidR="1033436C" w:rsidP="1033436C" w:rsidRDefault="1033436C" w14:paraId="545C483E" w14:textId="5FE287B3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272" w:type="dxa"/>
            <w:tcMar/>
            <w:vAlign w:val="top"/>
          </w:tcPr>
          <w:p w:rsidR="1033436C" w:rsidP="1033436C" w:rsidRDefault="1033436C" w14:paraId="223E2B2C" w14:textId="540B003D">
            <w:pPr>
              <w:spacing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8335" w:type="dxa"/>
            <w:tcMar/>
            <w:vAlign w:val="center"/>
          </w:tcPr>
          <w:p w:rsidR="1033436C" w:rsidP="1033436C" w:rsidRDefault="1033436C" w14:paraId="52BD98EF" w14:textId="58731E71">
            <w:pPr>
              <w:spacing w:before="0" w:beforeAutospacing="off" w:after="0" w:afterAutospacing="off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033436C" w:rsidR="1033436C">
              <w:rPr>
                <w:rFonts w:ascii="Times New Roman" w:hAnsi="Times New Roman" w:eastAsia="Times New Roman" w:cs="Times New Roman"/>
                <w:sz w:val="24"/>
                <w:szCs w:val="24"/>
              </w:rPr>
              <w:t>Stupeň zlučiteľnosti – úplný.</w:t>
            </w:r>
          </w:p>
        </w:tc>
      </w:tr>
    </w:tbl>
    <w:p xmlns:wp14="http://schemas.microsoft.com/office/word/2010/wordml" w:rsidR="00E50350" w:rsidP="1033436C" w:rsidRDefault="00E50350" w14:paraId="4DDBEF00" wp14:textId="1806C04D">
      <w:pPr>
        <w:pStyle w:val="Normlny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="00E5035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3">
    <w:nsid w:val="3fc93c65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28c0c022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b153f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&quot;,serif" w:hAnsi="&quot;Times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0f9b7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&quot;,serif" w:hAnsi="&quot;Times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5c71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&quot;,serif" w:hAnsi="&quot;Times&quot;,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82f93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205ac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b9009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681b0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2bacd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c9ece5f"/>
    <w:multiLevelType xmlns:w="http://schemas.openxmlformats.org/wordprocessingml/2006/main" w:val="hybridMultilevel"/>
    <w:lvl xmlns:w="http://schemas.openxmlformats.org/wordprocessingml/2006/main" w:ilvl="0">
      <w:start w:val="3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2732014"/>
    <w:multiLevelType xmlns:w="http://schemas.openxmlformats.org/wordprocessingml/2006/main" w:val="hybridMultilevel"/>
    <w:lvl xmlns:w="http://schemas.openxmlformats.org/wordprocessingml/2006/main" w:ilvl="0">
      <w:start w:val="2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185497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53646D2B"/>
    <w:multiLevelType w:val="hybridMultilevel"/>
    <w:tmpl w:val="77AC68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AB"/>
    <w:rsid w:val="008112AB"/>
    <w:rsid w:val="00E50350"/>
    <w:rsid w:val="1033436C"/>
    <w:rsid w:val="19A634CF"/>
    <w:rsid w:val="203533BA"/>
    <w:rsid w:val="331090D2"/>
    <w:rsid w:val="331090D2"/>
    <w:rsid w:val="36D170B7"/>
    <w:rsid w:val="427D786B"/>
    <w:rsid w:val="4495299A"/>
    <w:rsid w:val="548026D8"/>
    <w:rsid w:val="5E66D21F"/>
    <w:rsid w:val="63AC5A41"/>
    <w:rsid w:val="6BB66BE3"/>
    <w:rsid w:val="70794EA5"/>
    <w:rsid w:val="773440F6"/>
    <w:rsid w:val="7A98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B7096"/>
  <w15:chartTrackingRefBased/>
  <w15:docId w15:val="{C36076AB-5A79-4D11-B028-EC02A8DCD4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8112AB"/>
    <w:pPr>
      <w:spacing w:after="200" w:line="276" w:lineRule="auto"/>
    </w:pPr>
    <w:rPr>
      <w:rFonts w:ascii="Calibri" w:hAnsi="Calibri" w:eastAsia="Calibri" w:cs="Times New Roman"/>
    </w:r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lny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lnatabuka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8B2F721E73E849A2346974B4C8BC1A" ma:contentTypeVersion="4" ma:contentTypeDescription="Umožňuje vytvoriť nový dokument." ma:contentTypeScope="" ma:versionID="120c83c08e928355658f3546468d60f2">
  <xsd:schema xmlns:xsd="http://www.w3.org/2001/XMLSchema" xmlns:xs="http://www.w3.org/2001/XMLSchema" xmlns:p="http://schemas.microsoft.com/office/2006/metadata/properties" xmlns:ns2="9a5e1bb0-976f-4cc1-9bad-92f1a590c95e" targetNamespace="http://schemas.microsoft.com/office/2006/metadata/properties" ma:root="true" ma:fieldsID="8d3f77a1edc22efea109265c234890bb" ns2:_="">
    <xsd:import namespace="9a5e1bb0-976f-4cc1-9bad-92f1a590c9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e1bb0-976f-4cc1-9bad-92f1a590c9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33CCE-0F2A-4FEE-84FE-63A032202DE1}"/>
</file>

<file path=customXml/itemProps2.xml><?xml version="1.0" encoding="utf-8"?>
<ds:datastoreItem xmlns:ds="http://schemas.openxmlformats.org/officeDocument/2006/customXml" ds:itemID="{E6B1B98F-2F1D-4D5F-9772-9B1A9CEE2832}"/>
</file>

<file path=customXml/itemProps3.xml><?xml version="1.0" encoding="utf-8"?>
<ds:datastoreItem xmlns:ds="http://schemas.openxmlformats.org/officeDocument/2006/customXml" ds:itemID="{4D950742-AEC9-43CC-A601-5C18770113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MZ SR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Povalová Lucia</dc:creator>
  <cp:keywords/>
  <dc:description/>
  <cp:lastModifiedBy>Földesová Motajová Zuzana</cp:lastModifiedBy>
  <cp:revision>4</cp:revision>
  <dcterms:created xsi:type="dcterms:W3CDTF">2024-07-22T08:39:00Z</dcterms:created>
  <dcterms:modified xsi:type="dcterms:W3CDTF">2024-09-24T21:23:18Z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0x010100B18B2F721E73E849A2346974B4C8BC1A</vt:lpwstr>
  </property>
</Properties>
</file>