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023AEC" w:rsidRPr="006B48F4" w:rsidTr="00FC68D9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6B4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023AEC" w:rsidRPr="006B48F4" w:rsidRDefault="00023AEC" w:rsidP="00FC68D9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023AEC" w:rsidRPr="006B48F4" w:rsidTr="00FC68D9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  <w:r w:rsidRPr="006B48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023AEC" w:rsidRPr="006B48F4" w:rsidTr="00FC68D9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8.1.1 Spôsobí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</w:tc>
      </w:tr>
      <w:tr w:rsidR="00023AEC" w:rsidRPr="006B48F4" w:rsidTr="00FC68D9">
        <w:trPr>
          <w:trHeight w:val="54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0AF2" w:rsidRPr="006B48F4" w:rsidRDefault="00550AF2" w:rsidP="00550AF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hAnsi="Times New Roman" w:cs="Times New Roman"/>
                <w:sz w:val="20"/>
                <w:szCs w:val="20"/>
              </w:rPr>
              <w:t xml:space="preserve">Zaradenie chráneného svedka do programu ochrany podľa navrhovanej právnej úpravy môže mať za následok zmenu rodinného prostredia, nakoľko jednou z možností ochrany v prípade hroziaceho nebezpečenstva je relokácia a vzhľadom na rozlohu Slovenskej republiky sa tento druh ochrany vykonáva aj v rámci ostatných štátov. </w:t>
            </w:r>
          </w:p>
          <w:p w:rsidR="00550AF2" w:rsidRPr="006B48F4" w:rsidRDefault="00550AF2" w:rsidP="0055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hAnsi="Times New Roman" w:cs="Times New Roman"/>
                <w:sz w:val="20"/>
                <w:szCs w:val="20"/>
              </w:rPr>
              <w:t>Pri posudzovaní vplyvov sa brali do úvahy skúsenosti získané za viac ako dve dekády vykonávania programu ochrany, pričom dôslednou kvalitatívnou analýzou boli identifikované vplyvy:</w:t>
            </w:r>
          </w:p>
          <w:p w:rsidR="00550AF2" w:rsidRDefault="00550AF2" w:rsidP="00D461A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1AD">
              <w:rPr>
                <w:rFonts w:ascii="Times New Roman" w:hAnsi="Times New Roman" w:cs="Times New Roman"/>
                <w:sz w:val="20"/>
                <w:szCs w:val="20"/>
              </w:rPr>
              <w:t xml:space="preserve">pozitívne: </w:t>
            </w:r>
            <w:r w:rsidRPr="00D46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zvýšenie bezpečia pre všetkých členov rodiny, upevnenie sociálnych väzieb osôb v programe ochrany, pretrhnutie väzieb s kriminálnym prostredím, prechod z chaosu do stabilnejších podmienok, </w:t>
            </w:r>
            <w:r w:rsidR="00E7222E">
              <w:rPr>
                <w:rFonts w:ascii="Times New Roman" w:eastAsia="Times New Roman" w:hAnsi="Times New Roman" w:cs="Times New Roman"/>
                <w:sz w:val="20"/>
                <w:szCs w:val="20"/>
              </w:rPr>
              <w:t>peňažná</w:t>
            </w:r>
            <w:r w:rsidRPr="00D46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podpora (štandardné zabezpečenie), vytvorenie zázemia pre nové bývanie mimo nebezpečných a ohrozujúcich vplyvov na život jednotlivých členov rodiny, zvýšenie psychickej pohody a zníženie stresujúcich faktorov, čo  má vplyv aj na celkový zdravotný stav jednotlivcov (psychosomatika),</w:t>
            </w:r>
          </w:p>
          <w:p w:rsidR="00D765D1" w:rsidRPr="00D461AD" w:rsidRDefault="00550AF2" w:rsidP="00D461A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1AD">
              <w:rPr>
                <w:rFonts w:ascii="Times New Roman" w:eastAsia="Times New Roman" w:hAnsi="Times New Roman" w:cs="Times New Roman"/>
                <w:sz w:val="20"/>
                <w:szCs w:val="20"/>
              </w:rPr>
              <w:t>negatívne: možné a očakávané sú problémy s adaptáciou na výraznú zmenu vo fungovaní rodiny - nové fyzické aj sociálne prostredie, limitácia v budovaní a udržiavaní sociálnych kontaktoch a s tým spojené negatívne vplyvy vyplývajúce z obmedzení programu ochrany na psychiku jednotlivcov, nutnosť dodržiavania bezpečnostných opatrení a s tým spojená zmena zaužívaný</w:t>
            </w:r>
            <w:r w:rsidR="00D461AD" w:rsidRPr="00D461AD">
              <w:rPr>
                <w:rFonts w:ascii="Times New Roman" w:eastAsia="Times New Roman" w:hAnsi="Times New Roman" w:cs="Times New Roman"/>
                <w:sz w:val="20"/>
                <w:szCs w:val="20"/>
              </w:rPr>
              <w:t>ch štandardov fungovania rodiny;</w:t>
            </w:r>
            <w:r w:rsidRPr="00D46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zaradenie do programu je spojené s obmedzením dovtedy užívanej osobnej slobody v oblasti pohybu, komunikácie a práce.</w:t>
            </w:r>
            <w:r w:rsidR="00D765D1" w:rsidRPr="00D46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AEC" w:rsidRPr="006B48F4" w:rsidRDefault="00D765D1" w:rsidP="00D765D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hAnsi="Times New Roman" w:cs="Times New Roman"/>
                <w:sz w:val="20"/>
                <w:szCs w:val="20"/>
              </w:rPr>
              <w:t>Informácie o počte osôb v programe ochrany sú predmetom ochrany a predstavujú utajovanú skutočnosť a z uvedeného dôvodu nebude kvantifikácia vyjadrená.</w:t>
            </w:r>
          </w:p>
        </w:tc>
      </w:tr>
      <w:tr w:rsidR="00023AEC" w:rsidRPr="006B48F4" w:rsidTr="00FC68D9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8.1.2 Môže dôjsť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023AEC" w:rsidRPr="006B48F4" w:rsidTr="00FC68D9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50AF2" w:rsidRPr="006B48F4" w:rsidRDefault="00550AF2" w:rsidP="00550A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Existencia </w:t>
                  </w:r>
                  <w:r w:rsidR="00D461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 fungovanie 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osôb v programe ochrany je sprevádzané pomerne silným tlakom na osobnosť, nakoľko dochádza k zmenám v oblasti vzťahov a osoby v programe ochrany sa musia vysporiadať s obmedzeniami, ktoré vyplývajú zo štatútu ochrany. V tejto oblasti boli identifikované :</w:t>
                  </w:r>
                </w:p>
                <w:p w:rsidR="00550AF2" w:rsidRPr="006B48F4" w:rsidRDefault="00550AF2" w:rsidP="00550AF2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ind w:left="357" w:hanging="357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pozitívne vplyvy: cieľom zaradenia do programu ochrany je zaistenie bezpečnosti osoby/osôb, čo predpokladá nie štandardné fungovanie týchto osôb v minulosti, zaradenie do programu výrazne znižuje riziko ohrozenia ich života a zdravia a ponúka možnosť začať budovať zdravšie rodinné prostredie,</w:t>
                  </w:r>
                </w:p>
                <w:p w:rsidR="00550AF2" w:rsidRPr="006B48F4" w:rsidRDefault="00550AF2" w:rsidP="00550AF2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ind w:left="357" w:hanging="357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negatívne vplyvy: pocity izolácie a osamelosti v dôsledku náhleho odstrihnutia od pôvodných kontaktov.</w:t>
                  </w:r>
                </w:p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8.1.3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záchovnej hodnoty populácie? </w:t>
            </w:r>
          </w:p>
        </w:tc>
      </w:tr>
      <w:tr w:rsidR="00023AEC" w:rsidRPr="006B48F4" w:rsidTr="00FC68D9">
        <w:trPr>
          <w:trHeight w:val="681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Dopady na demografický rast identifikované neboli. 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8.1.4 Má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023AEC" w:rsidRPr="006B48F4" w:rsidTr="00D461AD">
              <w:trPr>
                <w:trHeight w:val="558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AEC" w:rsidRPr="006B48F4" w:rsidRDefault="00023AEC" w:rsidP="00D461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Návrh nekladie prekážky, ktoré by bránili rodičom dosiahnuť želaný počet detí, práve naopak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zaradením do programu ochrany má chránený svedok možnosť získavať pravideln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ý mesačný finančný </w:t>
                  </w:r>
                  <w:r w:rsidRPr="0021284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príspevok </w:t>
                  </w:r>
                  <w:r w:rsidRPr="00212840">
                    <w:rPr>
                      <w:rFonts w:ascii="Times New Roman" w:hAnsi="Times New Roman"/>
                      <w:sz w:val="20"/>
                      <w:szCs w:val="20"/>
                      <w:u w:color="202124"/>
                    </w:rPr>
                    <w:t xml:space="preserve">do výšky priemernej nominálnej </w:t>
                  </w:r>
                  <w:r w:rsidR="00E7222E" w:rsidRPr="00E7222E">
                    <w:rPr>
                      <w:rFonts w:ascii="Times New Roman" w:hAnsi="Times New Roman"/>
                      <w:sz w:val="20"/>
                      <w:szCs w:val="20"/>
                      <w:u w:color="202124"/>
                    </w:rPr>
                    <w:t xml:space="preserve">mesačnej mzdy zamestnanca v  hospodárstve Slovenskej republiky </w:t>
                  </w:r>
                  <w:r w:rsidR="00E7222E" w:rsidRPr="00E7222E">
                    <w:rPr>
                      <w:rFonts w:ascii="Times New Roman" w:hAnsi="Times New Roman"/>
                      <w:sz w:val="20"/>
                      <w:szCs w:val="20"/>
                    </w:rPr>
                    <w:t>zistenej Štatistickým úradom Slovenskej republiky</w:t>
                  </w:r>
                  <w:r w:rsidR="00E7222E" w:rsidRPr="004326C6">
                    <w:rPr>
                      <w:rFonts w:ascii="Times New Roman" w:hAnsi="Times New Roman"/>
                      <w:sz w:val="24"/>
                      <w:szCs w:val="24"/>
                      <w:u w:color="202124"/>
                    </w:rPr>
                    <w:t xml:space="preserve"> </w:t>
                  </w:r>
                  <w:r w:rsidRPr="0021284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zabezpečenie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jeho základných a špecifických potrieb</w:t>
                  </w:r>
                  <w:r w:rsidRPr="0021284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čím zároveň získava príležit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osti začať odznova mimo kriminálneho prostredia za predpokladu dodržiavania pravidiel programu.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Útvar Policajného zboru je oprávnený v odôvodnených prípadoch chránenému sved</w:t>
                  </w:r>
                  <w:r w:rsidR="00E722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kovi poskytnúť mimoriadny peňaž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 príspevok</w:t>
                  </w:r>
                  <w:r w:rsidR="00414C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ako aj </w:t>
                  </w:r>
                  <w:r w:rsidR="00E722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peňaž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 w:rsidR="00414C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 pôžičku</w:t>
                  </w:r>
                  <w:r w:rsidRPr="0089033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základe týchto skutočností môžeme usudzovať, že p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rogram ochrany môže mať potenciál na odstraňovaní prekážok, ktoré bránia pracujúcim rodičom dosiahnuť želaný počet detí.</w:t>
                  </w:r>
                </w:p>
              </w:tc>
            </w:tr>
          </w:tbl>
          <w:p w:rsidR="00023AEC" w:rsidRPr="006B48F4" w:rsidRDefault="00D461AD" w:rsidP="00D461AD">
            <w:pPr>
              <w:tabs>
                <w:tab w:val="left" w:pos="571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ab/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8.1.5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023AEC" w:rsidRPr="006B48F4" w:rsidTr="00FC68D9">
        <w:trPr>
          <w:trHeight w:val="539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Navrhovanou úpravou boli identifikované:</w:t>
            </w:r>
          </w:p>
          <w:p w:rsidR="00023AEC" w:rsidRPr="006B48F4" w:rsidRDefault="00023AEC" w:rsidP="00023AEC">
            <w:pPr>
              <w:pStyle w:val="Odsekzoznamu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pozitívne vplyvy na realizáciu rodinného života - zaradenie do programu ochrany potenciálne zvyšuje množstvo času a príležitostí pre rodičov aj pre deti na realizáciu rodinného života, a to na základe stabilizácie životných podmienok a úrovne prostredníctvom poskytovania psychologickej podpory, </w:t>
            </w:r>
          </w:p>
          <w:p w:rsidR="00023AEC" w:rsidRPr="006B48F4" w:rsidRDefault="00023AEC" w:rsidP="00023AEC">
            <w:pPr>
              <w:pStyle w:val="Odsekzoznamu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negatívne vplyvy na realizáciu rodinného života - vytrhnutie z pôvodného sociálneho prostredia môže byť náročné na adaptáciu pre všetkých členov rodiny a zvlášť pre dospievajúcich v kritickom období veku 12 až 17 rokov, zároveň sú limitované príležitosti pre nadväzovanie nových sociálnych kontaktov z dôvodu zachovania bezpečia a eliminovania ohrozenia.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8.1.6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Identifikovaný bol pozitívny vplyv - zaradenie do programu ochrany je v priamom rozpore s prenikaním látkových alebo nelátkových závislostí do rodiny.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3AEC" w:rsidRPr="006B48F4" w:rsidRDefault="00023AEC" w:rsidP="00023A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AEC" w:rsidRPr="006B48F4" w:rsidRDefault="00023AEC" w:rsidP="00023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023AEC" w:rsidRPr="006B48F4" w:rsidTr="00FC68D9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Identifikujte, popíšte a kvantifikujte vplyvy na vzájomnú súdržnosť členov rodiny.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8.2.1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Pr="006B48F4">
              <w:t xml:space="preserve"> 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Nie je možné predikovať konkrétny dopad navrhovanej právnej úpravy, avšak nemožno pochybovať o vplyve programu ochrany na vzájomnú súdržnosť členov rodiny. Pri posudzovaní faktora súdržnosti je potrebné prihliadať na schopnosť človeka vysporiadať sa s novými skutočnosťami a s nastavenými pravidlami a podmienkami. Na základe skúseností môžeme uviesť:</w:t>
            </w:r>
          </w:p>
          <w:p w:rsidR="00023AEC" w:rsidRPr="006B48F4" w:rsidRDefault="00023AEC" w:rsidP="00023AE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pozitívne vplyvy: obmedzenia súvisiace s programom ochrany môžu prispieť k stmeleniu a dosiahnutiu väčšej súdržnosti medzi jednotlivými členmi rodiny, nakoľko pre zachovanie rodinného bezpečia je nutné naučiť sa fungovať v nových životných podmienkach, k čomu je potrebná vzájomná dôvera, otvorená komunikácia, spolupráca, ako aj ostražitosť voči vonkajším vplyvom,</w:t>
            </w:r>
          </w:p>
          <w:p w:rsidR="00023AEC" w:rsidRPr="006B48F4" w:rsidRDefault="00023AEC" w:rsidP="00023AE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negatívne vplyvy: zaradením do programu prichádza k významným zmenám vo fungovaní rodiny, akceptovanie a prispôsobenie sa novým pravidlám môže byť pre jednotlivých členov rodiny náročné a stresujúce, s negatívnym dopadom na vzťahy vo vnútri rodiny.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8.2.2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môže mať pozitívny vplyv na väzby medzi členmi rodiny, nakoľko ochrana a pomoc sa môže poskytovať, za predpokladu, že sú splnené podmienky, i blízkej osobe podľa § 116 Občianskeho zákonníka</w:t>
            </w:r>
            <w:r w:rsidRPr="006B48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Zaradenie chráneného svedka a jeho najbližších do programu ochrany môže mať i negatívny vplyv na väzby medzi členmi širšej rodiny, nakoľko rodina je vytrhnutá zo širších rodinných väzieb s nutnosťou zachovávať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mlčanlivosť a rešpektovať obmedzenia vyplývajúce z programu ochrany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Aby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však 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predišlo negatívnym dopadom je osobám v programe ochrany poskytovaná psychologická pomoc a podpora.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8.2.3 Má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023AEC" w:rsidRPr="006B48F4" w:rsidTr="00FC68D9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Navrhovaná právna úprava môže mať vplyv na obnovenie alebo záchranu rodiny, nakoľko každý chránený svedok inak zvláda nároky a obmedzenia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programu ochrany.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Priznaním štatútu ochrany u chráneného svedka dochádza k zásahu do jeho súčasného života, zvyšujú sa nároky na osobnosť, vyžaduje sa zmena správania, postojov, návykov a vzťahov, svedok sa musí vysporiadať s novými skutočnosťami a dodržiavať povinnosti vyplývajúce z programu ochrany, ktoré pre niekoho v programe ochrany môžu predstavovať záchranné koleso a v prípade inej osoby môže veľká psychická záťaž súvisiaca s programom ochrany viesť k rozpadu rodiny. Je to však individuálne a závisí to prípad od prípadu. Je dôležité, aby si chránený svedok uvedomil, že opatrenia 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vyplývajúce z programu ochrany jemu a svojim blízkym poskytnú účinnú ochranu a zároveň môžu predstavovať možnosť pre obnovenie a záchranu rodiny. </w:t>
                  </w:r>
                </w:p>
              </w:tc>
            </w:tr>
          </w:tbl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8.2.4 Má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023AEC" w:rsidRPr="006B48F4" w:rsidTr="00FC68D9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základe skúseností z programu ochrany je možné konštatovať, že stabi</w:t>
                  </w:r>
                  <w:r w:rsidR="00D461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lizáciou rodinných podmienok po 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zaradení sve</w:t>
                  </w:r>
                  <w:r w:rsidR="00AD72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dka a jeho rodiny do programu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môže znížiť potenciál pre vznik alebo pretrvávanie konfliktov medzi členmi rodiny.</w:t>
                  </w:r>
                </w:p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Výrazná zmena životných aj rodinných podmienok súvisiaca so zaradením do programu ochrany môže byť spúšťačom nových konfliktov, prípadne ďalším negatívnym faktorom pre udržiavanie či zintenzívnenie starých konfliktov medzi členmi rodiny. </w:t>
                  </w:r>
                </w:p>
                <w:p w:rsidR="00023AEC" w:rsidRPr="006B48F4" w:rsidRDefault="00AD72EA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 w:rsidR="00023AEC"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yrovnanie sa svedka s nárokmi a obmedzeniami vyplývajúcimi zo štatútu ochrany je veľmi náročné. Je to obdobie, v ktorom ku konfliktom medzi členmi rodiny dochádzať môže, pričom úlohou komisie, ktorá rozhoduje o zaradení ohrozeného svedka do programu ochrany, ako aj útvaru Policajného zboru, ktorý program ochrany realizuje je, aby posúdil  schopnosť ohrozeného svedka zvládnuť nároky a obmedzenia súvisiace s programom ochrany a v prípade, že takáto situácia nastane v programe ochrany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="00023AEC"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je úlohou útvaru poskytnúť osobám v programe ochrany psychologickú pomoc a podporu. </w:t>
                  </w:r>
                </w:p>
              </w:tc>
            </w:tr>
          </w:tbl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8.2.5 Má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023AEC" w:rsidRPr="006B48F4" w:rsidTr="00FC68D9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AEC" w:rsidRPr="006B48F4" w:rsidRDefault="00023AEC" w:rsidP="00FC68D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rogram ochrany 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s ním súvisiace 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dodržiavanie stanovených pravidiel umožňuje chráneným osobám budovať stabilné rodinné zázemie, čo by nebolo možné v pôvodných podmienkach pod vplyvom kriminálneho prostredia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(v prípade, že chránený svedok z takéhoto prostredia pochádza)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kde hrozí vyššie riziko negatívnych vplyvov na vzťahy v rodine a na rozpad rodiny.</w:t>
                  </w:r>
                </w:p>
                <w:p w:rsidR="00023AEC" w:rsidRDefault="00023AEC" w:rsidP="00AD72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Zraniteľn</w:t>
                  </w:r>
                  <w:r w:rsidR="00AD72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osť rodiny založenej manželstvom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je v súvislosti s obmedzeniami vyplývajúcimi z programu ochrany väčšia. Nemožno však explicitne povedať, že za r</w:t>
                  </w:r>
                  <w:r w:rsidR="00AD72E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ozpadom rodiny by boli len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obmedzenia súvisiace s programom ochrany.</w:t>
                  </w:r>
                </w:p>
                <w:p w:rsidR="00D461AD" w:rsidRPr="006B48F4" w:rsidRDefault="00D461AD" w:rsidP="00AD72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23AEC" w:rsidRPr="006B48F4" w:rsidRDefault="00023AEC" w:rsidP="00FC68D9"/>
        </w:tc>
      </w:tr>
      <w:tr w:rsidR="00023AEC" w:rsidRPr="006B48F4" w:rsidTr="00FC68D9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8.2.6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prípade odkázanosti niektorého z členov rodiny na pomoc sme neidentifikovali zníženie ani zvýšenie dostupnosti adekvátnej štátnej pomoci. 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3AEC" w:rsidRPr="006B48F4" w:rsidRDefault="00023AEC" w:rsidP="00023AEC"/>
    <w:p w:rsidR="00DD3AE5" w:rsidRDefault="00DD3AE5">
      <w:r>
        <w:br w:type="page"/>
      </w:r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023AEC" w:rsidRPr="006B48F4" w:rsidTr="00FC68D9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8.3 Identifikujte a popíšte vplyvy na výchovu detí.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8.3.1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Eliminovanie kriminálnych javov, stabilizácia prostredia, zvýšenie pocitu bezpečia v rodine, posilňovanie sociálnych vzťahov prostredníctvom vzájomného kontaktu, harmonický vývoj detí, zlepšenie psychického aj fyzického zdravia rodičov predstavujú faktory, ktoré sme identifikovali a do výchovy detí sa môžu premietnuť pozitívne.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8.3.2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023AEC" w:rsidRPr="006B48F4" w:rsidTr="00FC68D9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rodinách sa dbá na kvalitné vzťahy a výchovu detí, na pozitívne modely správania, vnímajú sa potreby detí a prihliada sa na rôznorodosť rodín, avšak nevnucuje sa a nezasahuje do autonómie a sebaregulácie rodiny.  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8.3.3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023AEC" w:rsidRPr="006B48F4" w:rsidTr="00FC68D9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Dodržiavaním podmienok programu ochrany sa vytvára priestor na vybudovanie a udržanie stabilného rodinného prostredia – funkčnej rodiny s pozitívnymi vzormi pre výchovu detí k manželstvu a rodičovstvu. 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 Identifikujte a popíšte vplyvy na práva rodičov voči deťom.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8.4.1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023AEC" w:rsidRPr="006B48F4" w:rsidTr="00FC68D9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Default="00023AEC" w:rsidP="00FC68D9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programu ochrany môže byť spolu s chráneným svedkom zaradený i príbuzný v priamom rade, t. j. potomok, pričom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výkon opatrení vyplývajúcich z 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programu ochrany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vyžaduje súhlas oboch rodičov.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prípade, že maloletá osoba žije v spoločnej domácnosti len s jedným z rodičov, ktorý je ohrozeným svedkom, útvar informuje aj druhého rodiča, ak tomu nebráni dôležitý záujem, čomu predchádza vyhodnotenie bezpečnostným hrozieb. </w:t>
            </w:r>
          </w:p>
          <w:p w:rsidR="00023AEC" w:rsidRPr="006B48F4" w:rsidRDefault="00023AEC" w:rsidP="00FC68D9">
            <w:pPr>
              <w:spacing w:after="0"/>
              <w:jc w:val="both"/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tejto súvislosti zdôrazňujeme, že v 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programe ochrany zostávajú nedotknuté práva a zodpovednosti rodičov voči deťom, ktoré sú definované v Zákone o rodine (sústavná a dôsledná starostlivosť o výchovu, zdravie, výživu a všestranný vývin maloletých, zastupovanie maloletých, správa majetku maloletých).</w:t>
            </w:r>
          </w:p>
        </w:tc>
      </w:tr>
      <w:tr w:rsidR="00023AEC" w:rsidRPr="006B48F4" w:rsidTr="00FC68D9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 Identifikujte a popíšte vplyvy na základné zásady zákona o rodine.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8.5.1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023AEC" w:rsidRPr="006B48F4" w:rsidTr="00FC68D9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hAnsi="Times New Roman" w:cs="Times New Roman"/>
                <w:sz w:val="20"/>
                <w:szCs w:val="20"/>
              </w:rPr>
              <w:t>Vplyv na chránené záujmy vyplývajúce zo zásad zákona o rodine navrhovaná právna úprava nemá, tie zostávajú nedotknuté.</w:t>
            </w:r>
          </w:p>
        </w:tc>
      </w:tr>
      <w:tr w:rsidR="00023AEC" w:rsidRPr="006B48F4" w:rsidTr="00FC68D9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 Identifikujte a popíšte vplyvy na uzavieranie manželstva.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8.6.1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023AEC" w:rsidRPr="006B48F4" w:rsidTr="00FC68D9">
        <w:trPr>
          <w:trHeight w:val="688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Zaradenie do programu ochrany zvyšuje možnosť integrovať sa do spoločnosti bez stigmy z väzenia, bez dlhov a exekúcií a s finančnou nezávislosťou, čo môže mať pozitívny vplyv na uzavretie manželstva.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Zmena identity so sebou prináša nutnosť zakrývania minulosti, čo môže limitovať pri vytváraní blízkych a dôverných vzťahov a byť do určitej miery prekážkou na uzavretie manželstva.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8.6.2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Predložený návrh nemá vplyv na preferovaný čas vstupu do manželstva.</w:t>
            </w:r>
          </w:p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8.6.3 Má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023AEC" w:rsidRPr="006B48F4" w:rsidTr="00FC68D9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Stabilizáciou rodinnej situácie sa vytvára priestor pre budovanie pozitívnych rodičovských vzorov s možnosťou zabezpečenia štandardnej informovanosti ohľadom povahy manželstva, záväzkov medzi manželmi, založením rodiny a výchovy detí.</w:t>
                  </w:r>
                </w:p>
              </w:tc>
            </w:tr>
          </w:tbl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023AEC" w:rsidRPr="006B48F4" w:rsidTr="00FC68D9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023AEC" w:rsidRPr="006B48F4" w:rsidRDefault="00023AEC" w:rsidP="00FC68D9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8.6.4 Má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Pr="006B48F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023AEC" w:rsidRPr="006B48F4" w:rsidTr="00FC68D9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23AEC" w:rsidRPr="006B48F4" w:rsidRDefault="00023AEC" w:rsidP="00FC6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23AEC" w:rsidRPr="006B48F4" w:rsidRDefault="00023AEC" w:rsidP="00FC68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 je možné jednoznačne uviesť či obmedzenia a nároky súvisiace s programom ochrany budú predchádzať rozpadom manželstiev, avšak posilňovanie sociálnych väzieb a vzájomný kontakt, ktorému sú členovia rodiny v programe ochrany vystavení</w:t>
                  </w:r>
                  <w:r w:rsidR="00D461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6B48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môžu prispieť k stabilizovaniu rodinného prostredia a udržaniu rodiny a zabrániť tak rozpadu manželstva. </w:t>
                  </w:r>
                </w:p>
              </w:tc>
            </w:tr>
          </w:tbl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AEC" w:rsidRPr="006B48F4" w:rsidTr="00FC68D9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8.7 Identifikujte, popíšte a kvantifikujte vplyvy na disponibilný príjem domácností viacdetných rodín.</w:t>
            </w:r>
          </w:p>
        </w:tc>
      </w:tr>
      <w:tr w:rsidR="00023AEC" w:rsidRPr="006B48F4" w:rsidTr="00FC68D9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023AEC" w:rsidRPr="006B48F4" w:rsidRDefault="00023AEC" w:rsidP="00FC68D9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8.7.1 Má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Pr="006B48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023AEC" w:rsidRPr="006B48F4" w:rsidTr="00FC68D9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23AEC" w:rsidRPr="006B48F4" w:rsidRDefault="00023AEC" w:rsidP="00F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AEC" w:rsidRPr="006B48F4" w:rsidRDefault="00023AEC" w:rsidP="00FC68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Navrhovanou právnou úpravou neboli identifikované vplyvy na disponibilný príjem domácností viacdetných rodín. Útvar Policajného zboru zabezpečí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prostredníctvom pravidelného mesačného </w:t>
            </w:r>
            <w:r w:rsidR="00E7222E">
              <w:rPr>
                <w:rFonts w:ascii="Times New Roman" w:eastAsia="Times New Roman" w:hAnsi="Times New Roman" w:cs="Times New Roman"/>
                <w:sz w:val="20"/>
                <w:szCs w:val="20"/>
              </w:rPr>
              <w:t>peňaž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ného príspevku 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existenčné potreby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chránených svedkov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porovnaní s majetkovými pomermi pred zaradením do programu ochrany, pričom zohľadní základné a špecifické požiadavky rodiny. V odôvodnených prípadoch je oprávnený poskytovať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mimoriadny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222E">
              <w:rPr>
                <w:rFonts w:ascii="Times New Roman" w:eastAsia="Times New Roman" w:hAnsi="Times New Roman" w:cs="Times New Roman"/>
                <w:sz w:val="20"/>
                <w:szCs w:val="20"/>
              </w:rPr>
              <w:t>peňažný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príspevok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čím prispeje k stabilizovaniu a zabezpečeniu fungovania rodiny na štandardnej úrovni. Rovnako je možné v prípade vysporiadania záväzkov voči fyzickej alebo právnickej osobe poskytnúť chránenému svedkovi </w:t>
            </w:r>
            <w:r w:rsidR="00E7222E">
              <w:rPr>
                <w:rFonts w:ascii="Times New Roman" w:eastAsia="Times New Roman" w:hAnsi="Times New Roman" w:cs="Times New Roman"/>
                <w:sz w:val="20"/>
                <w:szCs w:val="20"/>
              </w:rPr>
              <w:t>peňažn</w:t>
            </w:r>
            <w:r w:rsidR="00764DCF">
              <w:rPr>
                <w:rFonts w:ascii="Times New Roman" w:eastAsia="Times New Roman" w:hAnsi="Times New Roman" w:cs="Times New Roman"/>
                <w:sz w:val="20"/>
                <w:szCs w:val="20"/>
              </w:rPr>
              <w:t>ú pôžičku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23AEC" w:rsidRPr="006B48F4" w:rsidRDefault="00023AEC" w:rsidP="00FC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Navrhované 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opatrenia budú mať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rodinu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pozitívny vplyv, nakoľko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prispejú k vzďaľovaniu 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>rodin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B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hranice rizika chudoby.</w:t>
            </w:r>
          </w:p>
        </w:tc>
      </w:tr>
    </w:tbl>
    <w:p w:rsidR="00023AEC" w:rsidRPr="00612E08" w:rsidRDefault="00023AEC"/>
    <w:sectPr w:rsidR="00023AEC" w:rsidRPr="00612E08" w:rsidSect="00D461AD">
      <w:footerReference w:type="default" r:id="rId9"/>
      <w:pgSz w:w="11906" w:h="16838"/>
      <w:pgMar w:top="1135" w:right="1417" w:bottom="993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93" w:rsidRDefault="00092693" w:rsidP="001B23B7">
      <w:pPr>
        <w:spacing w:after="0" w:line="240" w:lineRule="auto"/>
      </w:pPr>
      <w:r>
        <w:separator/>
      </w:r>
    </w:p>
  </w:endnote>
  <w:endnote w:type="continuationSeparator" w:id="0">
    <w:p w:rsidR="00092693" w:rsidRDefault="0009269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0AF2" w:rsidRPr="006045CB" w:rsidRDefault="00550AF2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68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0AF2" w:rsidRDefault="00550A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93" w:rsidRDefault="00092693" w:rsidP="001B23B7">
      <w:pPr>
        <w:spacing w:after="0" w:line="240" w:lineRule="auto"/>
      </w:pPr>
      <w:r>
        <w:separator/>
      </w:r>
    </w:p>
  </w:footnote>
  <w:footnote w:type="continuationSeparator" w:id="0">
    <w:p w:rsidR="00092693" w:rsidRDefault="00092693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522C0"/>
    <w:multiLevelType w:val="hybridMultilevel"/>
    <w:tmpl w:val="3030E97E"/>
    <w:lvl w:ilvl="0" w:tplc="266C488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90D03"/>
    <w:multiLevelType w:val="hybridMultilevel"/>
    <w:tmpl w:val="C54EFA22"/>
    <w:lvl w:ilvl="0" w:tplc="CCC099D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90F74"/>
    <w:multiLevelType w:val="hybridMultilevel"/>
    <w:tmpl w:val="56FC6C66"/>
    <w:lvl w:ilvl="0" w:tplc="2436716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6E8"/>
    <w:multiLevelType w:val="hybridMultilevel"/>
    <w:tmpl w:val="772A1806"/>
    <w:lvl w:ilvl="0" w:tplc="0164A23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27150C"/>
    <w:multiLevelType w:val="hybridMultilevel"/>
    <w:tmpl w:val="E522F274"/>
    <w:lvl w:ilvl="0" w:tplc="A768AB08">
      <w:start w:val="4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5480"/>
    <w:rsid w:val="00023AEC"/>
    <w:rsid w:val="00023FBF"/>
    <w:rsid w:val="00037C0C"/>
    <w:rsid w:val="00043706"/>
    <w:rsid w:val="00092693"/>
    <w:rsid w:val="00097069"/>
    <w:rsid w:val="000B7FBC"/>
    <w:rsid w:val="000C3CAB"/>
    <w:rsid w:val="000D2210"/>
    <w:rsid w:val="000D348F"/>
    <w:rsid w:val="000D60B4"/>
    <w:rsid w:val="000D7E45"/>
    <w:rsid w:val="000E3902"/>
    <w:rsid w:val="000F2BE9"/>
    <w:rsid w:val="001003A1"/>
    <w:rsid w:val="00103840"/>
    <w:rsid w:val="00113AE4"/>
    <w:rsid w:val="0014698F"/>
    <w:rsid w:val="001538AC"/>
    <w:rsid w:val="00156064"/>
    <w:rsid w:val="00183430"/>
    <w:rsid w:val="00187182"/>
    <w:rsid w:val="001A621E"/>
    <w:rsid w:val="001B119C"/>
    <w:rsid w:val="001B23B7"/>
    <w:rsid w:val="001C0EAD"/>
    <w:rsid w:val="001E3562"/>
    <w:rsid w:val="001F3C8D"/>
    <w:rsid w:val="00203EE3"/>
    <w:rsid w:val="00217BEF"/>
    <w:rsid w:val="002243BB"/>
    <w:rsid w:val="00225037"/>
    <w:rsid w:val="0023360B"/>
    <w:rsid w:val="00243652"/>
    <w:rsid w:val="00265B31"/>
    <w:rsid w:val="0027761F"/>
    <w:rsid w:val="002B12F4"/>
    <w:rsid w:val="002B3D65"/>
    <w:rsid w:val="002B6AB2"/>
    <w:rsid w:val="002F13DF"/>
    <w:rsid w:val="002F6ADB"/>
    <w:rsid w:val="003145AE"/>
    <w:rsid w:val="00315A5E"/>
    <w:rsid w:val="003228E5"/>
    <w:rsid w:val="00323A1A"/>
    <w:rsid w:val="00327334"/>
    <w:rsid w:val="0033535F"/>
    <w:rsid w:val="003553ED"/>
    <w:rsid w:val="003661DF"/>
    <w:rsid w:val="00374218"/>
    <w:rsid w:val="003A057B"/>
    <w:rsid w:val="003A2972"/>
    <w:rsid w:val="003A381E"/>
    <w:rsid w:val="003C2E70"/>
    <w:rsid w:val="003C4DF7"/>
    <w:rsid w:val="003E5E1F"/>
    <w:rsid w:val="003F0532"/>
    <w:rsid w:val="00411898"/>
    <w:rsid w:val="00414CB2"/>
    <w:rsid w:val="00431E7B"/>
    <w:rsid w:val="004419EA"/>
    <w:rsid w:val="00444294"/>
    <w:rsid w:val="004905C8"/>
    <w:rsid w:val="0049476D"/>
    <w:rsid w:val="00495223"/>
    <w:rsid w:val="004A4383"/>
    <w:rsid w:val="004C6831"/>
    <w:rsid w:val="005033CB"/>
    <w:rsid w:val="0050476E"/>
    <w:rsid w:val="00535573"/>
    <w:rsid w:val="005430F1"/>
    <w:rsid w:val="0054411B"/>
    <w:rsid w:val="005476C4"/>
    <w:rsid w:val="00550AF2"/>
    <w:rsid w:val="00566356"/>
    <w:rsid w:val="00591EC6"/>
    <w:rsid w:val="00591ED3"/>
    <w:rsid w:val="005B3676"/>
    <w:rsid w:val="005B3913"/>
    <w:rsid w:val="005B54DC"/>
    <w:rsid w:val="005E1842"/>
    <w:rsid w:val="005E5A4B"/>
    <w:rsid w:val="005F2AAD"/>
    <w:rsid w:val="00612E08"/>
    <w:rsid w:val="00654E39"/>
    <w:rsid w:val="0066691C"/>
    <w:rsid w:val="00677972"/>
    <w:rsid w:val="00683772"/>
    <w:rsid w:val="006E0C98"/>
    <w:rsid w:val="006F0B16"/>
    <w:rsid w:val="006F2BC0"/>
    <w:rsid w:val="006F4143"/>
    <w:rsid w:val="006F678E"/>
    <w:rsid w:val="006F6B62"/>
    <w:rsid w:val="006F7758"/>
    <w:rsid w:val="0071768E"/>
    <w:rsid w:val="00720322"/>
    <w:rsid w:val="0073324A"/>
    <w:rsid w:val="00750B4C"/>
    <w:rsid w:val="0075197E"/>
    <w:rsid w:val="00756C2A"/>
    <w:rsid w:val="00761208"/>
    <w:rsid w:val="00764DCF"/>
    <w:rsid w:val="00773AAA"/>
    <w:rsid w:val="007756BE"/>
    <w:rsid w:val="007B40C1"/>
    <w:rsid w:val="007C5312"/>
    <w:rsid w:val="007D6F2C"/>
    <w:rsid w:val="007F17F7"/>
    <w:rsid w:val="007F2F65"/>
    <w:rsid w:val="007F587A"/>
    <w:rsid w:val="0080042A"/>
    <w:rsid w:val="00812AA4"/>
    <w:rsid w:val="0082536A"/>
    <w:rsid w:val="008338C9"/>
    <w:rsid w:val="00864139"/>
    <w:rsid w:val="00865E81"/>
    <w:rsid w:val="00874E06"/>
    <w:rsid w:val="008801B5"/>
    <w:rsid w:val="00881E07"/>
    <w:rsid w:val="008844F3"/>
    <w:rsid w:val="008B222D"/>
    <w:rsid w:val="008C79B7"/>
    <w:rsid w:val="008D3ABF"/>
    <w:rsid w:val="0090036A"/>
    <w:rsid w:val="009131B2"/>
    <w:rsid w:val="00925D26"/>
    <w:rsid w:val="009431E3"/>
    <w:rsid w:val="009475F5"/>
    <w:rsid w:val="00952423"/>
    <w:rsid w:val="009717F5"/>
    <w:rsid w:val="0098472E"/>
    <w:rsid w:val="009B77D5"/>
    <w:rsid w:val="009C1469"/>
    <w:rsid w:val="009C424C"/>
    <w:rsid w:val="009D013A"/>
    <w:rsid w:val="009E09F7"/>
    <w:rsid w:val="009F4832"/>
    <w:rsid w:val="009F55C5"/>
    <w:rsid w:val="00A32E4B"/>
    <w:rsid w:val="00A340BB"/>
    <w:rsid w:val="00A50B32"/>
    <w:rsid w:val="00A60413"/>
    <w:rsid w:val="00A7788F"/>
    <w:rsid w:val="00AA0D73"/>
    <w:rsid w:val="00AA76CC"/>
    <w:rsid w:val="00AC30D6"/>
    <w:rsid w:val="00AD72EA"/>
    <w:rsid w:val="00AE780A"/>
    <w:rsid w:val="00B00B6E"/>
    <w:rsid w:val="00B41C0B"/>
    <w:rsid w:val="00B547F5"/>
    <w:rsid w:val="00B84F87"/>
    <w:rsid w:val="00B948F3"/>
    <w:rsid w:val="00BA2BF4"/>
    <w:rsid w:val="00BA50E8"/>
    <w:rsid w:val="00BA5E3F"/>
    <w:rsid w:val="00BC381C"/>
    <w:rsid w:val="00C30201"/>
    <w:rsid w:val="00C46F6A"/>
    <w:rsid w:val="00C5603B"/>
    <w:rsid w:val="00C56DBD"/>
    <w:rsid w:val="00C775C4"/>
    <w:rsid w:val="00C86714"/>
    <w:rsid w:val="00C94E4E"/>
    <w:rsid w:val="00CB08AE"/>
    <w:rsid w:val="00CB43DA"/>
    <w:rsid w:val="00CD6E04"/>
    <w:rsid w:val="00CE6AAE"/>
    <w:rsid w:val="00CF1A25"/>
    <w:rsid w:val="00D035C3"/>
    <w:rsid w:val="00D07DA6"/>
    <w:rsid w:val="00D2313B"/>
    <w:rsid w:val="00D461AD"/>
    <w:rsid w:val="00D50F1E"/>
    <w:rsid w:val="00D54A24"/>
    <w:rsid w:val="00D75318"/>
    <w:rsid w:val="00D765D1"/>
    <w:rsid w:val="00D8383A"/>
    <w:rsid w:val="00DD3AE5"/>
    <w:rsid w:val="00DD416F"/>
    <w:rsid w:val="00DF357C"/>
    <w:rsid w:val="00DF669A"/>
    <w:rsid w:val="00E00512"/>
    <w:rsid w:val="00E13DF5"/>
    <w:rsid w:val="00E204DC"/>
    <w:rsid w:val="00E440B4"/>
    <w:rsid w:val="00E7222E"/>
    <w:rsid w:val="00E8421D"/>
    <w:rsid w:val="00E876A1"/>
    <w:rsid w:val="00EA020E"/>
    <w:rsid w:val="00EA378E"/>
    <w:rsid w:val="00EA48D1"/>
    <w:rsid w:val="00EB6705"/>
    <w:rsid w:val="00EC4053"/>
    <w:rsid w:val="00ED165A"/>
    <w:rsid w:val="00ED1AC0"/>
    <w:rsid w:val="00EF61E1"/>
    <w:rsid w:val="00F2057C"/>
    <w:rsid w:val="00F30292"/>
    <w:rsid w:val="00F42E6A"/>
    <w:rsid w:val="00F50A84"/>
    <w:rsid w:val="00F50E15"/>
    <w:rsid w:val="00F77419"/>
    <w:rsid w:val="00F87681"/>
    <w:rsid w:val="00FA02DB"/>
    <w:rsid w:val="00FA687A"/>
    <w:rsid w:val="00FC0060"/>
    <w:rsid w:val="00FC68D9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Odsek zoznamu2,body,Odsek zoznamu1,Odsek"/>
    <w:basedOn w:val="Normlny"/>
    <w:link w:val="OdsekzoznamuChar"/>
    <w:uiPriority w:val="34"/>
    <w:qFormat/>
    <w:rsid w:val="00023AEC"/>
    <w:pPr>
      <w:ind w:left="720"/>
      <w:contextualSpacing/>
    </w:pPr>
  </w:style>
  <w:style w:type="paragraph" w:customStyle="1" w:styleId="tl">
    <w:name w:val="Štýl"/>
    <w:rsid w:val="00023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2 Char,body Char,Odsek zoznamu1 Char,Odsek Char"/>
    <w:link w:val="Odsekzoznamu"/>
    <w:uiPriority w:val="34"/>
    <w:qFormat/>
    <w:locked/>
    <w:rsid w:val="00023AEC"/>
  </w:style>
  <w:style w:type="character" w:styleId="Hypertextovprepojenie">
    <w:name w:val="Hyperlink"/>
    <w:basedOn w:val="Predvolenpsmoodseku"/>
    <w:uiPriority w:val="99"/>
    <w:unhideWhenUsed/>
    <w:rsid w:val="000C3CAB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756C2A"/>
    <w:pPr>
      <w:spacing w:after="0" w:line="240" w:lineRule="auto"/>
    </w:pPr>
  </w:style>
  <w:style w:type="character" w:customStyle="1" w:styleId="norm00e1lnychar1">
    <w:name w:val="norm_00e1lny__char1"/>
    <w:rsid w:val="00A32E4B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5FB8AE-E880-4A15-8D49-87F4365B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Nikoleta Fekete</cp:lastModifiedBy>
  <cp:revision>2</cp:revision>
  <cp:lastPrinted>2024-03-20T11:05:00Z</cp:lastPrinted>
  <dcterms:created xsi:type="dcterms:W3CDTF">2024-10-08T09:10:00Z</dcterms:created>
  <dcterms:modified xsi:type="dcterms:W3CDTF">2024-10-08T09:10:00Z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