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jc w:val="center"/>
        <w:rPr>
          <w:rFonts w:cs="Calibri"/>
          <w:b/>
          <w:caps/>
          <w:sz w:val="28"/>
          <w:szCs w:val="28"/>
        </w:rPr>
      </w:pPr>
      <w:r w:rsidRPr="000032C8">
        <w:rPr>
          <w:rFonts w:cs="Calibri"/>
          <w:b/>
          <w:caps/>
          <w:sz w:val="28"/>
          <w:szCs w:val="28"/>
        </w:rPr>
        <w:t>Vyhodnotenie medzirezortného pripomienkového konania</w:t>
      </w:r>
    </w:p>
    <w:p w:rsidR="00927118" w:rsidRPr="00024402" w:rsidRDefault="00927118" w:rsidP="00927118">
      <w:pPr>
        <w:jc w:val="center"/>
      </w:pPr>
    </w:p>
    <w:p w:rsidR="0015334D" w:rsidRDefault="0015334D">
      <w:pPr>
        <w:jc w:val="center"/>
        <w:divId w:val="82920870"/>
        <w:rPr>
          <w:rFonts w:ascii="Times" w:hAnsi="Times" w:cs="Times"/>
          <w:sz w:val="25"/>
          <w:szCs w:val="25"/>
        </w:rPr>
      </w:pPr>
      <w:r>
        <w:rPr>
          <w:rFonts w:ascii="Times" w:hAnsi="Times" w:cs="Times"/>
          <w:sz w:val="25"/>
          <w:szCs w:val="25"/>
        </w:rPr>
        <w:t>Zákon o ochrane svedka a o zmene a doplnení niektorých zákonov</w:t>
      </w:r>
    </w:p>
    <w:p w:rsidR="00927118" w:rsidRPr="00C37CA1" w:rsidRDefault="00927118" w:rsidP="00CE47A6"/>
    <w:tbl>
      <w:tblPr>
        <w:tblW w:w="15314" w:type="dxa"/>
        <w:tblCellMar>
          <w:left w:w="0" w:type="dxa"/>
          <w:right w:w="0" w:type="dxa"/>
        </w:tblCellMar>
        <w:tblLook w:val="0000" w:firstRow="0" w:lastRow="0" w:firstColumn="0" w:lastColumn="0" w:noHBand="0" w:noVBand="0"/>
      </w:tblPr>
      <w:tblGrid>
        <w:gridCol w:w="8647"/>
        <w:gridCol w:w="6667"/>
      </w:tblGrid>
      <w:tr w:rsidR="00927118" w:rsidRPr="00C37CA1" w:rsidTr="00EF4D6B">
        <w:tc>
          <w:tcPr>
            <w:tcW w:w="8647" w:type="dxa"/>
            <w:tcBorders>
              <w:top w:val="nil"/>
              <w:left w:val="nil"/>
              <w:bottom w:val="nil"/>
              <w:right w:val="nil"/>
            </w:tcBorders>
          </w:tcPr>
          <w:p w:rsidR="00927118" w:rsidRPr="00C37CA1" w:rsidRDefault="00927118" w:rsidP="004D0B37">
            <w:pPr>
              <w:rPr>
                <w:rFonts w:cs="Calibri"/>
              </w:rPr>
            </w:pPr>
            <w:r w:rsidRPr="00C37CA1">
              <w:rPr>
                <w:rFonts w:cs="Calibri"/>
              </w:rPr>
              <w:t>Spôsob pripomienkového konania</w:t>
            </w:r>
          </w:p>
        </w:tc>
        <w:tc>
          <w:tcPr>
            <w:tcW w:w="6667" w:type="dxa"/>
            <w:tcBorders>
              <w:top w:val="nil"/>
              <w:left w:val="nil"/>
              <w:bottom w:val="nil"/>
              <w:right w:val="nil"/>
            </w:tcBorders>
          </w:tcPr>
          <w:p w:rsidR="00927118" w:rsidRPr="00C37CA1" w:rsidRDefault="00927118" w:rsidP="00E433A8">
            <w:pPr>
              <w:rPr>
                <w:rFonts w:cs="Calibri"/>
              </w:rPr>
            </w:pPr>
            <w:r w:rsidRPr="00C37CA1">
              <w:rPr>
                <w:rFonts w:cs="Calibri"/>
              </w:rPr>
              <w:t> </w:t>
            </w:r>
            <w:r w:rsidR="00E433A8" w:rsidRPr="00C37CA1">
              <w:rPr>
                <w:rFonts w:cs="Calibri"/>
              </w:rPr>
              <w:t>27. 6. – 19. 7. 2024 – bežný/15 pracovných dní</w:t>
            </w:r>
          </w:p>
        </w:tc>
      </w:tr>
      <w:tr w:rsidR="00A251BF" w:rsidRPr="00C37CA1" w:rsidTr="00EF4D6B">
        <w:tc>
          <w:tcPr>
            <w:tcW w:w="8647" w:type="dxa"/>
            <w:tcBorders>
              <w:top w:val="nil"/>
              <w:left w:val="nil"/>
              <w:bottom w:val="nil"/>
              <w:right w:val="nil"/>
            </w:tcBorders>
          </w:tcPr>
          <w:p w:rsidR="00A251BF" w:rsidRPr="00C37CA1" w:rsidRDefault="00A251BF" w:rsidP="004D0B37">
            <w:pPr>
              <w:rPr>
                <w:rFonts w:cs="Calibri"/>
              </w:rPr>
            </w:pPr>
            <w:r w:rsidRPr="00C37CA1">
              <w:rPr>
                <w:rFonts w:cs="Calibri"/>
              </w:rPr>
              <w:t>Počet vznesených pripomienok, z toho zásadných</w:t>
            </w:r>
          </w:p>
        </w:tc>
        <w:tc>
          <w:tcPr>
            <w:tcW w:w="6667" w:type="dxa"/>
            <w:tcBorders>
              <w:top w:val="nil"/>
              <w:left w:val="nil"/>
              <w:bottom w:val="nil"/>
              <w:right w:val="nil"/>
            </w:tcBorders>
          </w:tcPr>
          <w:p w:rsidR="00A251BF" w:rsidRPr="00C37CA1" w:rsidRDefault="0015334D" w:rsidP="0015334D">
            <w:pPr>
              <w:rPr>
                <w:rFonts w:cs="Calibri"/>
              </w:rPr>
            </w:pPr>
            <w:r w:rsidRPr="00C37CA1">
              <w:rPr>
                <w:rFonts w:ascii="Times" w:hAnsi="Times" w:cs="Times"/>
              </w:rPr>
              <w:t>36 /</w:t>
            </w:r>
            <w:r w:rsidR="00EF4D6B" w:rsidRPr="00C37CA1">
              <w:rPr>
                <w:rFonts w:ascii="Times" w:hAnsi="Times" w:cs="Times"/>
              </w:rPr>
              <w:t xml:space="preserve"> </w:t>
            </w:r>
            <w:r w:rsidR="00082774" w:rsidRPr="00C37CA1">
              <w:rPr>
                <w:rFonts w:ascii="Times" w:hAnsi="Times" w:cs="Times"/>
              </w:rPr>
              <w:t>4</w:t>
            </w:r>
          </w:p>
        </w:tc>
      </w:tr>
      <w:tr w:rsidR="00927118" w:rsidRPr="00C37CA1" w:rsidTr="00EF4D6B">
        <w:tc>
          <w:tcPr>
            <w:tcW w:w="8647" w:type="dxa"/>
            <w:tcBorders>
              <w:top w:val="nil"/>
              <w:left w:val="nil"/>
              <w:bottom w:val="nil"/>
              <w:right w:val="nil"/>
            </w:tcBorders>
          </w:tcPr>
          <w:p w:rsidR="00927118" w:rsidRPr="00C37CA1" w:rsidRDefault="00927118" w:rsidP="004D0B37">
            <w:pPr>
              <w:rPr>
                <w:rFonts w:cs="Calibri"/>
              </w:rPr>
            </w:pPr>
            <w:r w:rsidRPr="00C37CA1">
              <w:rPr>
                <w:rFonts w:cs="Calibri"/>
              </w:rPr>
              <w:t>Počet vyhodnotených pripomienok</w:t>
            </w:r>
          </w:p>
        </w:tc>
        <w:tc>
          <w:tcPr>
            <w:tcW w:w="6667" w:type="dxa"/>
            <w:tcBorders>
              <w:top w:val="nil"/>
              <w:left w:val="nil"/>
              <w:bottom w:val="nil"/>
              <w:right w:val="nil"/>
            </w:tcBorders>
          </w:tcPr>
          <w:p w:rsidR="00927118" w:rsidRPr="00C37CA1" w:rsidRDefault="0015334D" w:rsidP="0015334D">
            <w:pPr>
              <w:rPr>
                <w:rFonts w:cs="Calibri"/>
              </w:rPr>
            </w:pPr>
            <w:r w:rsidRPr="00C37CA1">
              <w:rPr>
                <w:rFonts w:ascii="Times" w:hAnsi="Times" w:cs="Times"/>
              </w:rPr>
              <w:t>36</w:t>
            </w:r>
          </w:p>
        </w:tc>
      </w:tr>
      <w:tr w:rsidR="00927118" w:rsidRPr="00C37CA1" w:rsidTr="00EF4D6B">
        <w:tc>
          <w:tcPr>
            <w:tcW w:w="8647" w:type="dxa"/>
            <w:tcBorders>
              <w:top w:val="nil"/>
              <w:left w:val="nil"/>
              <w:bottom w:val="nil"/>
              <w:right w:val="nil"/>
            </w:tcBorders>
          </w:tcPr>
          <w:p w:rsidR="00927118" w:rsidRPr="00C37CA1" w:rsidRDefault="00927118" w:rsidP="004D0B37">
            <w:pPr>
              <w:rPr>
                <w:rFonts w:cs="Calibri"/>
              </w:rPr>
            </w:pPr>
          </w:p>
        </w:tc>
        <w:tc>
          <w:tcPr>
            <w:tcW w:w="6667" w:type="dxa"/>
            <w:tcBorders>
              <w:top w:val="nil"/>
              <w:left w:val="nil"/>
              <w:bottom w:val="nil"/>
              <w:right w:val="nil"/>
            </w:tcBorders>
          </w:tcPr>
          <w:p w:rsidR="00927118" w:rsidRPr="00C37CA1" w:rsidRDefault="00927118" w:rsidP="004D0B37">
            <w:pPr>
              <w:rPr>
                <w:rFonts w:cs="Calibri"/>
              </w:rPr>
            </w:pPr>
          </w:p>
        </w:tc>
      </w:tr>
      <w:tr w:rsidR="00927118" w:rsidRPr="00C37CA1" w:rsidTr="00EF4D6B">
        <w:tc>
          <w:tcPr>
            <w:tcW w:w="8647" w:type="dxa"/>
            <w:tcBorders>
              <w:top w:val="nil"/>
              <w:left w:val="nil"/>
              <w:bottom w:val="nil"/>
              <w:right w:val="nil"/>
            </w:tcBorders>
          </w:tcPr>
          <w:p w:rsidR="00927118" w:rsidRPr="00C37CA1" w:rsidRDefault="00927118" w:rsidP="004D0B37">
            <w:pPr>
              <w:rPr>
                <w:rFonts w:cs="Calibri"/>
              </w:rPr>
            </w:pPr>
            <w:r w:rsidRPr="00C37CA1">
              <w:rPr>
                <w:rFonts w:cs="Calibri"/>
              </w:rPr>
              <w:t>Počet akceptovaných pripomienok, z toho zásadných</w:t>
            </w:r>
          </w:p>
        </w:tc>
        <w:tc>
          <w:tcPr>
            <w:tcW w:w="6667" w:type="dxa"/>
            <w:tcBorders>
              <w:top w:val="nil"/>
              <w:left w:val="nil"/>
              <w:bottom w:val="nil"/>
              <w:right w:val="nil"/>
            </w:tcBorders>
          </w:tcPr>
          <w:p w:rsidR="00927118" w:rsidRPr="00C37CA1" w:rsidRDefault="00E51296" w:rsidP="0015334D">
            <w:pPr>
              <w:rPr>
                <w:rFonts w:cs="Calibri"/>
              </w:rPr>
            </w:pPr>
            <w:r w:rsidRPr="00C37CA1">
              <w:rPr>
                <w:rFonts w:ascii="Times" w:hAnsi="Times" w:cs="Times"/>
              </w:rPr>
              <w:t>19 / 3</w:t>
            </w:r>
          </w:p>
        </w:tc>
      </w:tr>
      <w:tr w:rsidR="00927118" w:rsidRPr="00C37CA1" w:rsidTr="00EF4D6B">
        <w:tc>
          <w:tcPr>
            <w:tcW w:w="8647" w:type="dxa"/>
            <w:tcBorders>
              <w:top w:val="nil"/>
              <w:left w:val="nil"/>
              <w:bottom w:val="nil"/>
              <w:right w:val="nil"/>
            </w:tcBorders>
          </w:tcPr>
          <w:p w:rsidR="00927118" w:rsidRPr="00C37CA1" w:rsidRDefault="00927118" w:rsidP="004D0B37">
            <w:pPr>
              <w:rPr>
                <w:rFonts w:cs="Calibri"/>
              </w:rPr>
            </w:pPr>
            <w:r w:rsidRPr="00C37CA1">
              <w:rPr>
                <w:rFonts w:cs="Calibri"/>
              </w:rPr>
              <w:t>Počet čiastočne akceptovaných pripomienok, z toho zásadných</w:t>
            </w:r>
          </w:p>
        </w:tc>
        <w:tc>
          <w:tcPr>
            <w:tcW w:w="6667" w:type="dxa"/>
            <w:tcBorders>
              <w:top w:val="nil"/>
              <w:left w:val="nil"/>
              <w:bottom w:val="nil"/>
              <w:right w:val="nil"/>
            </w:tcBorders>
          </w:tcPr>
          <w:p w:rsidR="00927118" w:rsidRPr="00C37CA1" w:rsidRDefault="00EF4D6B" w:rsidP="0015334D">
            <w:pPr>
              <w:rPr>
                <w:rFonts w:cs="Calibri"/>
              </w:rPr>
            </w:pPr>
            <w:r w:rsidRPr="00C37CA1">
              <w:rPr>
                <w:rFonts w:ascii="Times" w:hAnsi="Times" w:cs="Times"/>
              </w:rPr>
              <w:t xml:space="preserve">8 / </w:t>
            </w:r>
            <w:r w:rsidR="00E51296" w:rsidRPr="00C37CA1">
              <w:rPr>
                <w:rFonts w:ascii="Times" w:hAnsi="Times" w:cs="Times"/>
              </w:rPr>
              <w:t>1</w:t>
            </w:r>
          </w:p>
        </w:tc>
      </w:tr>
      <w:tr w:rsidR="00927118" w:rsidRPr="00C37CA1" w:rsidTr="00EF4D6B">
        <w:tc>
          <w:tcPr>
            <w:tcW w:w="8647" w:type="dxa"/>
            <w:tcBorders>
              <w:top w:val="nil"/>
              <w:left w:val="nil"/>
              <w:bottom w:val="nil"/>
              <w:right w:val="nil"/>
            </w:tcBorders>
          </w:tcPr>
          <w:p w:rsidR="00927118" w:rsidRPr="00C37CA1" w:rsidRDefault="00927118" w:rsidP="004D0B37">
            <w:pPr>
              <w:rPr>
                <w:rFonts w:cs="Calibri"/>
              </w:rPr>
            </w:pPr>
            <w:r w:rsidRPr="00C37CA1">
              <w:rPr>
                <w:rFonts w:cs="Calibri"/>
              </w:rPr>
              <w:t>Počet neakceptovaných pripomienok, z toho zásadných</w:t>
            </w:r>
          </w:p>
        </w:tc>
        <w:tc>
          <w:tcPr>
            <w:tcW w:w="6667" w:type="dxa"/>
            <w:tcBorders>
              <w:top w:val="nil"/>
              <w:left w:val="nil"/>
              <w:bottom w:val="nil"/>
              <w:right w:val="nil"/>
            </w:tcBorders>
          </w:tcPr>
          <w:p w:rsidR="00927118" w:rsidRPr="00C37CA1" w:rsidRDefault="00EF4D6B" w:rsidP="0015334D">
            <w:pPr>
              <w:rPr>
                <w:rFonts w:cs="Calibri"/>
              </w:rPr>
            </w:pPr>
            <w:r w:rsidRPr="00C37CA1">
              <w:rPr>
                <w:rFonts w:ascii="Times" w:hAnsi="Times" w:cs="Times"/>
              </w:rPr>
              <w:t>9</w:t>
            </w:r>
            <w:r w:rsidR="0015334D" w:rsidRPr="00C37CA1">
              <w:rPr>
                <w:rFonts w:ascii="Times" w:hAnsi="Times" w:cs="Times"/>
              </w:rPr>
              <w:t xml:space="preserve"> /0</w:t>
            </w:r>
          </w:p>
        </w:tc>
      </w:tr>
      <w:tr w:rsidR="00927118" w:rsidRPr="00C37CA1" w:rsidTr="00EF4D6B">
        <w:tc>
          <w:tcPr>
            <w:tcW w:w="8647" w:type="dxa"/>
            <w:tcBorders>
              <w:top w:val="nil"/>
              <w:left w:val="nil"/>
              <w:bottom w:val="nil"/>
              <w:right w:val="nil"/>
            </w:tcBorders>
          </w:tcPr>
          <w:p w:rsidR="00927118" w:rsidRPr="00C37CA1" w:rsidRDefault="00927118" w:rsidP="004D0B37">
            <w:pPr>
              <w:rPr>
                <w:rFonts w:cs="Calibri"/>
                <w:bCs/>
              </w:rPr>
            </w:pPr>
          </w:p>
        </w:tc>
        <w:tc>
          <w:tcPr>
            <w:tcW w:w="6667" w:type="dxa"/>
            <w:tcBorders>
              <w:top w:val="nil"/>
              <w:left w:val="nil"/>
              <w:bottom w:val="nil"/>
              <w:right w:val="nil"/>
            </w:tcBorders>
          </w:tcPr>
          <w:p w:rsidR="00927118" w:rsidRPr="00C37CA1" w:rsidRDefault="00927118" w:rsidP="004D0B37">
            <w:pPr>
              <w:rPr>
                <w:rFonts w:cs="Calibri"/>
              </w:rPr>
            </w:pPr>
          </w:p>
        </w:tc>
      </w:tr>
      <w:tr w:rsidR="00927118" w:rsidRPr="00C37CA1" w:rsidTr="00EF4D6B">
        <w:tc>
          <w:tcPr>
            <w:tcW w:w="8647" w:type="dxa"/>
            <w:tcBorders>
              <w:top w:val="nil"/>
              <w:left w:val="nil"/>
              <w:bottom w:val="nil"/>
              <w:right w:val="nil"/>
            </w:tcBorders>
          </w:tcPr>
          <w:p w:rsidR="00EF4D6B" w:rsidRPr="00C37CA1" w:rsidRDefault="00927118" w:rsidP="00EF4D6B">
            <w:pPr>
              <w:rPr>
                <w:rFonts w:cs="Calibri"/>
                <w:bCs/>
              </w:rPr>
            </w:pPr>
            <w:r w:rsidRPr="00C37CA1">
              <w:rPr>
                <w:rFonts w:cs="Calibri"/>
                <w:bCs/>
              </w:rPr>
              <w:t xml:space="preserve">Rozporové konanie </w:t>
            </w:r>
            <w:r w:rsidR="00EF4D6B" w:rsidRPr="00C37CA1">
              <w:rPr>
                <w:rFonts w:cs="Calibri"/>
                <w:bCs/>
              </w:rPr>
              <w:t xml:space="preserve">       </w:t>
            </w:r>
          </w:p>
          <w:p w:rsidR="00927118" w:rsidRPr="00C37CA1" w:rsidRDefault="00927118" w:rsidP="00EF4D6B">
            <w:pPr>
              <w:rPr>
                <w:rFonts w:cs="Calibri"/>
              </w:rPr>
            </w:pPr>
          </w:p>
        </w:tc>
        <w:tc>
          <w:tcPr>
            <w:tcW w:w="6667" w:type="dxa"/>
            <w:tcBorders>
              <w:top w:val="nil"/>
              <w:left w:val="nil"/>
              <w:bottom w:val="nil"/>
              <w:right w:val="nil"/>
            </w:tcBorders>
          </w:tcPr>
          <w:p w:rsidR="00E433A8" w:rsidRPr="00C37CA1" w:rsidRDefault="00E433A8" w:rsidP="00E433A8">
            <w:pPr>
              <w:rPr>
                <w:rFonts w:cs="Calibri"/>
                <w:bCs/>
              </w:rPr>
            </w:pPr>
            <w:r w:rsidRPr="00C37CA1">
              <w:rPr>
                <w:rFonts w:cs="Calibri"/>
                <w:bCs/>
              </w:rPr>
              <w:t xml:space="preserve">s Generálnou prokuratúrou Slovenskej republiky </w:t>
            </w:r>
          </w:p>
          <w:p w:rsidR="00EF4D6B" w:rsidRPr="00C37CA1" w:rsidRDefault="00E433A8" w:rsidP="004D0B37">
            <w:pPr>
              <w:rPr>
                <w:rFonts w:cs="Calibri"/>
              </w:rPr>
            </w:pPr>
            <w:r w:rsidRPr="00C37CA1">
              <w:rPr>
                <w:rFonts w:cs="Calibri"/>
                <w:bCs/>
              </w:rPr>
              <w:t xml:space="preserve">a Slovenskou advokátskou komorou                                  </w:t>
            </w:r>
          </w:p>
        </w:tc>
      </w:tr>
      <w:tr w:rsidR="00927118" w:rsidRPr="00C37CA1" w:rsidTr="00EF4D6B">
        <w:tc>
          <w:tcPr>
            <w:tcW w:w="8647" w:type="dxa"/>
            <w:tcBorders>
              <w:top w:val="nil"/>
              <w:left w:val="nil"/>
              <w:bottom w:val="nil"/>
              <w:right w:val="nil"/>
            </w:tcBorders>
          </w:tcPr>
          <w:p w:rsidR="00927118" w:rsidRPr="00C37CA1" w:rsidRDefault="00927118" w:rsidP="004D0B37">
            <w:pPr>
              <w:rPr>
                <w:rFonts w:cs="Calibri"/>
                <w:bCs/>
              </w:rPr>
            </w:pPr>
            <w:r w:rsidRPr="00C37CA1">
              <w:rPr>
                <w:rFonts w:cs="Calibri"/>
                <w:bCs/>
              </w:rPr>
              <w:t>Počet odstránených pripomienok</w:t>
            </w:r>
            <w:r w:rsidR="00E433A8" w:rsidRPr="00C37CA1">
              <w:rPr>
                <w:rFonts w:cs="Calibri"/>
                <w:bCs/>
              </w:rPr>
              <w:t xml:space="preserve">       </w:t>
            </w:r>
            <w:r w:rsidR="00EF4D6B" w:rsidRPr="00C37CA1">
              <w:rPr>
                <w:rFonts w:cs="Calibri"/>
                <w:bCs/>
              </w:rPr>
              <w:t xml:space="preserve">                                                                                  </w:t>
            </w:r>
          </w:p>
        </w:tc>
        <w:tc>
          <w:tcPr>
            <w:tcW w:w="6667" w:type="dxa"/>
            <w:tcBorders>
              <w:top w:val="nil"/>
              <w:left w:val="nil"/>
              <w:bottom w:val="nil"/>
              <w:right w:val="nil"/>
            </w:tcBorders>
          </w:tcPr>
          <w:p w:rsidR="00927118" w:rsidRPr="00C37CA1" w:rsidRDefault="00E433A8" w:rsidP="004D0B37">
            <w:pPr>
              <w:rPr>
                <w:rFonts w:cs="Calibri"/>
              </w:rPr>
            </w:pPr>
            <w:r w:rsidRPr="00C37CA1">
              <w:rPr>
                <w:rFonts w:ascii="Times" w:hAnsi="Times" w:cs="Times"/>
              </w:rPr>
              <w:t>2</w:t>
            </w:r>
          </w:p>
        </w:tc>
      </w:tr>
      <w:tr w:rsidR="00927118" w:rsidRPr="00C37CA1" w:rsidTr="00EF4D6B">
        <w:tc>
          <w:tcPr>
            <w:tcW w:w="8647" w:type="dxa"/>
            <w:tcBorders>
              <w:top w:val="nil"/>
              <w:left w:val="nil"/>
              <w:bottom w:val="nil"/>
              <w:right w:val="nil"/>
            </w:tcBorders>
          </w:tcPr>
          <w:p w:rsidR="00927118" w:rsidRPr="00C37CA1" w:rsidRDefault="00927118" w:rsidP="004D0B37">
            <w:pPr>
              <w:rPr>
                <w:rFonts w:cs="Calibri"/>
                <w:bCs/>
              </w:rPr>
            </w:pPr>
            <w:r w:rsidRPr="00C37CA1">
              <w:rPr>
                <w:rFonts w:cs="Calibri"/>
                <w:bCs/>
              </w:rPr>
              <w:t>Počet neodstránených pripomienok</w:t>
            </w:r>
            <w:r w:rsidR="00E433A8" w:rsidRPr="00C37CA1">
              <w:rPr>
                <w:rFonts w:cs="Calibri"/>
                <w:bCs/>
              </w:rPr>
              <w:t xml:space="preserve">   </w:t>
            </w:r>
          </w:p>
        </w:tc>
        <w:tc>
          <w:tcPr>
            <w:tcW w:w="6667" w:type="dxa"/>
            <w:tcBorders>
              <w:top w:val="nil"/>
              <w:left w:val="nil"/>
              <w:bottom w:val="nil"/>
              <w:right w:val="nil"/>
            </w:tcBorders>
          </w:tcPr>
          <w:p w:rsidR="00927118" w:rsidRPr="00C37CA1" w:rsidRDefault="00E433A8" w:rsidP="004D0B37">
            <w:pPr>
              <w:rPr>
                <w:rFonts w:cs="Calibri"/>
              </w:rPr>
            </w:pPr>
            <w:r w:rsidRPr="00C37CA1">
              <w:rPr>
                <w:rFonts w:ascii="Times" w:hAnsi="Times" w:cs="Times"/>
              </w:rPr>
              <w:t>0</w:t>
            </w:r>
          </w:p>
        </w:tc>
      </w:tr>
    </w:tbl>
    <w:p w:rsidR="00927118" w:rsidRPr="00C37CA1" w:rsidRDefault="00927118" w:rsidP="00927118">
      <w:pPr>
        <w:rPr>
          <w:rFonts w:cs="Calibri"/>
          <w:b/>
        </w:rPr>
      </w:pPr>
    </w:p>
    <w:p w:rsidR="00927118" w:rsidRPr="00C37CA1" w:rsidRDefault="00927118" w:rsidP="00927118">
      <w:r w:rsidRPr="00C37CA1">
        <w:rPr>
          <w:rFonts w:cs="Calibri"/>
        </w:rPr>
        <w:t>Sumarizácia vznesených pripomienok podľa subjektov</w:t>
      </w:r>
    </w:p>
    <w:p w:rsidR="0015334D" w:rsidRPr="00C37CA1" w:rsidRDefault="0015334D"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9"/>
        <w:gridCol w:w="7712"/>
        <w:gridCol w:w="1404"/>
        <w:gridCol w:w="1404"/>
        <w:gridCol w:w="1391"/>
        <w:gridCol w:w="1033"/>
      </w:tblGrid>
      <w:tr w:rsidR="0015334D" w:rsidRPr="00C37CA1" w:rsidTr="00C37CA1">
        <w:trPr>
          <w:divId w:val="719010842"/>
          <w:jc w:val="center"/>
        </w:trPr>
        <w:tc>
          <w:tcPr>
            <w:tcW w:w="124" w:type="pct"/>
            <w:tcBorders>
              <w:top w:val="outset" w:sz="6" w:space="0" w:color="000000"/>
              <w:left w:val="outset" w:sz="6" w:space="0" w:color="000000"/>
              <w:bottom w:val="outset" w:sz="6" w:space="0" w:color="000000"/>
              <w:right w:val="outset" w:sz="6" w:space="0" w:color="000000"/>
            </w:tcBorders>
            <w:vAlign w:val="center"/>
            <w:hideMark/>
          </w:tcPr>
          <w:p w:rsidR="0015334D" w:rsidRPr="00C37CA1" w:rsidRDefault="0015334D" w:rsidP="00E433A8">
            <w:pPr>
              <w:rPr>
                <w:rFonts w:ascii="Times" w:hAnsi="Times" w:cs="Times"/>
                <w:b/>
                <w:bCs/>
              </w:rPr>
            </w:pPr>
            <w:r w:rsidRPr="00C37CA1">
              <w:rPr>
                <w:rFonts w:ascii="Times" w:hAnsi="Times" w:cs="Times"/>
                <w:b/>
                <w:bCs/>
              </w:rPr>
              <w:t>Č.</w:t>
            </w:r>
          </w:p>
        </w:tc>
        <w:tc>
          <w:tcPr>
            <w:tcW w:w="2905" w:type="pct"/>
            <w:tcBorders>
              <w:top w:val="outset" w:sz="6" w:space="0" w:color="000000"/>
              <w:left w:val="outset" w:sz="6" w:space="0" w:color="000000"/>
              <w:bottom w:val="outset" w:sz="6" w:space="0" w:color="000000"/>
              <w:right w:val="outset" w:sz="6" w:space="0" w:color="000000"/>
            </w:tcBorders>
            <w:vAlign w:val="center"/>
            <w:hideMark/>
          </w:tcPr>
          <w:p w:rsidR="0015334D" w:rsidRPr="00C37CA1" w:rsidRDefault="0015334D" w:rsidP="00E433A8">
            <w:pPr>
              <w:rPr>
                <w:rFonts w:ascii="Times" w:hAnsi="Times" w:cs="Times"/>
                <w:b/>
                <w:bCs/>
              </w:rPr>
            </w:pPr>
            <w:r w:rsidRPr="00C37CA1">
              <w:rPr>
                <w:rFonts w:ascii="Times" w:hAnsi="Times" w:cs="Times"/>
                <w:b/>
                <w:bCs/>
              </w:rPr>
              <w:t>Subjekt</w:t>
            </w:r>
          </w:p>
        </w:tc>
        <w:tc>
          <w:tcPr>
            <w:tcW w:w="529" w:type="pct"/>
            <w:tcBorders>
              <w:top w:val="outset" w:sz="6" w:space="0" w:color="000000"/>
              <w:left w:val="outset" w:sz="6" w:space="0" w:color="000000"/>
              <w:bottom w:val="outset" w:sz="6" w:space="0" w:color="000000"/>
              <w:right w:val="outset" w:sz="6" w:space="0" w:color="000000"/>
            </w:tcBorders>
            <w:vAlign w:val="center"/>
            <w:hideMark/>
          </w:tcPr>
          <w:p w:rsidR="0015334D" w:rsidRPr="00C37CA1" w:rsidRDefault="0015334D" w:rsidP="00E433A8">
            <w:pPr>
              <w:rPr>
                <w:rFonts w:ascii="Times" w:hAnsi="Times" w:cs="Times"/>
                <w:b/>
                <w:bCs/>
              </w:rPr>
            </w:pPr>
            <w:r w:rsidRPr="00C37CA1">
              <w:rPr>
                <w:rFonts w:ascii="Times" w:hAnsi="Times" w:cs="Times"/>
                <w:b/>
                <w:bCs/>
              </w:rPr>
              <w:t>Pripomienky do termínu</w:t>
            </w:r>
          </w:p>
        </w:tc>
        <w:tc>
          <w:tcPr>
            <w:tcW w:w="529" w:type="pct"/>
            <w:tcBorders>
              <w:top w:val="outset" w:sz="6" w:space="0" w:color="000000"/>
              <w:left w:val="outset" w:sz="6" w:space="0" w:color="000000"/>
              <w:bottom w:val="outset" w:sz="6" w:space="0" w:color="000000"/>
              <w:right w:val="outset" w:sz="6" w:space="0" w:color="000000"/>
            </w:tcBorders>
            <w:vAlign w:val="center"/>
            <w:hideMark/>
          </w:tcPr>
          <w:p w:rsidR="0015334D" w:rsidRPr="00C37CA1" w:rsidRDefault="0015334D" w:rsidP="00E433A8">
            <w:pPr>
              <w:rPr>
                <w:rFonts w:ascii="Times" w:hAnsi="Times" w:cs="Times"/>
                <w:b/>
                <w:bCs/>
              </w:rPr>
            </w:pPr>
            <w:r w:rsidRPr="00C37CA1">
              <w:rPr>
                <w:rFonts w:ascii="Times" w:hAnsi="Times" w:cs="Times"/>
                <w:b/>
                <w:bCs/>
              </w:rPr>
              <w:t>Pripomienky po termíne</w:t>
            </w:r>
          </w:p>
        </w:tc>
        <w:tc>
          <w:tcPr>
            <w:tcW w:w="524" w:type="pct"/>
            <w:tcBorders>
              <w:top w:val="outset" w:sz="6" w:space="0" w:color="000000"/>
              <w:left w:val="outset" w:sz="6" w:space="0" w:color="000000"/>
              <w:bottom w:val="outset" w:sz="6" w:space="0" w:color="000000"/>
              <w:right w:val="outset" w:sz="6" w:space="0" w:color="000000"/>
            </w:tcBorders>
            <w:vAlign w:val="center"/>
            <w:hideMark/>
          </w:tcPr>
          <w:p w:rsidR="0015334D" w:rsidRPr="00C37CA1" w:rsidRDefault="0015334D" w:rsidP="00E433A8">
            <w:pPr>
              <w:rPr>
                <w:rFonts w:ascii="Times" w:hAnsi="Times" w:cs="Times"/>
                <w:b/>
                <w:bCs/>
              </w:rPr>
            </w:pPr>
            <w:r w:rsidRPr="00C37CA1">
              <w:rPr>
                <w:rFonts w:ascii="Times" w:hAnsi="Times" w:cs="Times"/>
                <w:b/>
                <w:bCs/>
              </w:rPr>
              <w:t>Nemali pripomienky</w:t>
            </w:r>
          </w:p>
        </w:tc>
        <w:tc>
          <w:tcPr>
            <w:tcW w:w="390" w:type="pct"/>
            <w:tcBorders>
              <w:top w:val="outset" w:sz="6" w:space="0" w:color="000000"/>
              <w:left w:val="outset" w:sz="6" w:space="0" w:color="000000"/>
              <w:bottom w:val="outset" w:sz="6" w:space="0" w:color="000000"/>
              <w:right w:val="outset" w:sz="6" w:space="0" w:color="000000"/>
            </w:tcBorders>
            <w:vAlign w:val="center"/>
            <w:hideMark/>
          </w:tcPr>
          <w:p w:rsidR="0015334D" w:rsidRPr="00C37CA1" w:rsidRDefault="0015334D" w:rsidP="00E433A8">
            <w:pPr>
              <w:rPr>
                <w:rFonts w:ascii="Times" w:hAnsi="Times" w:cs="Times"/>
                <w:b/>
                <w:bCs/>
              </w:rPr>
            </w:pPr>
            <w:r w:rsidRPr="00C37CA1">
              <w:rPr>
                <w:rFonts w:ascii="Times" w:hAnsi="Times" w:cs="Times"/>
                <w:b/>
                <w:bCs/>
              </w:rPr>
              <w:t>Vôbec nezaslali</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1.</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6 (4o,2z)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2.</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8 (8o,0z)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3.</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3 (3o,0z)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4.</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3 (3o,0z)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5.</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8 (8o,0z)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6.</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Ministerstvo školstva,výskumu,vývoja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7.</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1 (0o,1z)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8.</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2 (2o,0z)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9.</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Slovenská advokátska komora</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3 (3o,0z)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10.</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Sociálna poisťovňa, Ul. 29 augusta č. 8 a 10, 813 63 Bratislava 1</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11.</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12.</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lastRenderedPageBreak/>
              <w:t>13.</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14.</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15.</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16.</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17.</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18.</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19.</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20.</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21.</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22.</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23.</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24.</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25.</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26.</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27.</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28.</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Slovenská informačná služba</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29.</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30.</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Úrad na ochranu oznamovateľov protispoločenskej činnosti</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31</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32</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33</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34</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35</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36</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37</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38</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39</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40</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41</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42</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43</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lastRenderedPageBreak/>
              <w:t>44</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45</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46</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47</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48</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49</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50</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51</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52</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53</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54</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55</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56</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57</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58</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rPr>
                <w:rFonts w:ascii="Times" w:hAnsi="Times" w:cs="Times"/>
              </w:rPr>
            </w:pPr>
            <w:r w:rsidRPr="00C37CA1">
              <w:rPr>
                <w:rFonts w:ascii="Times" w:hAnsi="Times" w:cs="Times"/>
              </w:rPr>
              <w:t>59</w:t>
            </w:r>
            <w:r w:rsidR="0015334D" w:rsidRPr="00C37CA1">
              <w:rPr>
                <w:rFonts w:ascii="Times" w:hAnsi="Times" w:cs="Times"/>
              </w:rPr>
              <w:t>.</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jc w:val="center"/>
              <w:rPr>
                <w:rFonts w:ascii="Times" w:hAnsi="Times" w:cs="Times"/>
              </w:rPr>
            </w:pPr>
            <w:r w:rsidRPr="00C37CA1">
              <w:rPr>
                <w:rFonts w:ascii="Times" w:hAnsi="Times" w:cs="Times"/>
              </w:rPr>
              <w:t>x</w:t>
            </w:r>
          </w:p>
        </w:tc>
      </w:tr>
      <w:tr w:rsidR="0015334D" w:rsidRPr="00C37CA1">
        <w:trPr>
          <w:divId w:val="719010842"/>
          <w:jc w:val="center"/>
        </w:trPr>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Spolu</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36 (33o,3z)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15334D" w:rsidP="00E433A8">
            <w:pPr>
              <w:rPr>
                <w:rFonts w:ascii="Times" w:hAnsi="Times" w:cs="Times"/>
              </w:rPr>
            </w:pPr>
            <w:r w:rsidRPr="00C37CA1">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jc w:val="center"/>
              <w:rPr>
                <w:rFonts w:ascii="Times" w:hAnsi="Times" w:cs="Times"/>
              </w:rPr>
            </w:pPr>
            <w:r>
              <w:rPr>
                <w:rFonts w:ascii="Times" w:hAnsi="Times" w:cs="Times"/>
              </w:rPr>
              <w:t>17</w:t>
            </w:r>
          </w:p>
        </w:tc>
        <w:tc>
          <w:tcPr>
            <w:tcW w:w="0" w:type="auto"/>
            <w:tcBorders>
              <w:top w:val="outset" w:sz="6" w:space="0" w:color="000000"/>
              <w:left w:val="outset" w:sz="6" w:space="0" w:color="000000"/>
              <w:bottom w:val="outset" w:sz="6" w:space="0" w:color="000000"/>
              <w:right w:val="outset" w:sz="6" w:space="0" w:color="000000"/>
            </w:tcBorders>
            <w:hideMark/>
          </w:tcPr>
          <w:p w:rsidR="0015334D" w:rsidRPr="00C37CA1" w:rsidRDefault="00C37CA1" w:rsidP="00E433A8">
            <w:pPr>
              <w:jc w:val="center"/>
            </w:pPr>
            <w:r>
              <w:t>32</w:t>
            </w:r>
            <w:bookmarkStart w:id="0" w:name="_GoBack"/>
            <w:bookmarkEnd w:id="0"/>
          </w:p>
        </w:tc>
      </w:tr>
    </w:tbl>
    <w:p w:rsidR="00BF7CE0" w:rsidRPr="00C37CA1" w:rsidRDefault="00BF7CE0" w:rsidP="00E433A8">
      <w:pPr>
        <w:rPr>
          <w:b/>
          <w:bCs/>
          <w:color w:val="000000"/>
        </w:rPr>
      </w:pPr>
      <w:r w:rsidRPr="00C37CA1">
        <w:rPr>
          <w:bCs/>
          <w:color w:val="000000"/>
        </w:rPr>
        <w:t>Vyhodnotenie vecných pripomienok je uvedené v tabuľkovej časti.</w:t>
      </w:r>
    </w:p>
    <w:p w:rsidR="00BF7CE0" w:rsidRPr="00BF7CE0" w:rsidRDefault="00BF7CE0" w:rsidP="00E433A8">
      <w:pPr>
        <w:pStyle w:val="Zkladntext"/>
        <w:widowControl/>
        <w:jc w:val="left"/>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E433A8">
            <w:pPr>
              <w:pStyle w:val="Zkladntext"/>
              <w:widowControl/>
              <w:jc w:val="left"/>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E433A8">
            <w:pPr>
              <w:pStyle w:val="Zkladntext"/>
              <w:widowControl/>
              <w:jc w:val="left"/>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E433A8">
            <w:pPr>
              <w:pStyle w:val="Zkladntext"/>
              <w:widowControl/>
              <w:jc w:val="left"/>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E433A8">
            <w:pPr>
              <w:pStyle w:val="Zkladntext"/>
              <w:widowControl/>
              <w:jc w:val="left"/>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E433A8">
            <w:pPr>
              <w:pStyle w:val="Zkladntext"/>
              <w:widowControl/>
              <w:jc w:val="left"/>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E433A8">
            <w:pPr>
              <w:pStyle w:val="Zkladntext"/>
              <w:widowControl/>
              <w:jc w:val="left"/>
              <w:rPr>
                <w:b w:val="0"/>
                <w:color w:val="000000"/>
                <w:sz w:val="25"/>
                <w:szCs w:val="25"/>
              </w:rPr>
            </w:pPr>
          </w:p>
        </w:tc>
        <w:tc>
          <w:tcPr>
            <w:tcW w:w="3119" w:type="dxa"/>
            <w:tcBorders>
              <w:top w:val="nil"/>
              <w:left w:val="nil"/>
              <w:bottom w:val="nil"/>
              <w:right w:val="nil"/>
            </w:tcBorders>
          </w:tcPr>
          <w:p w:rsidR="00BF7CE0" w:rsidRPr="009F7218" w:rsidRDefault="00BF7CE0" w:rsidP="00E433A8">
            <w:pPr>
              <w:pStyle w:val="Zkladntext"/>
              <w:widowControl/>
              <w:jc w:val="left"/>
              <w:rPr>
                <w:b w:val="0"/>
                <w:color w:val="000000"/>
                <w:sz w:val="25"/>
                <w:szCs w:val="25"/>
              </w:rPr>
            </w:pPr>
            <w:r w:rsidRPr="009F7218">
              <w:rPr>
                <w:b w:val="0"/>
                <w:color w:val="000000"/>
                <w:sz w:val="25"/>
                <w:szCs w:val="25"/>
              </w:rPr>
              <w:t>ČA – čiastočne akceptovaná</w:t>
            </w:r>
          </w:p>
        </w:tc>
      </w:tr>
    </w:tbl>
    <w:p w:rsidR="00E85710" w:rsidRDefault="00E85710" w:rsidP="00E433A8">
      <w:r>
        <w:br w:type="page"/>
      </w:r>
    </w:p>
    <w:p w:rsidR="0015334D" w:rsidRDefault="0015334D"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5653"/>
        <w:gridCol w:w="526"/>
        <w:gridCol w:w="526"/>
        <w:gridCol w:w="4858"/>
      </w:tblGrid>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Subjekt</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Pripomienka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Typ</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Vyh.</w:t>
            </w:r>
          </w:p>
        </w:tc>
        <w:tc>
          <w:tcPr>
            <w:tcW w:w="1830"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Spôsob vyhodnotenia</w:t>
            </w: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GPSR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4D0B37" w:rsidRDefault="0015334D" w:rsidP="004D0B37">
            <w:pPr>
              <w:pStyle w:val="Bezriadkovania"/>
              <w:jc w:val="both"/>
              <w:rPr>
                <w:rFonts w:ascii="Times New Roman" w:hAnsi="Times New Roman" w:cs="Times New Roman"/>
                <w:sz w:val="24"/>
                <w:szCs w:val="24"/>
              </w:rPr>
            </w:pPr>
            <w:r w:rsidRPr="004D0B37">
              <w:rPr>
                <w:rFonts w:ascii="Times New Roman" w:hAnsi="Times New Roman" w:cs="Times New Roman"/>
                <w:b/>
                <w:bCs/>
                <w:sz w:val="24"/>
                <w:szCs w:val="24"/>
              </w:rPr>
              <w:t>3. K čl. I (§ 17) – Z:</w:t>
            </w:r>
          </w:p>
          <w:p w:rsidR="0015334D" w:rsidRPr="004D0B37" w:rsidRDefault="0015334D" w:rsidP="004D0B37">
            <w:pPr>
              <w:pStyle w:val="Bezriadkovania"/>
              <w:jc w:val="both"/>
              <w:rPr>
                <w:rFonts w:ascii="Times New Roman" w:hAnsi="Times New Roman" w:cs="Times New Roman"/>
                <w:sz w:val="24"/>
                <w:szCs w:val="24"/>
              </w:rPr>
            </w:pPr>
            <w:r w:rsidRPr="004D0B37">
              <w:rPr>
                <w:rFonts w:ascii="Times New Roman" w:hAnsi="Times New Roman" w:cs="Times New Roman"/>
                <w:sz w:val="24"/>
                <w:szCs w:val="24"/>
              </w:rPr>
              <w:t>Navrhujeme § 17 vrátane n</w:t>
            </w:r>
            <w:r w:rsidR="004D0B37">
              <w:rPr>
                <w:rFonts w:ascii="Times New Roman" w:hAnsi="Times New Roman" w:cs="Times New Roman"/>
                <w:sz w:val="24"/>
                <w:szCs w:val="24"/>
              </w:rPr>
              <w:t>adpisu uviesť v tomto znení: „§ </w:t>
            </w:r>
            <w:r w:rsidRPr="004D0B37">
              <w:rPr>
                <w:rFonts w:ascii="Times New Roman" w:hAnsi="Times New Roman" w:cs="Times New Roman"/>
                <w:sz w:val="24"/>
                <w:szCs w:val="24"/>
              </w:rPr>
              <w:t>17 Podozrivý, obvinený, obžalovaný a odsúdený Ustanovenia tohto zákona sa primerane použijú aj na podozrivého, obvineného, obžalovaného a odsúdeného, ktorý v trestnom konaní o trestnom čine uvedenom v § 2 ods. 1 poskytol</w:t>
            </w:r>
            <w:r w:rsidR="004D0B37">
              <w:rPr>
                <w:rFonts w:ascii="Times New Roman" w:hAnsi="Times New Roman" w:cs="Times New Roman"/>
                <w:sz w:val="24"/>
                <w:szCs w:val="24"/>
              </w:rPr>
              <w:t xml:space="preserve"> takú výpoveď alebo iný dôkaz o </w:t>
            </w:r>
            <w:r w:rsidRPr="004D0B37">
              <w:rPr>
                <w:rFonts w:ascii="Times New Roman" w:hAnsi="Times New Roman" w:cs="Times New Roman"/>
                <w:sz w:val="24"/>
                <w:szCs w:val="24"/>
              </w:rPr>
              <w:t>páchateľovi alebo oko</w:t>
            </w:r>
            <w:r w:rsidR="004D0B37">
              <w:rPr>
                <w:rFonts w:ascii="Times New Roman" w:hAnsi="Times New Roman" w:cs="Times New Roman"/>
                <w:sz w:val="24"/>
                <w:szCs w:val="24"/>
              </w:rPr>
              <w:t>lnosti tohto trestného činu, na </w:t>
            </w:r>
            <w:r w:rsidRPr="004D0B37">
              <w:rPr>
                <w:rFonts w:ascii="Times New Roman" w:hAnsi="Times New Roman" w:cs="Times New Roman"/>
                <w:sz w:val="24"/>
                <w:szCs w:val="24"/>
              </w:rPr>
              <w:t>základe čoho u neho vzniká dôvodná obava ohrozenia jeho života alebo zdravia.“. Odôvodnenie: Na základe poznatkov aplikačnej praxe môže byť objektom ochrany aj odsúdený. Takáto sit</w:t>
            </w:r>
            <w:r w:rsidR="004D0B37" w:rsidRPr="004D0B37">
              <w:rPr>
                <w:rFonts w:ascii="Times New Roman" w:hAnsi="Times New Roman" w:cs="Times New Roman"/>
                <w:sz w:val="24"/>
                <w:szCs w:val="24"/>
              </w:rPr>
              <w:t>uácia je navyše upravená aj v § </w:t>
            </w:r>
            <w:r w:rsidRPr="004D0B37">
              <w:rPr>
                <w:rFonts w:ascii="Times New Roman" w:hAnsi="Times New Roman" w:cs="Times New Roman"/>
                <w:sz w:val="24"/>
                <w:szCs w:val="24"/>
              </w:rPr>
              <w:t xml:space="preserve">11 návrhu zákona a v § 82 zákona č. 475/2005 Z. z. o výkone trestu odňatia slobody a o zmene a doplnení niektorých zákonov. Podozrivý (definovaný v § 10 ods. 25 Trestného poriadku), obvinený (definovaný v § 33 Trestného poriadku), obžalovaný (definovaný v § 10 ods. 12 a § 33 Trestného poriadku) a odsúdený (definovaný v § 10 ods. 13 Trestného poriadku) sú subjekty trestného konania, ktoré na účely tohto konania nepodávajú „svedeckú“ výpoveď. Procesné postavenie podozrivého, obvineného, obžalovaného a odsúdeného v trestnom konaní je zásadne (vecne) diferencované od procesného postavenia svedka. Obvinený, obžalovaný a odsúdený nemôžu mať v totožnom trestnom konaní zároveň procesné postavenie svedka a poškodeného (pozri aj § 47 ods. 1 prvá veta Trestného poriadku). Podozrivý môže mať v totožnom trestnom konaní aj procesné postavenie svedka a poškodeného, okrem prípadu, ak policajt rozhodne, že podozrivý oprávnenie svedka a poškodeného v trestnom konaní uplatňovať nemôže (pozri aj § 47 ods. 1 druhá veta Trestného poriadku). Výpoveď týchto subjektov trestného </w:t>
            </w:r>
            <w:r w:rsidRPr="004D0B37">
              <w:rPr>
                <w:rFonts w:ascii="Times New Roman" w:hAnsi="Times New Roman" w:cs="Times New Roman"/>
                <w:sz w:val="24"/>
                <w:szCs w:val="24"/>
              </w:rPr>
              <w:lastRenderedPageBreak/>
              <w:t>konania je dôkazným prostriedkom (§ 119 ods. 3 Trestného poriadku). Ide o dôkazný prostriedok a úkon trestného konania obsahovo diferencovaný od dôkazného prostriedku vo forme výpovede svedka. Určenie druhu dôkazného prostriedku, napríklad výsluch podozrivého, obvineného, obžalovaného alebo odsúdeného je determinovaný procesným postavením týchto subjektov trestného konania v čase, keď sa taký úkon vykonáva. Táto pripomienka je zásadná.</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lastRenderedPageBreak/>
              <w:t>Z</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3C517C">
            <w:pPr>
              <w:jc w:val="center"/>
              <w:rPr>
                <w:rFonts w:ascii="Times" w:hAnsi="Times" w:cs="Times"/>
                <w:sz w:val="25"/>
                <w:szCs w:val="25"/>
              </w:rPr>
            </w:pPr>
            <w:r w:rsidRPr="00CA43D7">
              <w:rPr>
                <w:rFonts w:ascii="Times" w:hAnsi="Times" w:cs="Times"/>
                <w:sz w:val="25"/>
                <w:szCs w:val="25"/>
              </w:rPr>
              <w:t>A</w:t>
            </w:r>
          </w:p>
        </w:tc>
        <w:tc>
          <w:tcPr>
            <w:tcW w:w="1830" w:type="pct"/>
            <w:tcBorders>
              <w:top w:val="outset" w:sz="6" w:space="0" w:color="000000"/>
              <w:left w:val="outset" w:sz="6" w:space="0" w:color="000000"/>
              <w:bottom w:val="outset" w:sz="6" w:space="0" w:color="000000"/>
              <w:right w:val="outset" w:sz="6" w:space="0" w:color="000000"/>
            </w:tcBorders>
            <w:hideMark/>
          </w:tcPr>
          <w:p w:rsidR="000E365A" w:rsidRPr="00CA43D7" w:rsidRDefault="000E365A" w:rsidP="003F1214">
            <w:pPr>
              <w:jc w:val="both"/>
              <w:rPr>
                <w:strike/>
              </w:rPr>
            </w:pP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GPSR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5. K čl. I (§ 19) – Z:</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 xml:space="preserve">Navrhujeme § 19 uviesť v tomto znení: „§ 19 (1) Ak je ohrozeným svedkom alebo chráneným svedkom maloletá osoba, osoba, ktorej bola rozhodnutím súdu obmedzená spôsobilosť na právne </w:t>
            </w:r>
            <w:r w:rsidRPr="00105C12">
              <w:rPr>
                <w:rFonts w:ascii="Times New Roman" w:hAnsi="Times New Roman" w:cs="Times New Roman"/>
                <w:sz w:val="24"/>
                <w:szCs w:val="24"/>
              </w:rPr>
              <w:t xml:space="preserve">úkony, alebo osoba, ktorá trpí duševnou poruchou, úkony súvisiace s programom ochrany vykonáva jej zákonný zástupca,8) osobitný zástupca9) alebo opatrovník,10) ak tým nie je ohrozený život alebo zdravie maloletej osoby, osoby, ktorej bola rozhodnutím súdu obmedzená spôsobilosť na právne úkony, alebo osoby, ktorá trpí duševnou poruchou. Zákonný zástupca, osobitný zástupca alebo opatrovník zachováva mlčanlivosť o skutočnostiach, o ktorých sa dozvedel v súvislosti s programom ochrany. (2) Ak úkony súvisiace s programom ochrany nemôže vykonať zákonný zástupca, osobitný zástupca alebo opatrovník a program ochrany je v záujme maloletej osoby, osoby, ktorej bola rozhodnutím súdu obmedzená spôsobilosť na právne úkony, alebo osoby, ktorá trpí duševnou poruchou, úkony súvisiace s programom ochrany vykoná taká osoba osobne; úkony takej osoby súvisiace s programom ochrany musia byť schválené súdom.“. Poznámky pod čiarou k odkazom 9 a 10 znejú: „9) § 30 Občianskeho zákonníka.. 10) § 27 ods. 2 Občianskeho zákonníka, § 31 ods. 2, § 39 ods. 2 a 3, § 56 </w:t>
            </w:r>
            <w:r w:rsidRPr="00105C12">
              <w:rPr>
                <w:rFonts w:ascii="Times New Roman" w:hAnsi="Times New Roman" w:cs="Times New Roman"/>
                <w:sz w:val="24"/>
                <w:szCs w:val="24"/>
              </w:rPr>
              <w:lastRenderedPageBreak/>
              <w:t>ods. 1 , § 57 ods. 4 a § 60 zákona č. 36/2005 Z. z. o rodine a o zmene a doplnení niektorých zákonov v znení neskorších predpisov.“. Odôvodnenie: Cieľom spoločného ustanovenia (§ 5 ods. 3 zákona č. 400/2015 Z. z. o tvorbe právnych predpisov a o Zbierke zákonov Slovenskej republiky a o zmene a doplnení niektorých zákonov) je konkretizácia právnych úkonov ohrozeného svedka alebo chráneného svedka, ktorým môže byť maloletá osoba, osoba, ktorej bola rozhodnutím súdu obmedzená spôsobilosť na právne úkony, alebo osoba, ktorá trpí duševnou poruchou (pozri duševné poruchy a poruchy správania s identifikátorom F00-F99 podľa</w:t>
            </w:r>
            <w:r w:rsidRPr="001A7227">
              <w:rPr>
                <w:rFonts w:ascii="Times New Roman" w:hAnsi="Times New Roman" w:cs="Times New Roman"/>
                <w:sz w:val="24"/>
                <w:szCs w:val="24"/>
              </w:rPr>
              <w:t xml:space="preserve"> medzinárodnej klasifikácie chorôb), a právne následky úkonov týchto osôb vo vzťahu k programu ochrany (napr. súhlas takejto osoby s vykonávaním programu ochrany podľa § 6 ods. 3 návrhu zákona). Právne úkony za maloletú osobu, osobu, ktorej bola rozhodnutím súdu obmedzená spôsobilosť na právne </w:t>
            </w:r>
            <w:r w:rsidRPr="00105C12">
              <w:rPr>
                <w:rFonts w:ascii="Times New Roman" w:hAnsi="Times New Roman" w:cs="Times New Roman"/>
                <w:sz w:val="24"/>
                <w:szCs w:val="24"/>
              </w:rPr>
              <w:t>úkony, alebo za osobu, ktorá trpí duševnou poruchou robí ex lege: - zákonný zástupca (pozri § 26 a 27 Občianskeho zákonníka, § 31 ods. 1 zákona č. 36/2005 Z. z. o rodine a o zmene a doplnení niektorých zákonov v znení neskorších predpisov), - osobitný zástupca (pozri § 30 Občianskeho zákonníka), alebo - opatrovník (pozri § 27 ods. 2 Občianskeho zákonníka, § 31 ods. 2, § 39 ods. 2 a 3, § 57 ods. 4 a § 60 zákona č. 36/2005 Z. z. o rodine a o zmene a doplnení niektorých zákonov v znení neskorších predpisov). Súdne schválenie právnych úkon</w:t>
            </w:r>
            <w:r w:rsidRPr="001A7227">
              <w:rPr>
                <w:rFonts w:ascii="Times New Roman" w:hAnsi="Times New Roman" w:cs="Times New Roman"/>
                <w:sz w:val="24"/>
                <w:szCs w:val="24"/>
              </w:rPr>
              <w:t xml:space="preserve">ov maloletej osoby, osoby, ktorej bola rozhodnutím súdu obmedzená spôsobilosť na právne úkony, alebo osoby, ktorá trpí duševnou poruchou ad hoc vyjadruje vyšší stupeň právnej istoty v právnych vzťahoch vzniknutých podľa návrhu zákona [pozri aj § 111 písm. i) zákona č. 161/2015 Z. z. </w:t>
            </w:r>
            <w:r w:rsidRPr="001A7227">
              <w:rPr>
                <w:rFonts w:ascii="Times New Roman" w:hAnsi="Times New Roman" w:cs="Times New Roman"/>
                <w:sz w:val="24"/>
                <w:szCs w:val="24"/>
              </w:rPr>
              <w:lastRenderedPageBreak/>
              <w:t>Civilný mimosporový poriadok]. Táto pripomienka je zásadná.</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lastRenderedPageBreak/>
              <w:t>Z</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8C05C1">
            <w:pPr>
              <w:jc w:val="center"/>
              <w:rPr>
                <w:rFonts w:ascii="Times" w:hAnsi="Times" w:cs="Times"/>
                <w:sz w:val="25"/>
                <w:szCs w:val="25"/>
              </w:rPr>
            </w:pPr>
            <w:r>
              <w:rPr>
                <w:rFonts w:ascii="Times" w:hAnsi="Times" w:cs="Times"/>
                <w:sz w:val="25"/>
                <w:szCs w:val="25"/>
              </w:rPr>
              <w:t>Č</w:t>
            </w:r>
            <w:r w:rsidR="00CA43D7">
              <w:rPr>
                <w:rFonts w:ascii="Times" w:hAnsi="Times" w:cs="Times"/>
                <w:sz w:val="25"/>
                <w:szCs w:val="25"/>
              </w:rPr>
              <w:t>A</w:t>
            </w:r>
          </w:p>
        </w:tc>
        <w:tc>
          <w:tcPr>
            <w:tcW w:w="1830" w:type="pct"/>
            <w:tcBorders>
              <w:top w:val="outset" w:sz="6" w:space="0" w:color="000000"/>
              <w:left w:val="outset" w:sz="6" w:space="0" w:color="000000"/>
              <w:bottom w:val="outset" w:sz="6" w:space="0" w:color="000000"/>
              <w:right w:val="outset" w:sz="6" w:space="0" w:color="000000"/>
            </w:tcBorders>
            <w:hideMark/>
          </w:tcPr>
          <w:p w:rsidR="007B7518" w:rsidRDefault="007B7518" w:rsidP="00E43A09">
            <w:pPr>
              <w:pStyle w:val="Bezriadkovania"/>
              <w:spacing w:after="120"/>
              <w:jc w:val="both"/>
              <w:rPr>
                <w:rFonts w:ascii="Times New Roman" w:hAnsi="Times New Roman" w:cs="Times New Roman"/>
                <w:sz w:val="24"/>
                <w:szCs w:val="24"/>
              </w:rPr>
            </w:pPr>
            <w:r>
              <w:rPr>
                <w:rFonts w:ascii="Times New Roman" w:hAnsi="Times New Roman" w:cs="Times New Roman"/>
                <w:sz w:val="24"/>
                <w:szCs w:val="24"/>
              </w:rPr>
              <w:t xml:space="preserve">Návrh zákona o ochrane svedka a o zmene a doplnení niektorých zákonov sa do legislatívneho procesu predložil opätovne </w:t>
            </w:r>
            <w:r w:rsidR="006A30B0">
              <w:rPr>
                <w:rFonts w:ascii="Times New Roman" w:hAnsi="Times New Roman" w:cs="Times New Roman"/>
                <w:sz w:val="24"/>
                <w:szCs w:val="24"/>
              </w:rPr>
              <w:t>z </w:t>
            </w:r>
            <w:r w:rsidRPr="000A2AB8">
              <w:rPr>
                <w:rFonts w:ascii="Times New Roman" w:hAnsi="Times New Roman" w:cs="Times New Roman"/>
                <w:sz w:val="24"/>
                <w:szCs w:val="24"/>
              </w:rPr>
              <w:t>dôvodu predčasného ukončenia predchádzajúceho v</w:t>
            </w:r>
            <w:r>
              <w:rPr>
                <w:rFonts w:ascii="Times New Roman" w:hAnsi="Times New Roman" w:cs="Times New Roman"/>
                <w:sz w:val="24"/>
                <w:szCs w:val="24"/>
              </w:rPr>
              <w:t>olebného obdobia, kedy</w:t>
            </w:r>
            <w:r w:rsidRPr="000A2AB8">
              <w:rPr>
                <w:rFonts w:ascii="Times New Roman" w:hAnsi="Times New Roman" w:cs="Times New Roman"/>
                <w:sz w:val="24"/>
                <w:szCs w:val="24"/>
              </w:rPr>
              <w:t xml:space="preserve"> neprebehol celý legislatívny proces v Národnej rade Slovenskej republiky.</w:t>
            </w:r>
            <w:r w:rsidR="006A30B0">
              <w:rPr>
                <w:rFonts w:ascii="Times New Roman" w:hAnsi="Times New Roman" w:cs="Times New Roman"/>
                <w:sz w:val="24"/>
                <w:szCs w:val="24"/>
              </w:rPr>
              <w:t xml:space="preserve"> V</w:t>
            </w:r>
            <w:r>
              <w:rPr>
                <w:rFonts w:ascii="Times New Roman" w:hAnsi="Times New Roman" w:cs="Times New Roman"/>
                <w:sz w:val="24"/>
                <w:szCs w:val="24"/>
              </w:rPr>
              <w:t> predchádzajúcom legislatívnom procese bola upl</w:t>
            </w:r>
            <w:r w:rsidR="005157A5">
              <w:rPr>
                <w:rFonts w:ascii="Times New Roman" w:hAnsi="Times New Roman" w:cs="Times New Roman"/>
                <w:sz w:val="24"/>
                <w:szCs w:val="24"/>
              </w:rPr>
              <w:t>atnená zás</w:t>
            </w:r>
            <w:r w:rsidR="006A30B0">
              <w:rPr>
                <w:rFonts w:ascii="Times New Roman" w:hAnsi="Times New Roman" w:cs="Times New Roman"/>
                <w:sz w:val="24"/>
                <w:szCs w:val="24"/>
              </w:rPr>
              <w:t>adná pripomienka MPSVR SR, ktoré žiadalo</w:t>
            </w:r>
            <w:r>
              <w:rPr>
                <w:rFonts w:ascii="Times New Roman" w:hAnsi="Times New Roman" w:cs="Times New Roman"/>
                <w:sz w:val="24"/>
                <w:szCs w:val="24"/>
              </w:rPr>
              <w:t xml:space="preserve"> zmenu znenia § 19</w:t>
            </w:r>
            <w:r w:rsidR="00B000AE">
              <w:rPr>
                <w:rFonts w:ascii="Times New Roman" w:hAnsi="Times New Roman" w:cs="Times New Roman"/>
                <w:sz w:val="24"/>
                <w:szCs w:val="24"/>
              </w:rPr>
              <w:t xml:space="preserve"> (vtedy § 20). GP SR na</w:t>
            </w:r>
            <w:r w:rsidR="00EE3A3F">
              <w:rPr>
                <w:rFonts w:ascii="Times New Roman" w:hAnsi="Times New Roman" w:cs="Times New Roman"/>
                <w:sz w:val="24"/>
                <w:szCs w:val="24"/>
              </w:rPr>
              <w:t>vrhované znenie predstavuje</w:t>
            </w:r>
            <w:r w:rsidR="00B000AE">
              <w:rPr>
                <w:rFonts w:ascii="Times New Roman" w:hAnsi="Times New Roman" w:cs="Times New Roman"/>
                <w:sz w:val="24"/>
                <w:szCs w:val="24"/>
              </w:rPr>
              <w:t xml:space="preserve"> </w:t>
            </w:r>
            <w:r w:rsidR="00EE3A3F">
              <w:rPr>
                <w:rFonts w:ascii="Times New Roman" w:hAnsi="Times New Roman" w:cs="Times New Roman"/>
                <w:sz w:val="24"/>
                <w:szCs w:val="24"/>
              </w:rPr>
              <w:t>znenie obdobné zneniu § 19, s ktorým MPSVR SR nesúhlasilo</w:t>
            </w:r>
            <w:r w:rsidR="00B000AE">
              <w:rPr>
                <w:rFonts w:ascii="Times New Roman" w:hAnsi="Times New Roman" w:cs="Times New Roman"/>
                <w:sz w:val="24"/>
                <w:szCs w:val="24"/>
              </w:rPr>
              <w:t>.</w:t>
            </w:r>
            <w:r w:rsidR="008955F7">
              <w:rPr>
                <w:rFonts w:ascii="Times New Roman" w:hAnsi="Times New Roman" w:cs="Times New Roman"/>
                <w:sz w:val="24"/>
                <w:szCs w:val="24"/>
              </w:rPr>
              <w:t xml:space="preserve"> </w:t>
            </w:r>
            <w:r w:rsidR="00AD5571">
              <w:rPr>
                <w:rFonts w:ascii="Times New Roman" w:hAnsi="Times New Roman" w:cs="Times New Roman"/>
                <w:sz w:val="24"/>
                <w:szCs w:val="24"/>
              </w:rPr>
              <w:t xml:space="preserve">Z tohto dôvodu </w:t>
            </w:r>
            <w:r w:rsidR="006A30B0">
              <w:rPr>
                <w:rFonts w:ascii="Times New Roman" w:hAnsi="Times New Roman" w:cs="Times New Roman"/>
                <w:sz w:val="24"/>
                <w:szCs w:val="24"/>
              </w:rPr>
              <w:t>sa na základe záverov rozporového konania</w:t>
            </w:r>
            <w:r w:rsidR="003D0F42">
              <w:rPr>
                <w:rFonts w:ascii="Times New Roman" w:hAnsi="Times New Roman" w:cs="Times New Roman"/>
                <w:sz w:val="24"/>
                <w:szCs w:val="24"/>
              </w:rPr>
              <w:t xml:space="preserve"> s GP SR</w:t>
            </w:r>
            <w:r w:rsidR="006A30B0">
              <w:rPr>
                <w:rFonts w:ascii="Times New Roman" w:hAnsi="Times New Roman" w:cs="Times New Roman"/>
                <w:sz w:val="24"/>
                <w:szCs w:val="24"/>
              </w:rPr>
              <w:t>, na ktoré bol</w:t>
            </w:r>
            <w:r w:rsidR="003D0F42">
              <w:rPr>
                <w:rFonts w:ascii="Times New Roman" w:hAnsi="Times New Roman" w:cs="Times New Roman"/>
                <w:sz w:val="24"/>
                <w:szCs w:val="24"/>
              </w:rPr>
              <w:t>i prizvaní aj zástupcovia MPSVR </w:t>
            </w:r>
            <w:r w:rsidR="006A30B0">
              <w:rPr>
                <w:rFonts w:ascii="Times New Roman" w:hAnsi="Times New Roman" w:cs="Times New Roman"/>
                <w:sz w:val="24"/>
                <w:szCs w:val="24"/>
              </w:rPr>
              <w:t>SR</w:t>
            </w:r>
            <w:r w:rsidR="003D0F42">
              <w:rPr>
                <w:rFonts w:ascii="Times New Roman" w:hAnsi="Times New Roman" w:cs="Times New Roman"/>
                <w:sz w:val="24"/>
                <w:szCs w:val="24"/>
              </w:rPr>
              <w:t xml:space="preserve">, </w:t>
            </w:r>
            <w:r w:rsidR="00AD5571">
              <w:rPr>
                <w:rFonts w:ascii="Times New Roman" w:hAnsi="Times New Roman" w:cs="Times New Roman"/>
                <w:sz w:val="24"/>
                <w:szCs w:val="24"/>
              </w:rPr>
              <w:t>vypracovalo znenie rešpektujúce tak pripomienky MPSVR SR ako aj pripomienku GP</w:t>
            </w:r>
            <w:r w:rsidR="003D0F42">
              <w:rPr>
                <w:rFonts w:ascii="Times New Roman" w:hAnsi="Times New Roman" w:cs="Times New Roman"/>
                <w:sz w:val="24"/>
                <w:szCs w:val="24"/>
              </w:rPr>
              <w:t> </w:t>
            </w:r>
            <w:r w:rsidR="00AD5571">
              <w:rPr>
                <w:rFonts w:ascii="Times New Roman" w:hAnsi="Times New Roman" w:cs="Times New Roman"/>
                <w:sz w:val="24"/>
                <w:szCs w:val="24"/>
              </w:rPr>
              <w:t>SR.</w:t>
            </w:r>
          </w:p>
          <w:p w:rsidR="003D0F42" w:rsidRDefault="00AD5571" w:rsidP="00E43A09">
            <w:pPr>
              <w:pStyle w:val="Bezriadkovania"/>
              <w:spacing w:after="120"/>
              <w:jc w:val="both"/>
              <w:rPr>
                <w:rFonts w:ascii="Times New Roman" w:hAnsi="Times New Roman" w:cs="Times New Roman"/>
                <w:sz w:val="24"/>
                <w:szCs w:val="24"/>
              </w:rPr>
            </w:pPr>
            <w:r>
              <w:rPr>
                <w:rFonts w:ascii="Times New Roman" w:hAnsi="Times New Roman" w:cs="Times New Roman"/>
                <w:sz w:val="24"/>
                <w:szCs w:val="24"/>
              </w:rPr>
              <w:t>Na základe uvedeného § 19 bol upravený do nasledovnej podoby:</w:t>
            </w:r>
          </w:p>
          <w:p w:rsidR="00AD5571" w:rsidRDefault="003D0F42" w:rsidP="003D0F42">
            <w:pPr>
              <w:pStyle w:val="Bezriadkovania"/>
              <w:spacing w:after="120"/>
              <w:jc w:val="center"/>
              <w:rPr>
                <w:rFonts w:ascii="Times New Roman" w:hAnsi="Times New Roman" w:cs="Times New Roman"/>
                <w:sz w:val="24"/>
                <w:szCs w:val="24"/>
              </w:rPr>
            </w:pPr>
            <w:r>
              <w:rPr>
                <w:rFonts w:ascii="Times New Roman" w:hAnsi="Times New Roman" w:cs="Times New Roman"/>
                <w:sz w:val="24"/>
                <w:szCs w:val="24"/>
              </w:rPr>
              <w:t>„§19</w:t>
            </w:r>
          </w:p>
          <w:p w:rsidR="003D0F42" w:rsidRPr="00105C12" w:rsidRDefault="003D0F42" w:rsidP="003D0F42">
            <w:pPr>
              <w:pStyle w:val="Bezriadkovania"/>
              <w:numPr>
                <w:ilvl w:val="0"/>
                <w:numId w:val="3"/>
              </w:numPr>
              <w:ind w:left="426" w:hanging="426"/>
              <w:jc w:val="both"/>
              <w:rPr>
                <w:rFonts w:ascii="Times New Roman" w:hAnsi="Times New Roman"/>
                <w:color w:val="000000"/>
                <w:sz w:val="24"/>
                <w:szCs w:val="24"/>
              </w:rPr>
            </w:pPr>
            <w:r w:rsidRPr="00105C12">
              <w:rPr>
                <w:rFonts w:ascii="Times New Roman" w:hAnsi="Times New Roman"/>
                <w:color w:val="000000"/>
                <w:sz w:val="24"/>
                <w:szCs w:val="24"/>
              </w:rPr>
              <w:t xml:space="preserve">Ak je ohrozeným svedkom alebo chráneným svedkom maloletá osoba alebo osoba, ktorej súd rozhodnutím obmedzil spôsobilosť na </w:t>
            </w:r>
            <w:r w:rsidRPr="00105C12">
              <w:rPr>
                <w:rFonts w:ascii="Times New Roman" w:hAnsi="Times New Roman"/>
                <w:color w:val="000000"/>
                <w:sz w:val="24"/>
                <w:szCs w:val="24"/>
              </w:rPr>
              <w:lastRenderedPageBreak/>
              <w:t>právne úkony, úkony súvisiace s programom ochrany vykonáva osoba, ktorá takúto osobu zastupuje,</w:t>
            </w:r>
            <w:r w:rsidRPr="00105C12">
              <w:rPr>
                <w:rFonts w:ascii="Times New Roman" w:hAnsi="Times New Roman"/>
                <w:color w:val="000000"/>
                <w:sz w:val="24"/>
                <w:szCs w:val="24"/>
                <w:vertAlign w:val="superscript"/>
              </w:rPr>
              <w:t>5</w:t>
            </w:r>
            <w:r w:rsidRPr="00105C12">
              <w:rPr>
                <w:rFonts w:ascii="Times New Roman" w:hAnsi="Times New Roman"/>
                <w:color w:val="000000"/>
                <w:sz w:val="24"/>
                <w:szCs w:val="24"/>
              </w:rPr>
              <w:t>) ak tým nie je ohrozený život alebo zdravie maloletej osoby alebo osoby, ktorej súd rozhodnutím obmedzil spôsobilosť na právne úkony.</w:t>
            </w:r>
          </w:p>
          <w:p w:rsidR="003D0F42" w:rsidRPr="00105C12" w:rsidRDefault="003D0F42" w:rsidP="003D0F42">
            <w:pPr>
              <w:pStyle w:val="Bezriadkovania"/>
              <w:ind w:left="426" w:hanging="426"/>
              <w:jc w:val="both"/>
              <w:rPr>
                <w:rFonts w:ascii="Times New Roman" w:hAnsi="Times New Roman"/>
                <w:color w:val="000000"/>
                <w:sz w:val="24"/>
                <w:szCs w:val="24"/>
              </w:rPr>
            </w:pPr>
          </w:p>
          <w:p w:rsidR="003D0F42" w:rsidRPr="00105C12" w:rsidRDefault="003D0F42" w:rsidP="003D0F42">
            <w:pPr>
              <w:pStyle w:val="Bezriadkovania"/>
              <w:numPr>
                <w:ilvl w:val="0"/>
                <w:numId w:val="3"/>
              </w:numPr>
              <w:ind w:left="426" w:hanging="426"/>
              <w:jc w:val="both"/>
              <w:rPr>
                <w:rFonts w:ascii="Times New Roman" w:hAnsi="Times New Roman"/>
                <w:color w:val="000000"/>
                <w:sz w:val="24"/>
                <w:szCs w:val="24"/>
              </w:rPr>
            </w:pPr>
            <w:r w:rsidRPr="00105C12">
              <w:rPr>
                <w:rFonts w:ascii="Times New Roman" w:hAnsi="Times New Roman"/>
                <w:color w:val="000000"/>
                <w:sz w:val="24"/>
                <w:szCs w:val="24"/>
              </w:rPr>
              <w:t>Ak úkony súvisiace s programom ochrany nemôže vykonať osoba, ktorá zastupuje maloletú osobu a program ochrany je v záujme maloletej osoby, úkony súvisiace s programom ochrany vykoná maloletá osoba osobne. Úkony maloletej osoby súvisiace s programom ochrany musia byť schválené súdom;</w:t>
            </w:r>
            <w:r w:rsidR="000649D3" w:rsidRPr="00105C12">
              <w:rPr>
                <w:rFonts w:ascii="Times New Roman" w:hAnsi="Times New Roman"/>
                <w:color w:val="000000"/>
                <w:sz w:val="24"/>
                <w:szCs w:val="24"/>
                <w:vertAlign w:val="superscript"/>
              </w:rPr>
              <w:t>6</w:t>
            </w:r>
            <w:r w:rsidR="000649D3" w:rsidRPr="00105C12">
              <w:rPr>
                <w:rFonts w:ascii="Times New Roman" w:hAnsi="Times New Roman"/>
                <w:color w:val="000000"/>
                <w:sz w:val="24"/>
                <w:szCs w:val="24"/>
              </w:rPr>
              <w:t>)</w:t>
            </w:r>
            <w:r w:rsidRPr="00105C12">
              <w:rPr>
                <w:rFonts w:ascii="Times New Roman" w:hAnsi="Times New Roman"/>
                <w:color w:val="000000"/>
                <w:sz w:val="24"/>
                <w:szCs w:val="24"/>
              </w:rPr>
              <w:t xml:space="preserve"> návrh na schválenie </w:t>
            </w:r>
            <w:r w:rsidR="00785F1E">
              <w:rPr>
                <w:rFonts w:ascii="Times New Roman" w:hAnsi="Times New Roman"/>
                <w:color w:val="000000"/>
                <w:sz w:val="24"/>
                <w:szCs w:val="24"/>
              </w:rPr>
              <w:t>úkonov maloletej osoby súvisiacich</w:t>
            </w:r>
            <w:r w:rsidRPr="00105C12">
              <w:rPr>
                <w:rFonts w:ascii="Times New Roman" w:hAnsi="Times New Roman"/>
                <w:color w:val="000000"/>
                <w:sz w:val="24"/>
                <w:szCs w:val="24"/>
              </w:rPr>
              <w:t xml:space="preserve"> s programom ochrany súdu podáva útvar.</w:t>
            </w:r>
            <w:r w:rsidR="00105C12">
              <w:rPr>
                <w:rFonts w:ascii="Times New Roman" w:hAnsi="Times New Roman"/>
                <w:color w:val="000000"/>
                <w:sz w:val="24"/>
                <w:szCs w:val="24"/>
              </w:rPr>
              <w:t>“.</w:t>
            </w:r>
          </w:p>
          <w:p w:rsidR="00AD5571" w:rsidRDefault="00AD5571" w:rsidP="00105C12">
            <w:pPr>
              <w:widowControl w:val="0"/>
              <w:autoSpaceDE w:val="0"/>
              <w:autoSpaceDN w:val="0"/>
              <w:adjustRightInd w:val="0"/>
              <w:jc w:val="both"/>
            </w:pPr>
          </w:p>
          <w:p w:rsidR="00AD5571" w:rsidRDefault="007118FC" w:rsidP="00AD5571">
            <w:pPr>
              <w:widowControl w:val="0"/>
              <w:autoSpaceDE w:val="0"/>
              <w:autoSpaceDN w:val="0"/>
              <w:adjustRightInd w:val="0"/>
              <w:ind w:firstLine="397"/>
              <w:jc w:val="both"/>
            </w:pPr>
            <w:r>
              <w:t>Pozná</w:t>
            </w:r>
            <w:r w:rsidR="00105C12">
              <w:t>mky</w:t>
            </w:r>
            <w:r w:rsidR="00AD5571">
              <w:t xml:space="preserve"> pod čiarou</w:t>
            </w:r>
            <w:r w:rsidR="00105C12">
              <w:t xml:space="preserve"> k odkazom 5 a 6</w:t>
            </w:r>
            <w:r w:rsidR="0047116B">
              <w:t xml:space="preserve"> zn</w:t>
            </w:r>
            <w:r w:rsidR="00105C12">
              <w:t>ejú</w:t>
            </w:r>
            <w:r w:rsidR="00AD5571">
              <w:t>:</w:t>
            </w:r>
          </w:p>
          <w:p w:rsidR="00AD5571" w:rsidRDefault="00AD5571" w:rsidP="00AD5571">
            <w:pPr>
              <w:widowControl w:val="0"/>
              <w:autoSpaceDE w:val="0"/>
              <w:autoSpaceDN w:val="0"/>
              <w:adjustRightInd w:val="0"/>
              <w:jc w:val="both"/>
            </w:pPr>
          </w:p>
          <w:p w:rsidR="00AD5571" w:rsidRPr="00562434" w:rsidRDefault="00AD5571" w:rsidP="00AD5571">
            <w:pPr>
              <w:widowControl w:val="0"/>
              <w:autoSpaceDE w:val="0"/>
              <w:autoSpaceDN w:val="0"/>
              <w:adjustRightInd w:val="0"/>
              <w:jc w:val="both"/>
            </w:pPr>
            <w:r w:rsidRPr="00562434">
              <w:t>„</w:t>
            </w:r>
            <w:r w:rsidRPr="00562434">
              <w:rPr>
                <w:vertAlign w:val="superscript"/>
              </w:rPr>
              <w:t>5</w:t>
            </w:r>
            <w:r w:rsidRPr="00562434">
              <w:t>) § 26, § 27 a 30 Občianskeho zákonníka.</w:t>
            </w:r>
          </w:p>
          <w:p w:rsidR="000649D3" w:rsidRPr="00562434" w:rsidRDefault="00AD5571" w:rsidP="00AD5571">
            <w:pPr>
              <w:widowControl w:val="0"/>
              <w:autoSpaceDE w:val="0"/>
              <w:autoSpaceDN w:val="0"/>
              <w:adjustRightInd w:val="0"/>
              <w:ind w:left="284"/>
              <w:jc w:val="both"/>
            </w:pPr>
            <w:r w:rsidRPr="00562434">
              <w:t xml:space="preserve"> § 31</w:t>
            </w:r>
            <w:r w:rsidR="00105C12" w:rsidRPr="00562434">
              <w:t xml:space="preserve"> ods. 1</w:t>
            </w:r>
            <w:r w:rsidRPr="00562434">
              <w:t>, § 39 ods. 2 a 3, § 56 ods. 1, § 57 ods. 4 a § 60 zákona č. 36/2005 Z. z. o rodine a o zmene a doplnení niektorých zákonov v znení neskorších predpisov.</w:t>
            </w:r>
          </w:p>
          <w:p w:rsidR="000649D3" w:rsidRPr="00562434" w:rsidRDefault="000649D3" w:rsidP="000649D3">
            <w:pPr>
              <w:pStyle w:val="Bezriadkovania"/>
              <w:ind w:left="340" w:hanging="224"/>
              <w:jc w:val="both"/>
              <w:rPr>
                <w:rFonts w:ascii="Times New Roman" w:hAnsi="Times New Roman"/>
                <w:color w:val="000000"/>
                <w:sz w:val="24"/>
                <w:szCs w:val="24"/>
              </w:rPr>
            </w:pPr>
            <w:r w:rsidRPr="00562434">
              <w:rPr>
                <w:rFonts w:ascii="Times New Roman" w:hAnsi="Times New Roman"/>
                <w:color w:val="000000"/>
                <w:sz w:val="24"/>
                <w:szCs w:val="24"/>
                <w:vertAlign w:val="superscript"/>
              </w:rPr>
              <w:t xml:space="preserve"> 6</w:t>
            </w:r>
            <w:r w:rsidRPr="00562434">
              <w:rPr>
                <w:rFonts w:ascii="Times New Roman" w:hAnsi="Times New Roman"/>
                <w:color w:val="000000"/>
                <w:sz w:val="24"/>
                <w:szCs w:val="24"/>
              </w:rPr>
              <w:t>) § 111 písm. i) Civilného mimosporového     poriadku.“.</w:t>
            </w:r>
          </w:p>
          <w:p w:rsidR="00AD5571" w:rsidRPr="00562434" w:rsidRDefault="00AD5571" w:rsidP="000649D3">
            <w:pPr>
              <w:widowControl w:val="0"/>
              <w:autoSpaceDE w:val="0"/>
              <w:autoSpaceDN w:val="0"/>
              <w:adjustRightInd w:val="0"/>
              <w:jc w:val="both"/>
            </w:pPr>
          </w:p>
          <w:p w:rsidR="00AD5571" w:rsidRDefault="00AD5571" w:rsidP="00AD5571">
            <w:pPr>
              <w:widowControl w:val="0"/>
              <w:autoSpaceDE w:val="0"/>
              <w:autoSpaceDN w:val="0"/>
              <w:adjustRightInd w:val="0"/>
              <w:jc w:val="both"/>
            </w:pPr>
          </w:p>
          <w:p w:rsidR="00AD5571" w:rsidRDefault="00AD5571" w:rsidP="00E43A09">
            <w:pPr>
              <w:pStyle w:val="Bezriadkovania"/>
              <w:spacing w:after="120"/>
              <w:jc w:val="both"/>
              <w:rPr>
                <w:rFonts w:ascii="Times New Roman" w:hAnsi="Times New Roman" w:cs="Times New Roman"/>
                <w:sz w:val="24"/>
                <w:szCs w:val="24"/>
              </w:rPr>
            </w:pPr>
          </w:p>
          <w:p w:rsidR="0015334D" w:rsidRPr="00BA3228" w:rsidRDefault="0015334D" w:rsidP="00BA3228">
            <w:pPr>
              <w:pStyle w:val="Textpoznmkypodiarou"/>
              <w:ind w:left="322"/>
              <w:jc w:val="both"/>
              <w:rPr>
                <w:rFonts w:ascii="Times New Roman" w:hAnsi="Times New Roman"/>
                <w:color w:val="FF3399"/>
                <w:sz w:val="24"/>
                <w:szCs w:val="24"/>
              </w:rPr>
            </w:pP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lastRenderedPageBreak/>
              <w:t>GPSR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4. K čl. I (§ 18 ods. 2) – O:</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Navrhujeme slová „sa primerane použijú aj pri zabezpečovaní a poskytovaní ochrany a pomoci svedkovi“ nahradiť slovami „sa primerane použijú aj pri poskytovaní ochrany a pomoci svedkovi“. Ide o formulačnú pripomienku korešpondujúcu s § 1 ods. 1 písm. a) čl. I a s prvým novelizačným bodom [§ 2 ods. 1 písm. e)] čl. II návrhu zákona.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rsidP="00AD5571">
            <w:pPr>
              <w:jc w:val="center"/>
              <w:rPr>
                <w:rFonts w:ascii="Times" w:hAnsi="Times" w:cs="Times"/>
                <w:sz w:val="25"/>
                <w:szCs w:val="25"/>
              </w:rPr>
            </w:pPr>
            <w:r>
              <w:rPr>
                <w:rFonts w:ascii="Times" w:hAnsi="Times" w:cs="Times"/>
                <w:sz w:val="25"/>
                <w:szCs w:val="25"/>
              </w:rPr>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6B1BAE" w:rsidRPr="006B1BAE" w:rsidRDefault="003F5508" w:rsidP="00AD5571">
            <w:pPr>
              <w:jc w:val="center"/>
              <w:rPr>
                <w:rFonts w:ascii="Times" w:hAnsi="Times" w:cs="Times"/>
                <w:sz w:val="25"/>
                <w:szCs w:val="25"/>
              </w:rPr>
            </w:pPr>
            <w:r>
              <w:rPr>
                <w:rFonts w:ascii="Times" w:hAnsi="Times" w:cs="Times"/>
                <w:sz w:val="25"/>
                <w:szCs w:val="25"/>
              </w:rPr>
              <w:t>ČA</w:t>
            </w:r>
          </w:p>
        </w:tc>
        <w:tc>
          <w:tcPr>
            <w:tcW w:w="1830" w:type="pct"/>
            <w:tcBorders>
              <w:top w:val="outset" w:sz="6" w:space="0" w:color="000000"/>
              <w:left w:val="outset" w:sz="6" w:space="0" w:color="000000"/>
              <w:bottom w:val="outset" w:sz="6" w:space="0" w:color="000000"/>
              <w:right w:val="outset" w:sz="6" w:space="0" w:color="000000"/>
            </w:tcBorders>
            <w:hideMark/>
          </w:tcPr>
          <w:p w:rsidR="006B1BAE" w:rsidRPr="00A53EDF" w:rsidRDefault="006B1BAE" w:rsidP="006B1BAE">
            <w:pPr>
              <w:jc w:val="both"/>
            </w:pPr>
            <w:r w:rsidRPr="00A53EDF">
              <w:t>V § 18 ods. 2 je slovo „zabezpečovanie“ použité v súvislosti s tým, že</w:t>
            </w:r>
            <w:r w:rsidR="00993B2E" w:rsidRPr="00A53EDF">
              <w:t> príslušný</w:t>
            </w:r>
            <w:r w:rsidRPr="00A53EDF">
              <w:t xml:space="preserve"> útvar</w:t>
            </w:r>
            <w:r w:rsidR="00993B2E" w:rsidRPr="00A53EDF">
              <w:t xml:space="preserve"> Policajného zboru</w:t>
            </w:r>
            <w:r w:rsidR="00AD5571" w:rsidRPr="00A53EDF">
              <w:t xml:space="preserve"> v istých prípadoch zabezpečuje potrebné úkony a opatrenia, ktoré sú potrebné pre</w:t>
            </w:r>
            <w:r w:rsidR="00A53EDF" w:rsidRPr="00A53EDF">
              <w:t xml:space="preserve"> život</w:t>
            </w:r>
            <w:r w:rsidR="00AD5571" w:rsidRPr="00A53EDF">
              <w:t xml:space="preserve"> svedka z </w:t>
            </w:r>
            <w:r w:rsidR="00A53EDF" w:rsidRPr="00A53EDF">
              <w:t>iného štátu, voči ktorému</w:t>
            </w:r>
            <w:r w:rsidR="00AD5571" w:rsidRPr="00A53EDF">
              <w:t xml:space="preserve"> orgán iného štátu rozhodol o obdobných opatreniach a úkonoch ako program ochrany</w:t>
            </w:r>
            <w:r w:rsidR="00253D95">
              <w:t xml:space="preserve"> a</w:t>
            </w:r>
            <w:r w:rsidR="00A53EDF" w:rsidRPr="00A53EDF">
              <w:t xml:space="preserve"> ktorý je umiestnený na území Slovenskej republiky</w:t>
            </w:r>
            <w:r w:rsidR="00AD5571" w:rsidRPr="00A53EDF">
              <w:t xml:space="preserve">, ale </w:t>
            </w:r>
            <w:r w:rsidR="00A53EDF" w:rsidRPr="00A53EDF">
              <w:t xml:space="preserve">tieto úkony a opatrenia </w:t>
            </w:r>
            <w:r w:rsidR="00AD5571" w:rsidRPr="00A53EDF">
              <w:t xml:space="preserve">nepredstavujú </w:t>
            </w:r>
            <w:r w:rsidR="00E13A11">
              <w:t xml:space="preserve">samotné </w:t>
            </w:r>
            <w:r w:rsidR="00AD5571" w:rsidRPr="00A53EDF">
              <w:t>poskytovanie ochrany a pomoci</w:t>
            </w:r>
            <w:r w:rsidR="00A53EDF" w:rsidRPr="00A53EDF">
              <w:t xml:space="preserve">. </w:t>
            </w:r>
            <w:r w:rsidR="00F12114">
              <w:t xml:space="preserve">Rešpektujúc požiadavku GP SR o zosúladenie </w:t>
            </w:r>
            <w:r w:rsidR="00105AB7">
              <w:t>formulácií § 18 </w:t>
            </w:r>
            <w:r w:rsidR="00F12114">
              <w:t>ods. 2 a § 1 ods. 1 písm.</w:t>
            </w:r>
            <w:r w:rsidR="001B70E3">
              <w:t xml:space="preserve"> a) v čl. I a § 2 ods. 1 písm. </w:t>
            </w:r>
            <w:r w:rsidR="001B70E3" w:rsidRPr="004B4664">
              <w:t>m</w:t>
            </w:r>
            <w:r w:rsidR="00F12114" w:rsidRPr="004B4664">
              <w:t>)</w:t>
            </w:r>
            <w:r w:rsidR="00F12114">
              <w:t xml:space="preserve"> v čl. II </w:t>
            </w:r>
            <w:r w:rsidR="003F5508">
              <w:t> </w:t>
            </w:r>
            <w:r w:rsidR="00105AB7">
              <w:t xml:space="preserve">sa do týchto ustanovení doplnilo slovo „zabezpečuje“, pretože útvar Policajného zboru zabezpečuje ochranu a pomoc aj ohrozenému svedkovi a chránenému svedkovi voči ktorému vykonáva predbežné vykonávanie programu ochrany či program ochrany podľa návrhu zákona. </w:t>
            </w:r>
          </w:p>
          <w:p w:rsidR="00A53EDF" w:rsidRPr="00A53EDF" w:rsidRDefault="00A53EDF" w:rsidP="00105AB7">
            <w:pPr>
              <w:jc w:val="both"/>
              <w:rPr>
                <w:lang w:eastAsia="en-GB"/>
              </w:rPr>
            </w:pP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GPSR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6. K čl. I (§ 22) – O:</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Navrhujeme slová „správnym súdom“ nahradiť slovami „súdmi správneho súdnictva“. Ide o formulačnú pripomienku korešpondu</w:t>
            </w:r>
            <w:r w:rsidR="00880A52">
              <w:rPr>
                <w:rFonts w:ascii="Times New Roman" w:hAnsi="Times New Roman" w:cs="Times New Roman"/>
                <w:sz w:val="24"/>
                <w:szCs w:val="24"/>
              </w:rPr>
              <w:t>júcu s § 5 ods. 1 a 4 zákona č. </w:t>
            </w:r>
            <w:r w:rsidRPr="001A7227">
              <w:rPr>
                <w:rFonts w:ascii="Times New Roman" w:hAnsi="Times New Roman" w:cs="Times New Roman"/>
                <w:sz w:val="24"/>
                <w:szCs w:val="24"/>
              </w:rPr>
              <w:t>757/2004 Z. z. o súdoch a o zmene a doplnení niektorých zákonov.</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A7227">
            <w:pPr>
              <w:jc w:val="center"/>
              <w:rPr>
                <w:rFonts w:ascii="Times" w:hAnsi="Times" w:cs="Times"/>
                <w:sz w:val="25"/>
                <w:szCs w:val="25"/>
              </w:rPr>
            </w:pPr>
            <w:r w:rsidRPr="00A53EDF">
              <w:rPr>
                <w:rFonts w:ascii="Times" w:hAnsi="Times" w:cs="Times"/>
                <w:sz w:val="25"/>
                <w:szCs w:val="25"/>
              </w:rPr>
              <w:t>A</w:t>
            </w:r>
          </w:p>
        </w:tc>
        <w:tc>
          <w:tcPr>
            <w:tcW w:w="1830" w:type="pct"/>
            <w:tcBorders>
              <w:top w:val="outset" w:sz="6" w:space="0" w:color="000000"/>
              <w:left w:val="outset" w:sz="6" w:space="0" w:color="000000"/>
              <w:bottom w:val="outset" w:sz="6" w:space="0" w:color="000000"/>
              <w:right w:val="outset" w:sz="6" w:space="0" w:color="000000"/>
            </w:tcBorders>
            <w:hideMark/>
          </w:tcPr>
          <w:p w:rsidR="0015334D" w:rsidRDefault="0015334D" w:rsidP="001A7227">
            <w:pPr>
              <w:jc w:val="both"/>
              <w:rPr>
                <w:sz w:val="20"/>
                <w:szCs w:val="20"/>
              </w:rPr>
            </w:pP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GPSR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numPr>
                <w:ilvl w:val="0"/>
                <w:numId w:val="1"/>
              </w:numPr>
              <w:ind w:left="270" w:hanging="270"/>
              <w:jc w:val="both"/>
              <w:rPr>
                <w:rFonts w:ascii="Times New Roman" w:hAnsi="Times New Roman" w:cs="Times New Roman"/>
                <w:sz w:val="24"/>
                <w:szCs w:val="24"/>
              </w:rPr>
            </w:pPr>
            <w:r w:rsidRPr="001A7227">
              <w:rPr>
                <w:rFonts w:ascii="Times New Roman" w:hAnsi="Times New Roman" w:cs="Times New Roman"/>
                <w:b/>
                <w:bCs/>
                <w:sz w:val="24"/>
                <w:szCs w:val="24"/>
              </w:rPr>
              <w:t>K čl. I (§ 7) – O:</w:t>
            </w:r>
          </w:p>
          <w:p w:rsidR="0015334D" w:rsidRPr="001A7227" w:rsidRDefault="0015334D" w:rsidP="001A7227">
            <w:pPr>
              <w:pStyle w:val="Bezriadkovania"/>
              <w:ind w:left="-14" w:firstLine="14"/>
              <w:jc w:val="both"/>
              <w:rPr>
                <w:rFonts w:ascii="Times New Roman" w:hAnsi="Times New Roman" w:cs="Times New Roman"/>
                <w:sz w:val="24"/>
                <w:szCs w:val="24"/>
              </w:rPr>
            </w:pPr>
            <w:r w:rsidRPr="001A7227">
              <w:rPr>
                <w:rFonts w:ascii="Times New Roman" w:hAnsi="Times New Roman" w:cs="Times New Roman"/>
                <w:sz w:val="24"/>
                <w:szCs w:val="24"/>
              </w:rPr>
              <w:t xml:space="preserve">Navrhujeme v § 7 doplniť písmeno h), ktoré znie: „h) podrobiť sa opatreniam a úkonom na zabezpečenie jeho ochrany.“. Ide o vecnú zmenu (rozšírenie zákonom ustanovených povinností chráneného svedka), ktorá </w:t>
            </w:r>
            <w:r w:rsidRPr="001A7227">
              <w:rPr>
                <w:rFonts w:ascii="Times New Roman" w:hAnsi="Times New Roman" w:cs="Times New Roman"/>
                <w:sz w:val="24"/>
                <w:szCs w:val="24"/>
              </w:rPr>
              <w:lastRenderedPageBreak/>
              <w:t>konkretizuje všeobecnú zákonom ustanovenú povinnosť chráneného svedka „dodržiavať program ochrany“ [písmeno a)]. Táto vecná zmena korešponduje s legálnou definíciou právneho pojmu „program ochrany“ ustanoveného v § 2 ods. 5 návrhu zákona a podmienkam na ukončenie programu ochrany ustanoveným v § 14 ods. 5 písm. b) treťom bode návrhu zákona.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Pr="00A53EDF" w:rsidRDefault="0015334D">
            <w:pPr>
              <w:jc w:val="center"/>
              <w:rPr>
                <w:rFonts w:ascii="Times" w:hAnsi="Times" w:cs="Times"/>
                <w:sz w:val="25"/>
                <w:szCs w:val="25"/>
              </w:rPr>
            </w:pPr>
            <w:r w:rsidRPr="00A53EDF">
              <w:rPr>
                <w:rFonts w:ascii="Times" w:hAnsi="Times" w:cs="Times"/>
                <w:sz w:val="25"/>
                <w:szCs w:val="25"/>
              </w:rPr>
              <w:lastRenderedPageBreak/>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Pr="00A53EDF" w:rsidRDefault="003C517C">
            <w:pPr>
              <w:jc w:val="center"/>
            </w:pPr>
            <w:r w:rsidRPr="00A53EDF">
              <w:t>N</w:t>
            </w:r>
          </w:p>
        </w:tc>
        <w:tc>
          <w:tcPr>
            <w:tcW w:w="1830" w:type="pct"/>
            <w:tcBorders>
              <w:top w:val="outset" w:sz="6" w:space="0" w:color="000000"/>
              <w:left w:val="outset" w:sz="6" w:space="0" w:color="000000"/>
              <w:bottom w:val="outset" w:sz="6" w:space="0" w:color="000000"/>
              <w:right w:val="outset" w:sz="6" w:space="0" w:color="000000"/>
            </w:tcBorders>
            <w:hideMark/>
          </w:tcPr>
          <w:p w:rsidR="00AE27E1" w:rsidRPr="00A53EDF" w:rsidRDefault="003C517C" w:rsidP="00AE27E1">
            <w:pPr>
              <w:jc w:val="both"/>
            </w:pPr>
            <w:r w:rsidRPr="00A53EDF">
              <w:t xml:space="preserve">§ 2 ods. 5 obsahuje definíciu pojmu „program ochrany“, ktorým je súbor </w:t>
            </w:r>
            <w:r w:rsidR="00A53EDF" w:rsidRPr="00A53EDF">
              <w:t>úkonov</w:t>
            </w:r>
            <w:r w:rsidR="00A53EDF">
              <w:t xml:space="preserve"> a</w:t>
            </w:r>
            <w:r w:rsidR="00A53EDF" w:rsidRPr="00A53EDF">
              <w:t xml:space="preserve"> </w:t>
            </w:r>
            <w:r w:rsidR="00A53EDF">
              <w:t>opatrení</w:t>
            </w:r>
            <w:r w:rsidRPr="00A53EDF">
              <w:t xml:space="preserve">, ktorými útvar Policajného zboru poskytuje ochranu a pomoc ohrozenému svedkovi a chránenému svedkovi. § 7 písm. a) obsahuje </w:t>
            </w:r>
            <w:r w:rsidRPr="00A53EDF">
              <w:lastRenderedPageBreak/>
              <w:t>povinnosť chráneného svedka dodržiavať program ochrany. § 14 ods. 5 písm. b) tretí bod viaže ukončenie programu ochrany na porušenie programu ochrany</w:t>
            </w:r>
            <w:r w:rsidR="00993835">
              <w:t xml:space="preserve"> alebo povinnosti podľa § 7. GP </w:t>
            </w:r>
            <w:r w:rsidRPr="00A53EDF">
              <w:t xml:space="preserve">SR navrhované znenie znamená povinnosť chráneného svedka podrobiť sa programu ochrany. MV SR túto povinnosť považuje za povinnosť, ktorá je </w:t>
            </w:r>
            <w:r w:rsidR="00A53EDF" w:rsidRPr="00A53EDF">
              <w:t>rovnocenná</w:t>
            </w:r>
            <w:r w:rsidRPr="00A53EDF">
              <w:t xml:space="preserve"> povinnosť dodržiavať program ochrany.</w:t>
            </w:r>
            <w:r w:rsidR="00A53EDF" w:rsidRPr="00A53EDF">
              <w:t xml:space="preserve"> </w:t>
            </w:r>
            <w:r w:rsidR="00BC13AB" w:rsidRPr="00A53EDF">
              <w:t>Doplnenie predmetnej povinnosti by bo</w:t>
            </w:r>
            <w:r w:rsidR="006853F6" w:rsidRPr="00A53EDF">
              <w:t xml:space="preserve">lo relevantné, ak by išlo o novú </w:t>
            </w:r>
            <w:r w:rsidR="00BC13AB" w:rsidRPr="00A53EDF">
              <w:t>povinnosť. Keďže ako uvádza GP SR ide o konkretizáciu povinnosti uvedenej v § 7 písm. a)</w:t>
            </w:r>
            <w:r w:rsidR="006853F6" w:rsidRPr="00A53EDF">
              <w:t>, doplnenie by mohlo pôsobiť zmätočne pri aplikácii</w:t>
            </w:r>
            <w:r w:rsidR="00BC13AB" w:rsidRPr="00A53EDF">
              <w:t xml:space="preserve"> </w:t>
            </w:r>
            <w:r w:rsidR="006853F6" w:rsidRPr="00A53EDF">
              <w:t xml:space="preserve">zákona, pretože by nebolo zjavné, v čom spočíva odlišnosť z povinnosti ustanovenej v § 7 písm. a).  </w:t>
            </w: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lastRenderedPageBreak/>
              <w:t>GPSR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2. K čl. I (§ 10 ods. 6) – O:</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Navrhujeme v prvej vete odseku 6 slová „finančnú pôžičku“ nahradiť slovami „peňažnú pôžičku“. Navrhujeme v druhej vete odseku 6 slová „finančnej pôžičky“ nahradiť slovami „peňažnej pôžičky“. Ide o formulačnú pripomienku korešpondujúcu s terminológiou ustanovenou v § 658 ods. 1 Občianskeho zákonníka.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A7227">
            <w:pPr>
              <w:jc w:val="center"/>
              <w:rPr>
                <w:rFonts w:ascii="Times" w:hAnsi="Times" w:cs="Times"/>
                <w:sz w:val="25"/>
                <w:szCs w:val="25"/>
              </w:rPr>
            </w:pPr>
            <w:r w:rsidRPr="009A71EF">
              <w:rPr>
                <w:rFonts w:ascii="Times" w:hAnsi="Times" w:cs="Times"/>
                <w:sz w:val="25"/>
                <w:szCs w:val="25"/>
              </w:rPr>
              <w:t>A</w:t>
            </w:r>
          </w:p>
        </w:tc>
        <w:tc>
          <w:tcPr>
            <w:tcW w:w="1830"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sz w:val="20"/>
                <w:szCs w:val="20"/>
              </w:rPr>
            </w:pP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MDSR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Čl. I § 10 ods. 3</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V čl. I § 10 ods. 3 navrhujme slová „orgánom sociálneho poistenia“ nahradiť slovami „Sociálnou poisťovňou“, kým orgány sociálneho zabezpečenia sú viaceré, orgánom sociálneho poistenia je len Sociálna poisťovňa.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3C517C">
            <w:pPr>
              <w:jc w:val="center"/>
              <w:rPr>
                <w:rFonts w:ascii="Times" w:hAnsi="Times" w:cs="Times"/>
                <w:sz w:val="25"/>
                <w:szCs w:val="25"/>
              </w:rPr>
            </w:pPr>
            <w:r w:rsidRPr="009A71EF">
              <w:rPr>
                <w:rFonts w:ascii="Times" w:hAnsi="Times" w:cs="Times"/>
                <w:sz w:val="25"/>
                <w:szCs w:val="25"/>
              </w:rPr>
              <w:t>N</w:t>
            </w:r>
          </w:p>
        </w:tc>
        <w:tc>
          <w:tcPr>
            <w:tcW w:w="1830" w:type="pct"/>
            <w:tcBorders>
              <w:top w:val="outset" w:sz="6" w:space="0" w:color="000000"/>
              <w:left w:val="outset" w:sz="6" w:space="0" w:color="000000"/>
              <w:bottom w:val="outset" w:sz="6" w:space="0" w:color="000000"/>
              <w:right w:val="outset" w:sz="6" w:space="0" w:color="000000"/>
            </w:tcBorders>
            <w:hideMark/>
          </w:tcPr>
          <w:p w:rsidR="000D6788" w:rsidRDefault="00C278ED" w:rsidP="000D6788">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Pojem „orgán sociálneho </w:t>
            </w:r>
            <w:r w:rsidR="00D83D80">
              <w:rPr>
                <w:rFonts w:ascii="Times New Roman" w:hAnsi="Times New Roman" w:cs="Times New Roman"/>
                <w:sz w:val="24"/>
                <w:szCs w:val="24"/>
              </w:rPr>
              <w:t>poistenia</w:t>
            </w:r>
            <w:r>
              <w:rPr>
                <w:rFonts w:ascii="Times New Roman" w:hAnsi="Times New Roman" w:cs="Times New Roman"/>
                <w:sz w:val="24"/>
                <w:szCs w:val="24"/>
              </w:rPr>
              <w:t xml:space="preserve">“ je pojem používaný napr. v zákone č. 475/2005 Z. z. </w:t>
            </w:r>
            <w:r w:rsidR="008B50DA">
              <w:rPr>
                <w:rFonts w:ascii="Times New Roman" w:hAnsi="Times New Roman" w:cs="Times New Roman"/>
                <w:sz w:val="24"/>
                <w:szCs w:val="24"/>
              </w:rPr>
              <w:t>o </w:t>
            </w:r>
            <w:r w:rsidRPr="00C278ED">
              <w:rPr>
                <w:rFonts w:ascii="Times New Roman" w:hAnsi="Times New Roman" w:cs="Times New Roman"/>
                <w:sz w:val="24"/>
                <w:szCs w:val="24"/>
              </w:rPr>
              <w:t>výkone trestu odňatia slobody a o zmene a doplnení niektorých zákonov</w:t>
            </w:r>
            <w:r>
              <w:rPr>
                <w:rFonts w:ascii="Times New Roman" w:hAnsi="Times New Roman" w:cs="Times New Roman"/>
                <w:sz w:val="24"/>
                <w:szCs w:val="24"/>
              </w:rPr>
              <w:t xml:space="preserve"> v znení neskorších predpisov, </w:t>
            </w:r>
            <w:r w:rsidR="000D6788">
              <w:rPr>
                <w:rFonts w:ascii="Times New Roman" w:hAnsi="Times New Roman" w:cs="Times New Roman"/>
                <w:sz w:val="24"/>
                <w:szCs w:val="24"/>
              </w:rPr>
              <w:t>zákone č. 328/2002 Z. z. o sociálnom zabezpečení policajtov a vojakov a o zmene a doplnení niektorých zákonov v znení neskorších predpisov či zákon č. 221/2006</w:t>
            </w:r>
            <w:r w:rsidR="00C811C2">
              <w:rPr>
                <w:rFonts w:ascii="Times New Roman" w:hAnsi="Times New Roman" w:cs="Times New Roman"/>
                <w:sz w:val="24"/>
                <w:szCs w:val="24"/>
              </w:rPr>
              <w:t xml:space="preserve"> Z. z.</w:t>
            </w:r>
            <w:r w:rsidR="000D6788">
              <w:rPr>
                <w:rFonts w:ascii="Times New Roman" w:hAnsi="Times New Roman" w:cs="Times New Roman"/>
                <w:sz w:val="24"/>
                <w:szCs w:val="24"/>
              </w:rPr>
              <w:t xml:space="preserve"> o výkone väzby v znení neskorších predpisov, preto nejde o pojem, ktorý by nebolo možné v právnom predpise použiť z dôvodu, že príslušný orgán nie je </w:t>
            </w:r>
            <w:r w:rsidR="000D6788">
              <w:rPr>
                <w:rFonts w:ascii="Times New Roman" w:hAnsi="Times New Roman" w:cs="Times New Roman"/>
                <w:sz w:val="24"/>
                <w:szCs w:val="24"/>
              </w:rPr>
              <w:lastRenderedPageBreak/>
              <w:t>možné identifikovať</w:t>
            </w:r>
            <w:r w:rsidR="009A71EF">
              <w:rPr>
                <w:rFonts w:ascii="Times New Roman" w:hAnsi="Times New Roman" w:cs="Times New Roman"/>
                <w:sz w:val="24"/>
                <w:szCs w:val="24"/>
              </w:rPr>
              <w:t>, keďže ide o pojem používaný vo viacerých právnych predpisoch nevyvolávajúci poch</w:t>
            </w:r>
            <w:r w:rsidR="008B50DA">
              <w:rPr>
                <w:rFonts w:ascii="Times New Roman" w:hAnsi="Times New Roman" w:cs="Times New Roman"/>
                <w:sz w:val="24"/>
                <w:szCs w:val="24"/>
              </w:rPr>
              <w:t>ybnosti, o ktorý</w:t>
            </w:r>
            <w:r w:rsidR="009A71EF">
              <w:rPr>
                <w:rFonts w:ascii="Times New Roman" w:hAnsi="Times New Roman" w:cs="Times New Roman"/>
                <w:sz w:val="24"/>
                <w:szCs w:val="24"/>
              </w:rPr>
              <w:t xml:space="preserve"> konkrétny orgán ide</w:t>
            </w:r>
            <w:r w:rsidR="000D6788">
              <w:rPr>
                <w:rFonts w:ascii="Times New Roman" w:hAnsi="Times New Roman" w:cs="Times New Roman"/>
                <w:sz w:val="24"/>
                <w:szCs w:val="24"/>
              </w:rPr>
              <w:t>.</w:t>
            </w:r>
          </w:p>
          <w:p w:rsidR="0015334D" w:rsidRDefault="000D6788" w:rsidP="000D6788">
            <w:pPr>
              <w:pStyle w:val="Bezriadkovania"/>
              <w:jc w:val="both"/>
              <w:rPr>
                <w:rFonts w:ascii="Times New Roman" w:hAnsi="Times New Roman" w:cs="Times New Roman"/>
                <w:sz w:val="24"/>
                <w:szCs w:val="24"/>
              </w:rPr>
            </w:pPr>
            <w:r>
              <w:rPr>
                <w:rFonts w:ascii="Times New Roman" w:hAnsi="Times New Roman" w:cs="Times New Roman"/>
                <w:sz w:val="24"/>
                <w:szCs w:val="24"/>
              </w:rPr>
              <w:t>Znenie § 10 ods. 3 bolo dohodnuté s MPSVR SR na rozporovom konaní uskutočnenom ku zneniu zákona, ktorý sa do legislatívneho procesu predložil v predchádzajúcom</w:t>
            </w:r>
            <w:r w:rsidRPr="000A2AB8">
              <w:rPr>
                <w:rFonts w:ascii="Times New Roman" w:hAnsi="Times New Roman" w:cs="Times New Roman"/>
                <w:sz w:val="24"/>
                <w:szCs w:val="24"/>
              </w:rPr>
              <w:t xml:space="preserve"> v</w:t>
            </w:r>
            <w:r>
              <w:rPr>
                <w:rFonts w:ascii="Times New Roman" w:hAnsi="Times New Roman" w:cs="Times New Roman"/>
                <w:sz w:val="24"/>
                <w:szCs w:val="24"/>
              </w:rPr>
              <w:t>olebnom období, ale voči ktorému</w:t>
            </w:r>
            <w:r w:rsidRPr="000A2AB8">
              <w:rPr>
                <w:rFonts w:ascii="Times New Roman" w:hAnsi="Times New Roman" w:cs="Times New Roman"/>
                <w:sz w:val="24"/>
                <w:szCs w:val="24"/>
              </w:rPr>
              <w:t xml:space="preserve"> neprebehol celý legislatívny proces v Národnej rade Slovenskej republiky</w:t>
            </w:r>
            <w:r>
              <w:rPr>
                <w:rFonts w:ascii="Times New Roman" w:hAnsi="Times New Roman" w:cs="Times New Roman"/>
                <w:sz w:val="24"/>
                <w:szCs w:val="24"/>
              </w:rPr>
              <w:t xml:space="preserve"> z dôvodu predčasného ukončenia volebného obdobia. </w:t>
            </w:r>
          </w:p>
          <w:p w:rsidR="003C517C" w:rsidRPr="00C278ED" w:rsidRDefault="003C517C" w:rsidP="009A71EF">
            <w:pPr>
              <w:pStyle w:val="Bezriadkovania"/>
              <w:jc w:val="both"/>
              <w:rPr>
                <w:rFonts w:ascii="Times New Roman" w:hAnsi="Times New Roman" w:cs="Times New Roman"/>
                <w:sz w:val="24"/>
                <w:szCs w:val="24"/>
              </w:rPr>
            </w:pP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lastRenderedPageBreak/>
              <w:t>MDSR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Čl. I § 10 ods. 6</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 xml:space="preserve">V čl. I § 10 ods. 6 navrhujeme slovo „finančnú“ vo všetkých tvaroch nahradiť slovom „peňažnú“ v príslušnom tvare, Občiansky zákonník v § 657 a 658 explicitne hovorí o nepeňažnej pôžičke ako o jednej z foriem </w:t>
            </w:r>
            <w:r w:rsidR="00632D2B">
              <w:rPr>
                <w:rFonts w:ascii="Times New Roman" w:hAnsi="Times New Roman" w:cs="Times New Roman"/>
                <w:sz w:val="24"/>
                <w:szCs w:val="24"/>
              </w:rPr>
              <w:t>pôžičky, z uvedeného možno vyvo</w:t>
            </w:r>
            <w:r w:rsidRPr="001A7227">
              <w:rPr>
                <w:rFonts w:ascii="Times New Roman" w:hAnsi="Times New Roman" w:cs="Times New Roman"/>
                <w:sz w:val="24"/>
                <w:szCs w:val="24"/>
              </w:rPr>
              <w:t>diť, že je aj forma peňažnej pôžičky, pričom pojem „peňažný“ používa Občiansky zákonník častejšie.</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632D2B">
            <w:pPr>
              <w:jc w:val="center"/>
              <w:rPr>
                <w:rFonts w:ascii="Times" w:hAnsi="Times" w:cs="Times"/>
                <w:sz w:val="25"/>
                <w:szCs w:val="25"/>
              </w:rPr>
            </w:pPr>
            <w:r w:rsidRPr="009A71EF">
              <w:rPr>
                <w:rFonts w:ascii="Times" w:hAnsi="Times" w:cs="Times"/>
                <w:sz w:val="25"/>
                <w:szCs w:val="25"/>
              </w:rPr>
              <w:t>A</w:t>
            </w:r>
          </w:p>
        </w:tc>
        <w:tc>
          <w:tcPr>
            <w:tcW w:w="1830"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sz w:val="20"/>
                <w:szCs w:val="20"/>
              </w:rPr>
            </w:pP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MDSR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Čl. I § 17</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V čl. I § 17 navrhujeme slovo „vznikla“ vyjadriť dokonavým vidom.</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Pr="00BA0E5F" w:rsidRDefault="0015334D">
            <w:pPr>
              <w:jc w:val="center"/>
            </w:pPr>
            <w:r w:rsidRPr="00BA0E5F">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Pr="00BA0E5F" w:rsidRDefault="00BA0E5F">
            <w:pPr>
              <w:jc w:val="center"/>
            </w:pPr>
            <w:r w:rsidRPr="009A71EF">
              <w:t>N</w:t>
            </w:r>
          </w:p>
        </w:tc>
        <w:tc>
          <w:tcPr>
            <w:tcW w:w="1830" w:type="pct"/>
            <w:tcBorders>
              <w:top w:val="outset" w:sz="6" w:space="0" w:color="000000"/>
              <w:left w:val="outset" w:sz="6" w:space="0" w:color="000000"/>
              <w:bottom w:val="outset" w:sz="6" w:space="0" w:color="000000"/>
              <w:right w:val="outset" w:sz="6" w:space="0" w:color="000000"/>
            </w:tcBorders>
            <w:hideMark/>
          </w:tcPr>
          <w:p w:rsidR="0015334D" w:rsidRPr="00BA0E5F" w:rsidRDefault="00BA0E5F" w:rsidP="00082D3C">
            <w:pPr>
              <w:jc w:val="both"/>
            </w:pPr>
            <w:r w:rsidRPr="00BA0E5F">
              <w:t>Ide o znenie korešpondujúce so znením § 2 ods. 1</w:t>
            </w:r>
            <w:r w:rsidR="00D47AFE">
              <w:t xml:space="preserve"> ako aj § 3 ods. 2 písm. c)</w:t>
            </w:r>
            <w:r w:rsidRPr="00BA0E5F">
              <w:t>.</w:t>
            </w:r>
            <w:r w:rsidR="00D47AFE">
              <w:t xml:space="preserve"> Ide o zámer predkladateľa.</w:t>
            </w: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MDSR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Čl. I § 18 ods. 2</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V čl. I § 18 ods. 2 navrhujeme slová „Ustanovenia tohto...použijú“ nahradiť slovami „Tento...použije“.</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BA0E5F">
            <w:pPr>
              <w:jc w:val="center"/>
              <w:rPr>
                <w:rFonts w:ascii="Times" w:hAnsi="Times" w:cs="Times"/>
                <w:sz w:val="25"/>
                <w:szCs w:val="25"/>
              </w:rPr>
            </w:pPr>
            <w:r w:rsidRPr="009A71EF">
              <w:rPr>
                <w:rFonts w:ascii="Times" w:hAnsi="Times" w:cs="Times"/>
                <w:sz w:val="25"/>
                <w:szCs w:val="25"/>
              </w:rPr>
              <w:t>A</w:t>
            </w:r>
          </w:p>
        </w:tc>
        <w:tc>
          <w:tcPr>
            <w:tcW w:w="1830" w:type="pct"/>
            <w:tcBorders>
              <w:top w:val="outset" w:sz="6" w:space="0" w:color="000000"/>
              <w:left w:val="outset" w:sz="6" w:space="0" w:color="000000"/>
              <w:bottom w:val="outset" w:sz="6" w:space="0" w:color="000000"/>
              <w:right w:val="outset" w:sz="6" w:space="0" w:color="000000"/>
            </w:tcBorders>
            <w:hideMark/>
          </w:tcPr>
          <w:p w:rsidR="0015334D" w:rsidRPr="007E044B" w:rsidRDefault="0015334D" w:rsidP="00BA0E5F">
            <w:pPr>
              <w:jc w:val="both"/>
              <w:rPr>
                <w:strike/>
              </w:rPr>
            </w:pPr>
          </w:p>
        </w:tc>
      </w:tr>
      <w:tr w:rsidR="0015334D" w:rsidTr="00082D3C">
        <w:trPr>
          <w:divId w:val="769661227"/>
          <w:trHeight w:val="1120"/>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MDSR</w:t>
            </w:r>
          </w:p>
        </w:tc>
        <w:tc>
          <w:tcPr>
            <w:tcW w:w="2130" w:type="pct"/>
            <w:tcBorders>
              <w:top w:val="outset" w:sz="6" w:space="0" w:color="000000"/>
              <w:left w:val="outset" w:sz="6" w:space="0" w:color="000000"/>
              <w:bottom w:val="outset" w:sz="6" w:space="0" w:color="000000"/>
              <w:right w:val="outset" w:sz="6" w:space="0" w:color="000000"/>
            </w:tcBorders>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Čl. I § 19</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 xml:space="preserve">V čl. I § 19 navrhujeme slová „maloletá osoba“ vo všetkých tvaroch nahradiť slovom „maloletý“ (§ 6 ods. 2, § 250 ods. 1 Trestného poriadku a § 9, § 422, § 476a ods. 2 Občianskeho zákonníka) alebo slovami „maloleté dieťa“ (§27 ods. 1, § 114, § 150, § 705 ods. 3 Občianskeho </w:t>
            </w:r>
            <w:r w:rsidRPr="001A7227">
              <w:rPr>
                <w:rFonts w:ascii="Times New Roman" w:hAnsi="Times New Roman" w:cs="Times New Roman"/>
                <w:sz w:val="24"/>
                <w:szCs w:val="24"/>
              </w:rPr>
              <w:lastRenderedPageBreak/>
              <w:t>zákonníka) v príslušnom tvare a slovo „zachováva“ nahradiť slovami „je povinný zachovávať“.</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lastRenderedPageBreak/>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31171E">
            <w:pPr>
              <w:jc w:val="center"/>
              <w:rPr>
                <w:rFonts w:ascii="Times" w:hAnsi="Times" w:cs="Times"/>
                <w:sz w:val="25"/>
                <w:szCs w:val="25"/>
              </w:rPr>
            </w:pPr>
            <w:r>
              <w:rPr>
                <w:rFonts w:ascii="Times" w:hAnsi="Times" w:cs="Times"/>
                <w:sz w:val="25"/>
                <w:szCs w:val="25"/>
              </w:rPr>
              <w:t>ČA</w:t>
            </w:r>
          </w:p>
        </w:tc>
        <w:tc>
          <w:tcPr>
            <w:tcW w:w="1830" w:type="pct"/>
            <w:tcBorders>
              <w:top w:val="outset" w:sz="6" w:space="0" w:color="000000"/>
              <w:left w:val="outset" w:sz="6" w:space="0" w:color="000000"/>
              <w:bottom w:val="outset" w:sz="6" w:space="0" w:color="000000"/>
              <w:right w:val="outset" w:sz="6" w:space="0" w:color="000000"/>
            </w:tcBorders>
            <w:vAlign w:val="center"/>
            <w:hideMark/>
          </w:tcPr>
          <w:p w:rsidR="004D0B37" w:rsidRDefault="004D0B37" w:rsidP="004D0B37">
            <w:pPr>
              <w:pStyle w:val="Nadpis3"/>
              <w:jc w:val="both"/>
              <w:rPr>
                <w:b w:val="0"/>
                <w:sz w:val="24"/>
                <w:szCs w:val="24"/>
              </w:rPr>
            </w:pPr>
            <w:r w:rsidRPr="00C600A5">
              <w:rPr>
                <w:b w:val="0"/>
                <w:sz w:val="24"/>
                <w:szCs w:val="24"/>
              </w:rPr>
              <w:t xml:space="preserve">Pojem „maloletá osoba“ nie je pojmom neznámym právnemu poriadku Slovenskej republiky. Pojem používa zákon č. 578/2004 Z. z. o poskytovateľoch zdravotnej starostlivosti, zdravotníckych pracovníkoch, stavovských organizáciách v zdravotníctve a o zmene a doplnení niektorých </w:t>
            </w:r>
            <w:r w:rsidRPr="00C600A5">
              <w:rPr>
                <w:b w:val="0"/>
                <w:sz w:val="24"/>
                <w:szCs w:val="24"/>
              </w:rPr>
              <w:lastRenderedPageBreak/>
              <w:t>zákonov v znení</w:t>
            </w:r>
            <w:r>
              <w:rPr>
                <w:b w:val="0"/>
                <w:sz w:val="24"/>
                <w:szCs w:val="24"/>
              </w:rPr>
              <w:t xml:space="preserve"> neskorších predpisov, zákon č. </w:t>
            </w:r>
            <w:r w:rsidRPr="00C600A5">
              <w:rPr>
                <w:b w:val="0"/>
                <w:sz w:val="24"/>
                <w:szCs w:val="24"/>
              </w:rPr>
              <w:t>1/2024 Z. z. o organizovaní verejných športových podujatí v znení neskorších predpisov, zákon č. 362/2011 Z. z. o liekoch a zdravotníckych pomôckach a o zmene a doplnení niektorých zákonov</w:t>
            </w:r>
            <w:r>
              <w:rPr>
                <w:b w:val="0"/>
                <w:sz w:val="24"/>
                <w:szCs w:val="24"/>
              </w:rPr>
              <w:t xml:space="preserve"> v znení neskorších predpisov, zákon č. </w:t>
            </w:r>
            <w:r w:rsidRPr="00C600A5">
              <w:rPr>
                <w:b w:val="0"/>
                <w:sz w:val="24"/>
                <w:szCs w:val="24"/>
              </w:rPr>
              <w:t>404/2011 Z. z. o pobyte cudzincov v znení neskorších predpisov a pod.</w:t>
            </w:r>
            <w:r>
              <w:rPr>
                <w:b w:val="0"/>
                <w:sz w:val="24"/>
                <w:szCs w:val="24"/>
              </w:rPr>
              <w:t xml:space="preserve"> Právny poriadok, ako uvádza ministerstvo dopravy, používa aj ďalšie pojmy „maloletý“ a „maloleté dieťa“. Keďže právny poriadok používa všetky tieto uvedené pojmy, je potrebné ich považovať za rovnocenné, ktoré bez pochybností označujú osobu, ktorá nie je plnoletá. Legálna definícia pojmu „maloletý“, „maloleté dieťa“ či „maloletá osoba“ nie je obsiahnutá v právnom poriadku Slovenskej republiky, a keďže právny poriadok používa všetky spomenuté pojmy, uprednostnenie len niektorého z nich za existujúceho právneho stavu by znamenalo popretie legálnosti ostatných pojmov.</w:t>
            </w:r>
          </w:p>
          <w:p w:rsidR="00E765F3" w:rsidRPr="004D0B37" w:rsidRDefault="0031171E" w:rsidP="00082D3C">
            <w:pPr>
              <w:pStyle w:val="Nadpis3"/>
              <w:jc w:val="both"/>
              <w:rPr>
                <w:b w:val="0"/>
                <w:sz w:val="24"/>
                <w:szCs w:val="24"/>
              </w:rPr>
            </w:pPr>
            <w:r>
              <w:rPr>
                <w:b w:val="0"/>
                <w:sz w:val="24"/>
                <w:szCs w:val="24"/>
              </w:rPr>
              <w:t xml:space="preserve">Predbežné vykonávanie programu ochrany </w:t>
            </w:r>
            <w:r w:rsidR="001B5E76">
              <w:rPr>
                <w:b w:val="0"/>
                <w:sz w:val="24"/>
                <w:szCs w:val="24"/>
              </w:rPr>
              <w:t xml:space="preserve">voči ohrozenému svedkovi </w:t>
            </w:r>
            <w:r>
              <w:rPr>
                <w:b w:val="0"/>
                <w:sz w:val="24"/>
                <w:szCs w:val="24"/>
              </w:rPr>
              <w:t>ako aj program ochrany tvoria utajovanú skutočnosť.  Primárna povinnosť zachovávať mlčanlivosť o utajovaných skutočnostiach týkajúcich sa ohrozeného svedka a chránenéh</w:t>
            </w:r>
            <w:r w:rsidR="005A723E">
              <w:rPr>
                <w:b w:val="0"/>
                <w:sz w:val="24"/>
                <w:szCs w:val="24"/>
              </w:rPr>
              <w:t>o svedka vyplýva zo zákona č. </w:t>
            </w:r>
            <w:r>
              <w:rPr>
                <w:b w:val="0"/>
                <w:sz w:val="24"/>
                <w:szCs w:val="24"/>
              </w:rPr>
              <w:t>215/2004 Z. z. o ochrane utajovaných skutočností</w:t>
            </w:r>
            <w:r w:rsidR="00082D3C">
              <w:rPr>
                <w:b w:val="0"/>
                <w:sz w:val="24"/>
                <w:szCs w:val="24"/>
              </w:rPr>
              <w:t>, ktorý sa preto novelizuje v</w:t>
            </w:r>
            <w:r w:rsidR="00E765F3">
              <w:rPr>
                <w:b w:val="0"/>
                <w:sz w:val="24"/>
                <w:szCs w:val="24"/>
              </w:rPr>
              <w:t xml:space="preserve"> čl. </w:t>
            </w:r>
            <w:r w:rsidR="00082D3C">
              <w:rPr>
                <w:b w:val="0"/>
                <w:sz w:val="24"/>
                <w:szCs w:val="24"/>
              </w:rPr>
              <w:t xml:space="preserve">III </w:t>
            </w:r>
            <w:r w:rsidR="00E765F3">
              <w:rPr>
                <w:b w:val="0"/>
                <w:sz w:val="24"/>
                <w:szCs w:val="24"/>
              </w:rPr>
              <w:t>návrhu zákona.</w:t>
            </w: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lastRenderedPageBreak/>
              <w:t>MDSR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Čl. I § 2 ods. 2</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lastRenderedPageBreak/>
              <w:t>V čl. I § 2 ods. 2 navrhujeme nezavádzať odkaz 1 a poznámku pod čiarou k nemu a v nadväznosti na uvedené nasledujúce odkazy a poznámky pod čiarou k nim prečíslovať, a to z dôvodu nadbytočnosti, nie je potrebné pri pojme „blízka osoba“ zavádzať aj odkaz na § 116 Občianskeho zákonníka, obdobne ako je tomu v zákone č. 54/2019 Z. z. v znení neskorších predpisov. Táto pripomienka platí primerane aj pre odkazy 2 (§ 4 ods. 2), 3 (§ 10 ods. 3), 4 (§ 10 ods. 4) a 8 (§ 19).</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lastRenderedPageBreak/>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8E7C0D">
            <w:pPr>
              <w:jc w:val="center"/>
              <w:rPr>
                <w:rFonts w:ascii="Times" w:hAnsi="Times" w:cs="Times"/>
                <w:sz w:val="25"/>
                <w:szCs w:val="25"/>
              </w:rPr>
            </w:pPr>
            <w:r w:rsidRPr="00F302B7">
              <w:rPr>
                <w:rFonts w:ascii="Times" w:hAnsi="Times" w:cs="Times"/>
                <w:sz w:val="25"/>
                <w:szCs w:val="25"/>
              </w:rPr>
              <w:t>ČA</w:t>
            </w:r>
          </w:p>
        </w:tc>
        <w:tc>
          <w:tcPr>
            <w:tcW w:w="1830" w:type="pct"/>
            <w:tcBorders>
              <w:top w:val="outset" w:sz="6" w:space="0" w:color="000000"/>
              <w:left w:val="outset" w:sz="6" w:space="0" w:color="000000"/>
              <w:bottom w:val="outset" w:sz="6" w:space="0" w:color="000000"/>
              <w:right w:val="outset" w:sz="6" w:space="0" w:color="000000"/>
            </w:tcBorders>
            <w:hideMark/>
          </w:tcPr>
          <w:p w:rsidR="0015334D" w:rsidRPr="00472AEC" w:rsidRDefault="00472AEC" w:rsidP="00F77B09">
            <w:pPr>
              <w:pStyle w:val="Bezriadkovania"/>
              <w:jc w:val="both"/>
              <w:rPr>
                <w:rFonts w:ascii="Times New Roman" w:hAnsi="Times New Roman" w:cs="Times New Roman"/>
                <w:sz w:val="24"/>
                <w:szCs w:val="24"/>
              </w:rPr>
            </w:pPr>
            <w:r w:rsidRPr="00472AEC">
              <w:rPr>
                <w:rFonts w:ascii="Times New Roman" w:hAnsi="Times New Roman" w:cs="Times New Roman"/>
                <w:sz w:val="24"/>
                <w:szCs w:val="24"/>
              </w:rPr>
              <w:t>Je možné vypustiť odkazy 1</w:t>
            </w:r>
            <w:r w:rsidR="0084543C">
              <w:rPr>
                <w:rFonts w:ascii="Times New Roman" w:hAnsi="Times New Roman" w:cs="Times New Roman"/>
                <w:sz w:val="24"/>
                <w:szCs w:val="24"/>
              </w:rPr>
              <w:t xml:space="preserve">, 2 a </w:t>
            </w:r>
            <w:r w:rsidRPr="00472AEC">
              <w:rPr>
                <w:rFonts w:ascii="Times New Roman" w:hAnsi="Times New Roman" w:cs="Times New Roman"/>
                <w:sz w:val="24"/>
                <w:szCs w:val="24"/>
              </w:rPr>
              <w:t>4. Odkaz</w:t>
            </w:r>
            <w:r w:rsidR="0084543C">
              <w:rPr>
                <w:rFonts w:ascii="Times New Roman" w:hAnsi="Times New Roman" w:cs="Times New Roman"/>
                <w:sz w:val="24"/>
                <w:szCs w:val="24"/>
              </w:rPr>
              <w:t xml:space="preserve">y </w:t>
            </w:r>
            <w:r w:rsidR="0084543C" w:rsidRPr="00F77B09">
              <w:rPr>
                <w:rFonts w:ascii="Times New Roman" w:hAnsi="Times New Roman" w:cs="Times New Roman"/>
                <w:sz w:val="24"/>
                <w:szCs w:val="24"/>
              </w:rPr>
              <w:t>3 a</w:t>
            </w:r>
            <w:r w:rsidRPr="00F77B09">
              <w:rPr>
                <w:rFonts w:ascii="Times New Roman" w:hAnsi="Times New Roman" w:cs="Times New Roman"/>
                <w:sz w:val="24"/>
                <w:szCs w:val="24"/>
              </w:rPr>
              <w:t xml:space="preserve"> 8 </w:t>
            </w:r>
            <w:r w:rsidR="00F77B09">
              <w:rPr>
                <w:rFonts w:ascii="Times New Roman" w:hAnsi="Times New Roman" w:cs="Times New Roman"/>
                <w:sz w:val="24"/>
                <w:szCs w:val="24"/>
              </w:rPr>
              <w:t>sa ponechali</w:t>
            </w:r>
            <w:r w:rsidRPr="00472AEC">
              <w:rPr>
                <w:rFonts w:ascii="Times New Roman" w:hAnsi="Times New Roman" w:cs="Times New Roman"/>
                <w:sz w:val="24"/>
                <w:szCs w:val="24"/>
              </w:rPr>
              <w:t>.</w:t>
            </w: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MDSR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Čl. I § 4 ods. 10</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V čl. I § 4 ods. 10 navrhujeme aby sa rokovací poriadok komisie uverejnil v Zbierke zákonov Slovenskej republiky podľa § 13 písm. f) zákona č. 400/2015 Z. z. a v nadväznosti na uvedené navrhujme upraviť znenie § 4 ods. 10.</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84543C">
            <w:pPr>
              <w:jc w:val="center"/>
              <w:rPr>
                <w:rFonts w:ascii="Times" w:hAnsi="Times" w:cs="Times"/>
                <w:sz w:val="25"/>
                <w:szCs w:val="25"/>
              </w:rPr>
            </w:pPr>
            <w:r w:rsidRPr="00F302B7">
              <w:rPr>
                <w:rFonts w:ascii="Times" w:hAnsi="Times" w:cs="Times"/>
                <w:sz w:val="25"/>
                <w:szCs w:val="25"/>
              </w:rPr>
              <w:t>N</w:t>
            </w:r>
          </w:p>
        </w:tc>
        <w:tc>
          <w:tcPr>
            <w:tcW w:w="1830" w:type="pct"/>
            <w:tcBorders>
              <w:top w:val="outset" w:sz="6" w:space="0" w:color="000000"/>
              <w:left w:val="outset" w:sz="6" w:space="0" w:color="000000"/>
              <w:bottom w:val="outset" w:sz="6" w:space="0" w:color="000000"/>
              <w:right w:val="outset" w:sz="6" w:space="0" w:color="000000"/>
            </w:tcBorders>
            <w:hideMark/>
          </w:tcPr>
          <w:p w:rsidR="0015334D" w:rsidRPr="009468E5" w:rsidRDefault="00D95817" w:rsidP="009468E5">
            <w:pPr>
              <w:pStyle w:val="Bezriadkovania"/>
              <w:jc w:val="both"/>
              <w:rPr>
                <w:rFonts w:ascii="Times New Roman" w:hAnsi="Times New Roman" w:cs="Times New Roman"/>
                <w:sz w:val="24"/>
                <w:szCs w:val="24"/>
              </w:rPr>
            </w:pPr>
            <w:r w:rsidRPr="009468E5">
              <w:rPr>
                <w:rFonts w:ascii="Times New Roman" w:hAnsi="Times New Roman" w:cs="Times New Roman"/>
                <w:sz w:val="24"/>
                <w:szCs w:val="24"/>
              </w:rPr>
              <w:t xml:space="preserve">Pri uplatnení § 13 písm. f) zákona č. 400/2015 Z. z. sa má vychádzať z interpretačného pravidla „ejusdem generis“, ktoré znamená limitáciu všeobecného </w:t>
            </w:r>
            <w:r w:rsidR="009468E5">
              <w:rPr>
                <w:rFonts w:ascii="Times New Roman" w:hAnsi="Times New Roman" w:cs="Times New Roman"/>
                <w:sz w:val="24"/>
                <w:szCs w:val="24"/>
              </w:rPr>
              <w:t>termínu</w:t>
            </w:r>
            <w:r w:rsidRPr="009468E5">
              <w:rPr>
                <w:rFonts w:ascii="Times New Roman" w:hAnsi="Times New Roman" w:cs="Times New Roman"/>
                <w:sz w:val="24"/>
                <w:szCs w:val="24"/>
              </w:rPr>
              <w:t xml:space="preserve"> výpoč</w:t>
            </w:r>
            <w:r w:rsidR="009468E5">
              <w:rPr>
                <w:rFonts w:ascii="Times New Roman" w:hAnsi="Times New Roman" w:cs="Times New Roman"/>
                <w:sz w:val="24"/>
                <w:szCs w:val="24"/>
              </w:rPr>
              <w:t>tom</w:t>
            </w:r>
            <w:r w:rsidRPr="009468E5">
              <w:rPr>
                <w:rFonts w:ascii="Times New Roman" w:hAnsi="Times New Roman" w:cs="Times New Roman"/>
                <w:sz w:val="24"/>
                <w:szCs w:val="24"/>
              </w:rPr>
              <w:t xml:space="preserve"> konkrétnych prvkov, ktoré tento termín napĺňajú, čo v prípade ustanovenia § 13 písm. f) znamená, že všeobecný termín „ďalšie akty (ktoré sa vyhlasujú v Zbierk</w:t>
            </w:r>
            <w:r w:rsidR="009468E5">
              <w:rPr>
                <w:rFonts w:ascii="Times New Roman" w:hAnsi="Times New Roman" w:cs="Times New Roman"/>
                <w:sz w:val="24"/>
                <w:szCs w:val="24"/>
              </w:rPr>
              <w:t>e</w:t>
            </w:r>
            <w:r w:rsidRPr="009468E5">
              <w:rPr>
                <w:rFonts w:ascii="Times New Roman" w:hAnsi="Times New Roman" w:cs="Times New Roman"/>
                <w:sz w:val="24"/>
                <w:szCs w:val="24"/>
              </w:rPr>
              <w:t xml:space="preserve"> zákonov), ak tak ustanovuje osobitný predpis“ </w:t>
            </w:r>
            <w:r w:rsidR="009468E5" w:rsidRPr="009468E5">
              <w:rPr>
                <w:rFonts w:ascii="Times New Roman" w:hAnsi="Times New Roman" w:cs="Times New Roman"/>
                <w:sz w:val="24"/>
                <w:szCs w:val="24"/>
              </w:rPr>
              <w:t xml:space="preserve">je limitovaný </w:t>
            </w:r>
            <w:r w:rsidRPr="009468E5">
              <w:rPr>
                <w:rFonts w:ascii="Times New Roman" w:hAnsi="Times New Roman" w:cs="Times New Roman"/>
                <w:sz w:val="24"/>
                <w:szCs w:val="24"/>
              </w:rPr>
              <w:t xml:space="preserve">len </w:t>
            </w:r>
            <w:r w:rsidR="009468E5" w:rsidRPr="009468E5">
              <w:rPr>
                <w:rFonts w:ascii="Times New Roman" w:hAnsi="Times New Roman" w:cs="Times New Roman"/>
                <w:sz w:val="24"/>
                <w:szCs w:val="24"/>
              </w:rPr>
              <w:t xml:space="preserve">na akty </w:t>
            </w:r>
            <w:r w:rsidRPr="009468E5">
              <w:rPr>
                <w:rFonts w:ascii="Times New Roman" w:hAnsi="Times New Roman" w:cs="Times New Roman"/>
                <w:sz w:val="24"/>
                <w:szCs w:val="24"/>
              </w:rPr>
              <w:t>rovnakej povahy ako akty už uvedené v § 13 písm. a) až e)</w:t>
            </w:r>
            <w:r w:rsidR="009468E5">
              <w:rPr>
                <w:rFonts w:ascii="Times New Roman" w:hAnsi="Times New Roman" w:cs="Times New Roman"/>
                <w:sz w:val="24"/>
                <w:szCs w:val="24"/>
              </w:rPr>
              <w:t>, i</w:t>
            </w:r>
            <w:r w:rsidRPr="009468E5">
              <w:rPr>
                <w:rFonts w:ascii="Times New Roman" w:hAnsi="Times New Roman" w:cs="Times New Roman"/>
                <w:sz w:val="24"/>
                <w:szCs w:val="24"/>
              </w:rPr>
              <w:t>nak by sa spochybnil význam Zbierky zákonov ako štátneho publikačného nástroja Slovenskej republiky</w:t>
            </w:r>
            <w:r w:rsidR="009468E5" w:rsidRPr="009468E5">
              <w:rPr>
                <w:rFonts w:ascii="Times New Roman" w:hAnsi="Times New Roman" w:cs="Times New Roman"/>
                <w:sz w:val="24"/>
                <w:szCs w:val="24"/>
              </w:rPr>
              <w:t>. Rokovací poriadok komisie nepredstavuje akt rovnakej povahy ako akty uvedené v § 13 písm. a) až e). Naviac, ako uvádza § 20 návrhu zákona o ochrane svedka informácie týkajúce sa komisie sa nesprístupňujú, čo sa vzťahuje aj na rokovací poriadok komisie.</w:t>
            </w: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MDSR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Čl. III</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V čl. III navrhuje upraviť bod 1 takto: „1. Poznámka pod čiarou k odkazu 54 znie: „54) Zákon č. .../2025 z. z. o ochrane svedka a o zmene a doplnení niektorých zákonov.“.“.</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E71B85">
            <w:pPr>
              <w:jc w:val="center"/>
              <w:rPr>
                <w:rFonts w:ascii="Times" w:hAnsi="Times" w:cs="Times"/>
                <w:sz w:val="25"/>
                <w:szCs w:val="25"/>
              </w:rPr>
            </w:pPr>
            <w:r>
              <w:rPr>
                <w:rFonts w:ascii="Times" w:hAnsi="Times" w:cs="Times"/>
                <w:sz w:val="25"/>
                <w:szCs w:val="25"/>
              </w:rPr>
              <w:t>A</w:t>
            </w:r>
          </w:p>
        </w:tc>
        <w:tc>
          <w:tcPr>
            <w:tcW w:w="1830" w:type="pct"/>
            <w:tcBorders>
              <w:top w:val="outset" w:sz="6" w:space="0" w:color="000000"/>
              <w:left w:val="outset" w:sz="6" w:space="0" w:color="000000"/>
              <w:bottom w:val="outset" w:sz="6" w:space="0" w:color="000000"/>
              <w:right w:val="outset" w:sz="6" w:space="0" w:color="000000"/>
            </w:tcBorders>
            <w:hideMark/>
          </w:tcPr>
          <w:p w:rsidR="0015334D" w:rsidRPr="00472AEC" w:rsidRDefault="00E71B85" w:rsidP="00472AEC">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Bod 39.3 Legislatívno-technických pokynov Legislatívnych pravidiel vlády Slovenskej republiky dovoľuje aj legislatívne riešenie, ktoré bolo obsahom návrhu zákona. Navrhovaná možnosť tvorí ďalšiu možnú alternatívu. Prijali </w:t>
            </w:r>
            <w:r>
              <w:rPr>
                <w:rFonts w:ascii="Times New Roman" w:hAnsi="Times New Roman" w:cs="Times New Roman"/>
                <w:sz w:val="24"/>
                <w:szCs w:val="24"/>
              </w:rPr>
              <w:lastRenderedPageBreak/>
              <w:t>sme navrhované z</w:t>
            </w:r>
            <w:r w:rsidR="0030188B">
              <w:rPr>
                <w:rFonts w:ascii="Times New Roman" w:hAnsi="Times New Roman" w:cs="Times New Roman"/>
                <w:sz w:val="24"/>
                <w:szCs w:val="24"/>
              </w:rPr>
              <w:t>jednodušenie legislatívnej tech</w:t>
            </w:r>
            <w:r>
              <w:rPr>
                <w:rFonts w:ascii="Times New Roman" w:hAnsi="Times New Roman" w:cs="Times New Roman"/>
                <w:sz w:val="24"/>
                <w:szCs w:val="24"/>
              </w:rPr>
              <w:t>niky.</w:t>
            </w: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lastRenderedPageBreak/>
              <w:t>MFSR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Celému materiálu</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Návrh je potrebné zosúladiť s prílohou č. 1 Legislatívnych pravidiel vlády SR (napríklad v čl. I § 10 ods. 4 slová „národnom hospodárstve“ nahradiť slovami „hospodárstve Slovenskej republiky“, v § 10 ods. 6 prvej vete slovo „finančnú“ nahradiť slovom „peňažnú“ a v tretej vete slovo „finančnej“ nahradiť slovom „peňažnej“, v poznámke pod čiarou k odkazu 5 vypustiť slová „v znení neskorších predpisov“, v § 14 ods. 5 písm. b) prvom bode slová „a malo to“ nahradiť slovami „čo malo“, v poznámke pod čiarou k odkazu 8 druhej citácii za slovami „§ 56 ods. 1“ čiarku nahradiť slovom „a“, v čl. III bode 2 poznámke pod čiarou k odkazu 54a uviesť skrátenú citáciu nového zákona o ochrane svedka).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84543C">
            <w:pPr>
              <w:jc w:val="center"/>
              <w:rPr>
                <w:rFonts w:ascii="Times" w:hAnsi="Times" w:cs="Times"/>
                <w:sz w:val="25"/>
                <w:szCs w:val="25"/>
              </w:rPr>
            </w:pPr>
            <w:r w:rsidRPr="00F302B7">
              <w:rPr>
                <w:rFonts w:ascii="Times" w:hAnsi="Times" w:cs="Times"/>
                <w:sz w:val="25"/>
                <w:szCs w:val="25"/>
              </w:rPr>
              <w:t>A</w:t>
            </w:r>
          </w:p>
        </w:tc>
        <w:tc>
          <w:tcPr>
            <w:tcW w:w="1830" w:type="pct"/>
            <w:tcBorders>
              <w:top w:val="outset" w:sz="6" w:space="0" w:color="000000"/>
              <w:left w:val="outset" w:sz="6" w:space="0" w:color="000000"/>
              <w:bottom w:val="outset" w:sz="6" w:space="0" w:color="000000"/>
              <w:right w:val="outset" w:sz="6" w:space="0" w:color="000000"/>
            </w:tcBorders>
            <w:hideMark/>
          </w:tcPr>
          <w:p w:rsidR="0015334D" w:rsidRDefault="0015334D" w:rsidP="00472AEC">
            <w:pPr>
              <w:pStyle w:val="Bezriadkovania"/>
              <w:jc w:val="both"/>
              <w:rPr>
                <w:rFonts w:ascii="Times New Roman" w:hAnsi="Times New Roman" w:cs="Times New Roman"/>
                <w:sz w:val="24"/>
                <w:szCs w:val="24"/>
              </w:rPr>
            </w:pPr>
          </w:p>
          <w:p w:rsidR="00D17F31" w:rsidRDefault="00D17F31" w:rsidP="00472AEC">
            <w:pPr>
              <w:pStyle w:val="Bezriadkovania"/>
              <w:jc w:val="both"/>
              <w:rPr>
                <w:rFonts w:ascii="Times New Roman" w:hAnsi="Times New Roman" w:cs="Times New Roman"/>
                <w:sz w:val="24"/>
                <w:szCs w:val="24"/>
              </w:rPr>
            </w:pPr>
          </w:p>
          <w:p w:rsidR="00D17F31" w:rsidRDefault="00D17F31" w:rsidP="00472AEC">
            <w:pPr>
              <w:pStyle w:val="Bezriadkovania"/>
              <w:jc w:val="both"/>
              <w:rPr>
                <w:rFonts w:ascii="Times New Roman" w:hAnsi="Times New Roman" w:cs="Times New Roman"/>
                <w:sz w:val="24"/>
                <w:szCs w:val="24"/>
              </w:rPr>
            </w:pPr>
          </w:p>
          <w:p w:rsidR="00D17F31" w:rsidRDefault="00D17F31" w:rsidP="00472AEC">
            <w:pPr>
              <w:pStyle w:val="Bezriadkovania"/>
              <w:jc w:val="both"/>
              <w:rPr>
                <w:rFonts w:ascii="Times New Roman" w:hAnsi="Times New Roman" w:cs="Times New Roman"/>
                <w:sz w:val="24"/>
                <w:szCs w:val="24"/>
              </w:rPr>
            </w:pPr>
          </w:p>
          <w:p w:rsidR="00D17F31" w:rsidRPr="00472AEC" w:rsidRDefault="00D17F31" w:rsidP="00472AEC">
            <w:pPr>
              <w:pStyle w:val="Bezriadkovania"/>
              <w:jc w:val="both"/>
              <w:rPr>
                <w:rFonts w:ascii="Times New Roman" w:hAnsi="Times New Roman" w:cs="Times New Roman"/>
                <w:sz w:val="24"/>
                <w:szCs w:val="24"/>
              </w:rPr>
            </w:pP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MFSR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Pr="009D20FA" w:rsidRDefault="0015334D" w:rsidP="001A7227">
            <w:pPr>
              <w:pStyle w:val="Bezriadkovania"/>
              <w:jc w:val="both"/>
              <w:rPr>
                <w:rFonts w:ascii="Times New Roman" w:hAnsi="Times New Roman" w:cs="Times New Roman"/>
                <w:sz w:val="24"/>
                <w:szCs w:val="24"/>
              </w:rPr>
            </w:pPr>
            <w:r w:rsidRPr="009D20FA">
              <w:rPr>
                <w:rFonts w:ascii="Times New Roman" w:hAnsi="Times New Roman" w:cs="Times New Roman"/>
                <w:b/>
                <w:bCs/>
                <w:sz w:val="24"/>
                <w:szCs w:val="24"/>
              </w:rPr>
              <w:t>K doložke vybraných vplyvov</w:t>
            </w:r>
          </w:p>
          <w:p w:rsidR="0015334D" w:rsidRPr="001A7227" w:rsidRDefault="0015334D" w:rsidP="001A7227">
            <w:pPr>
              <w:pStyle w:val="Bezriadkovania"/>
              <w:jc w:val="both"/>
              <w:rPr>
                <w:rFonts w:ascii="Times New Roman" w:hAnsi="Times New Roman" w:cs="Times New Roman"/>
                <w:sz w:val="24"/>
                <w:szCs w:val="24"/>
              </w:rPr>
            </w:pPr>
            <w:r w:rsidRPr="009D20FA">
              <w:rPr>
                <w:rFonts w:ascii="Times New Roman" w:hAnsi="Times New Roman" w:cs="Times New Roman"/>
                <w:sz w:val="24"/>
                <w:szCs w:val="24"/>
              </w:rPr>
              <w:t>V doložke vybraných vplyvov (ďalej len „doložka vplyvov“) je označený negatívny, rozpočtovo zabezpečený vplyv v súvislosti s programom ochrany svedka, ktorý je kvantifikovaný v sume 170</w:t>
            </w:r>
            <w:r w:rsidR="009E43AB">
              <w:rPr>
                <w:rFonts w:ascii="Times New Roman" w:hAnsi="Times New Roman" w:cs="Times New Roman"/>
                <w:sz w:val="24"/>
                <w:szCs w:val="24"/>
              </w:rPr>
              <w:t xml:space="preserve"> tis. eur ročne od roku 2025. V </w:t>
            </w:r>
            <w:r w:rsidRPr="009D20FA">
              <w:rPr>
                <w:rFonts w:ascii="Times New Roman" w:hAnsi="Times New Roman" w:cs="Times New Roman"/>
                <w:sz w:val="24"/>
                <w:szCs w:val="24"/>
              </w:rPr>
              <w:t>Analýze vplyvov na rozpočet verejnej správy, na zamestnanosť vo verejnej správe a financovanie návrhu (ďalej len „analýza vplyvov“) časti 2.1.1. Financovanie návrhu je uvedené, že „V prípade nepredvídaných zvýšených nákladov sa s týmito kapitola môže vysporiadať v rámci rozpočtových opatrení.“. Vzhľadom na označenie v doložke vplyvov žiadame uvedené tvrdenie z materiálu vypustiť.</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84543C">
            <w:pPr>
              <w:jc w:val="center"/>
              <w:rPr>
                <w:rFonts w:ascii="Times" w:hAnsi="Times" w:cs="Times"/>
                <w:sz w:val="25"/>
                <w:szCs w:val="25"/>
              </w:rPr>
            </w:pPr>
            <w:r w:rsidRPr="00F302B7">
              <w:rPr>
                <w:rFonts w:ascii="Times" w:hAnsi="Times" w:cs="Times"/>
                <w:sz w:val="25"/>
                <w:szCs w:val="25"/>
              </w:rPr>
              <w:t>A</w:t>
            </w:r>
          </w:p>
        </w:tc>
        <w:tc>
          <w:tcPr>
            <w:tcW w:w="1830" w:type="pct"/>
            <w:tcBorders>
              <w:top w:val="outset" w:sz="6" w:space="0" w:color="000000"/>
              <w:left w:val="outset" w:sz="6" w:space="0" w:color="000000"/>
              <w:bottom w:val="outset" w:sz="6" w:space="0" w:color="000000"/>
              <w:right w:val="outset" w:sz="6" w:space="0" w:color="000000"/>
            </w:tcBorders>
            <w:hideMark/>
          </w:tcPr>
          <w:p w:rsidR="006A12BD" w:rsidRPr="0084543C" w:rsidRDefault="006A12BD" w:rsidP="00F302B7">
            <w:pPr>
              <w:pStyle w:val="Bezriadkovania"/>
              <w:jc w:val="both"/>
              <w:rPr>
                <w:strike/>
              </w:rPr>
            </w:pP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MFSR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Pr="00E417BF" w:rsidRDefault="0015334D" w:rsidP="001A7227">
            <w:pPr>
              <w:pStyle w:val="Bezriadkovania"/>
              <w:jc w:val="both"/>
              <w:rPr>
                <w:rFonts w:ascii="Times New Roman" w:hAnsi="Times New Roman" w:cs="Times New Roman"/>
                <w:sz w:val="24"/>
                <w:szCs w:val="24"/>
              </w:rPr>
            </w:pPr>
            <w:r w:rsidRPr="00E417BF">
              <w:rPr>
                <w:rFonts w:ascii="Times New Roman" w:hAnsi="Times New Roman" w:cs="Times New Roman"/>
                <w:b/>
                <w:bCs/>
                <w:sz w:val="24"/>
                <w:szCs w:val="24"/>
              </w:rPr>
              <w:t>K doložke vybraných vplyvov</w:t>
            </w:r>
          </w:p>
          <w:p w:rsidR="0015334D" w:rsidRPr="00E417BF" w:rsidRDefault="0015334D" w:rsidP="001A7227">
            <w:pPr>
              <w:pStyle w:val="Bezriadkovania"/>
              <w:jc w:val="both"/>
              <w:rPr>
                <w:rFonts w:ascii="Times New Roman" w:hAnsi="Times New Roman" w:cs="Times New Roman"/>
                <w:sz w:val="24"/>
                <w:szCs w:val="24"/>
              </w:rPr>
            </w:pPr>
            <w:r w:rsidRPr="00E417BF">
              <w:rPr>
                <w:rFonts w:ascii="Times New Roman" w:hAnsi="Times New Roman" w:cs="Times New Roman"/>
                <w:sz w:val="24"/>
                <w:szCs w:val="24"/>
              </w:rPr>
              <w:t xml:space="preserve">Z technického hľadiska je potrebné v doložke vplyvov označiť žiadny vplyv na limit verejných výdavkov a v analýze vplyvov nevypĺňať tabuľky č. 1/B a 4/B. V analýze </w:t>
            </w:r>
            <w:r w:rsidRPr="00E417BF">
              <w:rPr>
                <w:rFonts w:ascii="Times New Roman" w:hAnsi="Times New Roman" w:cs="Times New Roman"/>
                <w:sz w:val="24"/>
                <w:szCs w:val="24"/>
              </w:rPr>
              <w:lastRenderedPageBreak/>
              <w:t>vplyvov tabuľke č. 4/A je potrebné vyplniť aj prvý riadok „Bežné výdavky (600)“.</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lastRenderedPageBreak/>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84543C">
            <w:pPr>
              <w:jc w:val="center"/>
              <w:rPr>
                <w:rFonts w:ascii="Times" w:hAnsi="Times" w:cs="Times"/>
                <w:sz w:val="25"/>
                <w:szCs w:val="25"/>
              </w:rPr>
            </w:pPr>
            <w:r w:rsidRPr="00F302B7">
              <w:rPr>
                <w:rFonts w:ascii="Times" w:hAnsi="Times" w:cs="Times"/>
                <w:sz w:val="25"/>
                <w:szCs w:val="25"/>
              </w:rPr>
              <w:t>A</w:t>
            </w:r>
          </w:p>
        </w:tc>
        <w:tc>
          <w:tcPr>
            <w:tcW w:w="1830" w:type="pct"/>
            <w:tcBorders>
              <w:top w:val="outset" w:sz="6" w:space="0" w:color="000000"/>
              <w:left w:val="outset" w:sz="6" w:space="0" w:color="000000"/>
              <w:bottom w:val="outset" w:sz="6" w:space="0" w:color="000000"/>
              <w:right w:val="outset" w:sz="6" w:space="0" w:color="000000"/>
            </w:tcBorders>
            <w:hideMark/>
          </w:tcPr>
          <w:p w:rsidR="0015334D" w:rsidRPr="00472AEC" w:rsidRDefault="0015334D" w:rsidP="00472AEC">
            <w:pPr>
              <w:pStyle w:val="Bezriadkovania"/>
              <w:jc w:val="both"/>
              <w:rPr>
                <w:rFonts w:ascii="Times New Roman" w:hAnsi="Times New Roman" w:cs="Times New Roman"/>
                <w:sz w:val="24"/>
                <w:szCs w:val="24"/>
              </w:rPr>
            </w:pP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MPRVSR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K čl. I § 10 ods. 6</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V § 10 od</w:t>
            </w:r>
            <w:r w:rsidR="0084543C">
              <w:rPr>
                <w:rFonts w:ascii="Times New Roman" w:hAnsi="Times New Roman" w:cs="Times New Roman"/>
                <w:sz w:val="24"/>
                <w:szCs w:val="24"/>
              </w:rPr>
              <w:t>s. 6 odporúčame používať pojem „peňažná pôžička“</w:t>
            </w:r>
            <w:r w:rsidRPr="001A7227">
              <w:rPr>
                <w:rFonts w:ascii="Times New Roman" w:hAnsi="Times New Roman" w:cs="Times New Roman"/>
                <w:sz w:val="24"/>
                <w:szCs w:val="24"/>
              </w:rPr>
              <w:t xml:space="preserve"> s cieľom terminologického zosúladenia návrhu zákona s § 658 ods. 1 Občianskeho zákonníka.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6A12BD">
            <w:pPr>
              <w:jc w:val="center"/>
              <w:rPr>
                <w:rFonts w:ascii="Times" w:hAnsi="Times" w:cs="Times"/>
                <w:sz w:val="25"/>
                <w:szCs w:val="25"/>
              </w:rPr>
            </w:pPr>
            <w:r w:rsidRPr="00F302B7">
              <w:rPr>
                <w:rFonts w:ascii="Times" w:hAnsi="Times" w:cs="Times"/>
                <w:sz w:val="25"/>
                <w:szCs w:val="25"/>
              </w:rPr>
              <w:t>A</w:t>
            </w:r>
          </w:p>
        </w:tc>
        <w:tc>
          <w:tcPr>
            <w:tcW w:w="1830" w:type="pct"/>
            <w:tcBorders>
              <w:top w:val="outset" w:sz="6" w:space="0" w:color="000000"/>
              <w:left w:val="outset" w:sz="6" w:space="0" w:color="000000"/>
              <w:bottom w:val="outset" w:sz="6" w:space="0" w:color="000000"/>
              <w:right w:val="outset" w:sz="6" w:space="0" w:color="000000"/>
            </w:tcBorders>
            <w:hideMark/>
          </w:tcPr>
          <w:p w:rsidR="0015334D" w:rsidRPr="00472AEC" w:rsidRDefault="0015334D" w:rsidP="00472AEC">
            <w:pPr>
              <w:pStyle w:val="Bezriadkovania"/>
              <w:jc w:val="both"/>
              <w:rPr>
                <w:rFonts w:ascii="Times New Roman" w:hAnsi="Times New Roman" w:cs="Times New Roman"/>
                <w:sz w:val="24"/>
                <w:szCs w:val="24"/>
              </w:rPr>
            </w:pP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MPRVSR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K čl. I a III poznámkam pod čiarou</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V čl. I poznámke pod čiarou k odkazu 5 odpo</w:t>
            </w:r>
            <w:r w:rsidR="006A12BD">
              <w:rPr>
                <w:rFonts w:ascii="Times New Roman" w:hAnsi="Times New Roman" w:cs="Times New Roman"/>
                <w:sz w:val="24"/>
                <w:szCs w:val="24"/>
              </w:rPr>
              <w:t>rúčame na konci vypustiť slová „v znení neskorších predpisov“ s </w:t>
            </w:r>
            <w:r w:rsidRPr="001A7227">
              <w:rPr>
                <w:rFonts w:ascii="Times New Roman" w:hAnsi="Times New Roman" w:cs="Times New Roman"/>
                <w:sz w:val="24"/>
                <w:szCs w:val="24"/>
              </w:rPr>
              <w:t>cieľom zosúladenia s bodom 48 prílohy č. 1 k Legislatívnym pravidlám vlády Slovenskej republiky, podľa ktorého sa pri uvedení slovnej citácie v poznámke pod čiarou bod 49.2 nepo</w:t>
            </w:r>
            <w:r w:rsidR="00377DC2">
              <w:rPr>
                <w:rFonts w:ascii="Times New Roman" w:hAnsi="Times New Roman" w:cs="Times New Roman"/>
                <w:sz w:val="24"/>
                <w:szCs w:val="24"/>
              </w:rPr>
              <w:t>užije. Zároveň odporúčame v čl. </w:t>
            </w:r>
            <w:r w:rsidRPr="001A7227">
              <w:rPr>
                <w:rFonts w:ascii="Times New Roman" w:hAnsi="Times New Roman" w:cs="Times New Roman"/>
                <w:sz w:val="24"/>
                <w:szCs w:val="24"/>
              </w:rPr>
              <w:t>III bode 2 poznámke pod čiarou k odkazu 54a uviesť skrátenú citáciu nového zákona o ochrane svedka a o zmene a doplnení niektorých zákonov s cieľom zosúladenia s bodom 47.2 prílohy č. 1 k Legislatívnym pravidlám vlády Slovenskej republiky.</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377DC2">
            <w:pPr>
              <w:jc w:val="center"/>
              <w:rPr>
                <w:rFonts w:ascii="Times" w:hAnsi="Times" w:cs="Times"/>
                <w:sz w:val="25"/>
                <w:szCs w:val="25"/>
              </w:rPr>
            </w:pPr>
            <w:r w:rsidRPr="00232272">
              <w:rPr>
                <w:rFonts w:ascii="Times" w:hAnsi="Times" w:cs="Times"/>
                <w:sz w:val="25"/>
                <w:szCs w:val="25"/>
              </w:rPr>
              <w:t>A</w:t>
            </w:r>
          </w:p>
        </w:tc>
        <w:tc>
          <w:tcPr>
            <w:tcW w:w="1830" w:type="pct"/>
            <w:tcBorders>
              <w:top w:val="outset" w:sz="6" w:space="0" w:color="000000"/>
              <w:left w:val="outset" w:sz="6" w:space="0" w:color="000000"/>
              <w:bottom w:val="outset" w:sz="6" w:space="0" w:color="000000"/>
              <w:right w:val="outset" w:sz="6" w:space="0" w:color="000000"/>
            </w:tcBorders>
            <w:hideMark/>
          </w:tcPr>
          <w:p w:rsidR="0015334D" w:rsidRDefault="0015334D" w:rsidP="00472AEC">
            <w:pPr>
              <w:pStyle w:val="Bezriadkovania"/>
              <w:jc w:val="both"/>
              <w:rPr>
                <w:rFonts w:ascii="Times New Roman" w:hAnsi="Times New Roman" w:cs="Times New Roman"/>
                <w:sz w:val="24"/>
                <w:szCs w:val="24"/>
              </w:rPr>
            </w:pPr>
          </w:p>
          <w:p w:rsidR="006A12BD" w:rsidRDefault="006A12BD" w:rsidP="00472AEC">
            <w:pPr>
              <w:pStyle w:val="Bezriadkovania"/>
              <w:jc w:val="both"/>
              <w:rPr>
                <w:rFonts w:ascii="Times New Roman" w:hAnsi="Times New Roman" w:cs="Times New Roman"/>
                <w:sz w:val="24"/>
                <w:szCs w:val="24"/>
              </w:rPr>
            </w:pPr>
          </w:p>
          <w:p w:rsidR="006A12BD" w:rsidRPr="00472AEC" w:rsidRDefault="006A12BD" w:rsidP="00472AEC">
            <w:pPr>
              <w:pStyle w:val="Bezriadkovania"/>
              <w:jc w:val="both"/>
              <w:rPr>
                <w:rFonts w:ascii="Times New Roman" w:hAnsi="Times New Roman" w:cs="Times New Roman"/>
                <w:sz w:val="24"/>
                <w:szCs w:val="24"/>
              </w:rPr>
            </w:pP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MPRVSR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K čl. II</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V úvodnej vete čl. II odporúčame doplniť do výpočtu novelizácií aj skrátenú citáciu zákona č. 166/2024 Z. z. o niektorých opatreniach na zlepšenie bezpečnostnej situácie v Slovenskej republike.</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377DC2">
            <w:pPr>
              <w:jc w:val="center"/>
              <w:rPr>
                <w:rFonts w:ascii="Times" w:hAnsi="Times" w:cs="Times"/>
                <w:sz w:val="25"/>
                <w:szCs w:val="25"/>
              </w:rPr>
            </w:pPr>
            <w:r w:rsidRPr="00232272">
              <w:rPr>
                <w:rFonts w:ascii="Times" w:hAnsi="Times" w:cs="Times"/>
                <w:sz w:val="25"/>
                <w:szCs w:val="25"/>
              </w:rPr>
              <w:t>A</w:t>
            </w:r>
          </w:p>
        </w:tc>
        <w:tc>
          <w:tcPr>
            <w:tcW w:w="1830" w:type="pct"/>
            <w:tcBorders>
              <w:top w:val="outset" w:sz="6" w:space="0" w:color="000000"/>
              <w:left w:val="outset" w:sz="6" w:space="0" w:color="000000"/>
              <w:bottom w:val="outset" w:sz="6" w:space="0" w:color="000000"/>
              <w:right w:val="outset" w:sz="6" w:space="0" w:color="000000"/>
            </w:tcBorders>
            <w:hideMark/>
          </w:tcPr>
          <w:p w:rsidR="0015334D" w:rsidRPr="00472AEC" w:rsidRDefault="0015334D" w:rsidP="00472AEC">
            <w:pPr>
              <w:pStyle w:val="Bezriadkovania"/>
              <w:jc w:val="both"/>
              <w:rPr>
                <w:rFonts w:ascii="Times New Roman" w:hAnsi="Times New Roman" w:cs="Times New Roman"/>
                <w:sz w:val="24"/>
                <w:szCs w:val="24"/>
              </w:rPr>
            </w:pP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MPSVRSR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K Čl. I § 10 ods. 4</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 xml:space="preserve">Odporúčame v Čl. I § 10 ods. 4 za slová „hospodárstve“ vložiť slová „vykázanej Štatistickým úradom Slovenskej republiky“ a za slovo „ktorý“ odporúčame vložiť slová „dva roky“. Odôvodnenie: Odporúčame výšku finančného príspevku viazať na priemernú mesačnú nominálnu mzdu zamestnanca za kalendárny rok, ktorý dva roky predchádzal kalendárnemu roku, v ktorom sa program ochrany začal vykonávať, a to z dôvodu, že priemerná mesačná nominálna mzda vykázaná Štatistickým úradom </w:t>
            </w:r>
            <w:r w:rsidRPr="001A7227">
              <w:rPr>
                <w:rFonts w:ascii="Times New Roman" w:hAnsi="Times New Roman" w:cs="Times New Roman"/>
                <w:sz w:val="24"/>
                <w:szCs w:val="24"/>
              </w:rPr>
              <w:lastRenderedPageBreak/>
              <w:t>Slovenskej republiky nie je v prvých mesiacoch kalendárneho roka za predchádzajúci rok ešte známa.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lastRenderedPageBreak/>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232272">
            <w:pPr>
              <w:jc w:val="center"/>
              <w:rPr>
                <w:rFonts w:ascii="Times" w:hAnsi="Times" w:cs="Times"/>
                <w:sz w:val="25"/>
                <w:szCs w:val="25"/>
              </w:rPr>
            </w:pPr>
            <w:r>
              <w:rPr>
                <w:rFonts w:ascii="Times" w:hAnsi="Times" w:cs="Times"/>
                <w:sz w:val="25"/>
                <w:szCs w:val="25"/>
              </w:rPr>
              <w:t>ČA</w:t>
            </w:r>
          </w:p>
        </w:tc>
        <w:tc>
          <w:tcPr>
            <w:tcW w:w="1830" w:type="pct"/>
            <w:tcBorders>
              <w:top w:val="outset" w:sz="6" w:space="0" w:color="000000"/>
              <w:left w:val="outset" w:sz="6" w:space="0" w:color="000000"/>
              <w:bottom w:val="outset" w:sz="6" w:space="0" w:color="000000"/>
              <w:right w:val="outset" w:sz="6" w:space="0" w:color="000000"/>
            </w:tcBorders>
            <w:hideMark/>
          </w:tcPr>
          <w:p w:rsidR="00E543AB" w:rsidRPr="0030188B" w:rsidRDefault="00D02A33" w:rsidP="0084206C">
            <w:pPr>
              <w:pStyle w:val="Bezriadkovania"/>
              <w:jc w:val="both"/>
              <w:rPr>
                <w:rFonts w:ascii="Times New Roman" w:hAnsi="Times New Roman" w:cs="Times New Roman"/>
                <w:sz w:val="24"/>
                <w:szCs w:val="24"/>
              </w:rPr>
            </w:pPr>
            <w:r w:rsidRPr="0030188B">
              <w:rPr>
                <w:rFonts w:ascii="Times New Roman" w:hAnsi="Times New Roman" w:cs="Times New Roman"/>
                <w:sz w:val="24"/>
                <w:szCs w:val="24"/>
              </w:rPr>
              <w:t>Tak ako uvádza MPSVR SR,</w:t>
            </w:r>
            <w:r w:rsidR="00E543AB" w:rsidRPr="0030188B">
              <w:rPr>
                <w:rFonts w:ascii="Times New Roman" w:hAnsi="Times New Roman" w:cs="Times New Roman"/>
                <w:sz w:val="24"/>
                <w:szCs w:val="24"/>
              </w:rPr>
              <w:t xml:space="preserve"> napriek tomu, že </w:t>
            </w:r>
            <w:r w:rsidRPr="0030188B">
              <w:rPr>
                <w:rFonts w:ascii="Times New Roman" w:hAnsi="Times New Roman" w:cs="Times New Roman"/>
                <w:sz w:val="24"/>
                <w:szCs w:val="24"/>
              </w:rPr>
              <w:t xml:space="preserve"> priemerná mesačná nominálna mzda </w:t>
            </w:r>
            <w:r w:rsidR="00E543AB" w:rsidRPr="0030188B">
              <w:rPr>
                <w:rFonts w:ascii="Times New Roman" w:hAnsi="Times New Roman" w:cs="Times New Roman"/>
                <w:sz w:val="24"/>
                <w:szCs w:val="24"/>
              </w:rPr>
              <w:t>zistená</w:t>
            </w:r>
            <w:r w:rsidRPr="0030188B">
              <w:rPr>
                <w:rFonts w:ascii="Times New Roman" w:hAnsi="Times New Roman" w:cs="Times New Roman"/>
                <w:sz w:val="24"/>
                <w:szCs w:val="24"/>
              </w:rPr>
              <w:t xml:space="preserve"> Štatistickým úradom Slovenskej republiky nie je v prvých mesiacoch kalendárneho roka za predchádzajúci rok ešte známa, existujú postupy, ako poskytovať oprávnenej osobe nároky vychádzajúce z </w:t>
            </w:r>
            <w:r w:rsidRPr="0030188B">
              <w:rPr>
                <w:rFonts w:ascii="Times New Roman" w:hAnsi="Times New Roman"/>
                <w:sz w:val="24"/>
                <w:szCs w:val="24"/>
                <w:u w:color="202124"/>
              </w:rPr>
              <w:t xml:space="preserve">výšky priemernej nominálnej mesačnej mzdy zamestnanca v hospodárstve Slovenskej republiky </w:t>
            </w:r>
            <w:r w:rsidRPr="0030188B">
              <w:rPr>
                <w:rFonts w:ascii="Times New Roman" w:hAnsi="Times New Roman" w:cs="Times New Roman"/>
                <w:sz w:val="24"/>
                <w:szCs w:val="24"/>
              </w:rPr>
              <w:t>vykázanej Štatistickým úradom Slovenskej republiky</w:t>
            </w:r>
            <w:r w:rsidRPr="0030188B">
              <w:rPr>
                <w:rFonts w:ascii="Times New Roman" w:hAnsi="Times New Roman"/>
                <w:sz w:val="24"/>
                <w:szCs w:val="24"/>
                <w:u w:color="202124"/>
              </w:rPr>
              <w:t xml:space="preserve"> za predchádzajúci </w:t>
            </w:r>
            <w:r w:rsidRPr="0030188B">
              <w:rPr>
                <w:rFonts w:ascii="Times New Roman" w:hAnsi="Times New Roman"/>
                <w:sz w:val="24"/>
                <w:szCs w:val="24"/>
                <w:u w:color="202124"/>
              </w:rPr>
              <w:lastRenderedPageBreak/>
              <w:t>kalendárny rok</w:t>
            </w:r>
            <w:r w:rsidR="00E14A52" w:rsidRPr="0030188B">
              <w:rPr>
                <w:rFonts w:ascii="Times New Roman" w:hAnsi="Times New Roman"/>
                <w:sz w:val="24"/>
                <w:szCs w:val="24"/>
                <w:u w:color="202124"/>
              </w:rPr>
              <w:t>. Nejde o </w:t>
            </w:r>
            <w:r w:rsidRPr="0030188B">
              <w:rPr>
                <w:rFonts w:ascii="Times New Roman" w:hAnsi="Times New Roman"/>
                <w:sz w:val="24"/>
                <w:szCs w:val="24"/>
                <w:u w:color="202124"/>
              </w:rPr>
              <w:t>prax</w:t>
            </w:r>
            <w:r w:rsidR="00E14A52" w:rsidRPr="0030188B">
              <w:rPr>
                <w:rFonts w:ascii="Times New Roman" w:hAnsi="Times New Roman"/>
                <w:sz w:val="24"/>
                <w:szCs w:val="24"/>
                <w:u w:color="202124"/>
              </w:rPr>
              <w:t>, ktorá by nemala svoje zakotvenie aj v právnom</w:t>
            </w:r>
            <w:r w:rsidRPr="0030188B">
              <w:rPr>
                <w:rFonts w:ascii="Times New Roman" w:hAnsi="Times New Roman"/>
                <w:sz w:val="24"/>
                <w:szCs w:val="24"/>
                <w:u w:color="202124"/>
              </w:rPr>
              <w:t xml:space="preserve"> poriadku. Takúto úpravu obsahuje napr.</w:t>
            </w:r>
            <w:r w:rsidR="002F05A0" w:rsidRPr="0030188B">
              <w:rPr>
                <w:rFonts w:ascii="Times New Roman" w:hAnsi="Times New Roman" w:cs="Times New Roman"/>
                <w:sz w:val="24"/>
                <w:szCs w:val="24"/>
              </w:rPr>
              <w:t xml:space="preserve"> </w:t>
            </w:r>
            <w:r w:rsidR="00AF767A" w:rsidRPr="0030188B">
              <w:rPr>
                <w:rFonts w:ascii="Times New Roman" w:hAnsi="Times New Roman" w:cs="Times New Roman"/>
                <w:sz w:val="24"/>
                <w:szCs w:val="24"/>
              </w:rPr>
              <w:t xml:space="preserve">§ 122 ods. 6 </w:t>
            </w:r>
            <w:r w:rsidR="002F05A0" w:rsidRPr="0030188B">
              <w:rPr>
                <w:rFonts w:ascii="Times New Roman" w:hAnsi="Times New Roman" w:cs="Times New Roman"/>
                <w:sz w:val="24"/>
                <w:szCs w:val="24"/>
              </w:rPr>
              <w:t>zákon</w:t>
            </w:r>
            <w:r w:rsidR="00AF767A" w:rsidRPr="0030188B">
              <w:rPr>
                <w:rFonts w:ascii="Times New Roman" w:hAnsi="Times New Roman" w:cs="Times New Roman"/>
                <w:sz w:val="24"/>
                <w:szCs w:val="24"/>
              </w:rPr>
              <w:t>a</w:t>
            </w:r>
            <w:r w:rsidR="002F05A0" w:rsidRPr="0030188B">
              <w:rPr>
                <w:rFonts w:ascii="Times New Roman" w:hAnsi="Times New Roman" w:cs="Times New Roman"/>
                <w:sz w:val="24"/>
                <w:szCs w:val="24"/>
              </w:rPr>
              <w:t xml:space="preserve"> č.</w:t>
            </w:r>
            <w:r w:rsidR="00E14A52" w:rsidRPr="0030188B">
              <w:rPr>
                <w:rFonts w:ascii="Times New Roman" w:hAnsi="Times New Roman" w:cs="Times New Roman"/>
                <w:sz w:val="24"/>
                <w:szCs w:val="24"/>
              </w:rPr>
              <w:t> </w:t>
            </w:r>
            <w:r w:rsidR="002F05A0" w:rsidRPr="0030188B">
              <w:rPr>
                <w:rFonts w:ascii="Times New Roman" w:hAnsi="Times New Roman" w:cs="Times New Roman"/>
                <w:sz w:val="24"/>
                <w:szCs w:val="24"/>
              </w:rPr>
              <w:t xml:space="preserve">461/2003 Z. z. </w:t>
            </w:r>
            <w:r w:rsidR="00AF767A" w:rsidRPr="0030188B">
              <w:rPr>
                <w:rFonts w:ascii="Times New Roman" w:hAnsi="Times New Roman" w:cs="Times New Roman"/>
                <w:sz w:val="24"/>
                <w:szCs w:val="24"/>
              </w:rPr>
              <w:t>o sociálnom poistení v znení neskorších pr</w:t>
            </w:r>
            <w:r w:rsidR="00E14A52" w:rsidRPr="0030188B">
              <w:rPr>
                <w:rFonts w:ascii="Times New Roman" w:hAnsi="Times New Roman" w:cs="Times New Roman"/>
                <w:sz w:val="24"/>
                <w:szCs w:val="24"/>
              </w:rPr>
              <w:t>edpisov, § 18c ods. 1 zákona č. </w:t>
            </w:r>
            <w:r w:rsidR="00AF767A" w:rsidRPr="0030188B">
              <w:rPr>
                <w:rFonts w:ascii="Times New Roman" w:hAnsi="Times New Roman" w:cs="Times New Roman"/>
                <w:sz w:val="24"/>
                <w:szCs w:val="24"/>
              </w:rPr>
              <w:t>369/1990 Zb. o obecnom zriadení v znení neskorších predpisov</w:t>
            </w:r>
            <w:r w:rsidR="00AE13D6">
              <w:rPr>
                <w:rFonts w:ascii="Times New Roman" w:hAnsi="Times New Roman" w:cs="Times New Roman"/>
                <w:sz w:val="24"/>
                <w:szCs w:val="24"/>
              </w:rPr>
              <w:t xml:space="preserve"> či</w:t>
            </w:r>
            <w:r w:rsidR="00E543AB" w:rsidRPr="0030188B">
              <w:rPr>
                <w:rFonts w:ascii="Times New Roman" w:hAnsi="Times New Roman" w:cs="Times New Roman"/>
                <w:sz w:val="24"/>
                <w:szCs w:val="24"/>
              </w:rPr>
              <w:t xml:space="preserve"> § 69 ods. 2 zákona č. </w:t>
            </w:r>
            <w:r w:rsidR="00AF767A" w:rsidRPr="0030188B">
              <w:rPr>
                <w:rFonts w:ascii="Times New Roman" w:hAnsi="Times New Roman" w:cs="Times New Roman"/>
                <w:sz w:val="24"/>
                <w:szCs w:val="24"/>
              </w:rPr>
              <w:t xml:space="preserve">385/2000 Z. z. o sudcoch a prísediacich a o zmene a doplnení niektorých zákonov v znení zákona č.  757/2004 Z. z. a pod. </w:t>
            </w:r>
          </w:p>
          <w:p w:rsidR="002F05A0" w:rsidRDefault="00AF767A" w:rsidP="0084206C">
            <w:pPr>
              <w:pStyle w:val="Bezriadkovania"/>
              <w:jc w:val="both"/>
              <w:rPr>
                <w:rFonts w:ascii="Times New Roman" w:hAnsi="Times New Roman" w:cs="Times New Roman"/>
                <w:sz w:val="24"/>
                <w:szCs w:val="24"/>
              </w:rPr>
            </w:pPr>
            <w:r w:rsidRPr="0030188B">
              <w:rPr>
                <w:rFonts w:ascii="Times New Roman" w:hAnsi="Times New Roman" w:cs="Times New Roman"/>
                <w:sz w:val="24"/>
                <w:szCs w:val="24"/>
              </w:rPr>
              <w:t xml:space="preserve">V navrhovanom </w:t>
            </w:r>
            <w:r w:rsidR="0084206C" w:rsidRPr="0030188B">
              <w:rPr>
                <w:rFonts w:ascii="Times New Roman" w:hAnsi="Times New Roman" w:cs="Times New Roman"/>
                <w:sz w:val="24"/>
                <w:szCs w:val="24"/>
              </w:rPr>
              <w:t xml:space="preserve">zákone </w:t>
            </w:r>
            <w:r w:rsidR="00E14A52" w:rsidRPr="0030188B">
              <w:rPr>
                <w:rFonts w:ascii="Times New Roman" w:hAnsi="Times New Roman" w:cs="Times New Roman"/>
                <w:sz w:val="24"/>
                <w:szCs w:val="24"/>
              </w:rPr>
              <w:t xml:space="preserve">o ochrane svedka </w:t>
            </w:r>
            <w:r w:rsidR="0084206C" w:rsidRPr="0030188B">
              <w:rPr>
                <w:rFonts w:ascii="Times New Roman" w:hAnsi="Times New Roman" w:cs="Times New Roman"/>
                <w:sz w:val="24"/>
                <w:szCs w:val="24"/>
              </w:rPr>
              <w:t>i</w:t>
            </w:r>
            <w:r w:rsidR="002F05A0" w:rsidRPr="0030188B">
              <w:rPr>
                <w:rFonts w:ascii="Times New Roman" w:hAnsi="Times New Roman" w:cs="Times New Roman"/>
                <w:sz w:val="24"/>
                <w:szCs w:val="24"/>
              </w:rPr>
              <w:t>de o ekvivalent platu</w:t>
            </w:r>
            <w:r w:rsidRPr="0030188B">
              <w:rPr>
                <w:rFonts w:ascii="Times New Roman" w:hAnsi="Times New Roman" w:cs="Times New Roman"/>
                <w:sz w:val="24"/>
                <w:szCs w:val="24"/>
              </w:rPr>
              <w:t xml:space="preserve"> pre chráneného svedka, ktorý v mnohých prípadoch </w:t>
            </w:r>
            <w:r w:rsidR="007F442C" w:rsidRPr="0030188B">
              <w:rPr>
                <w:rFonts w:ascii="Times New Roman" w:hAnsi="Times New Roman" w:cs="Times New Roman"/>
                <w:sz w:val="24"/>
                <w:szCs w:val="24"/>
              </w:rPr>
              <w:t xml:space="preserve">najčastejšie na začiatku programu ochrany </w:t>
            </w:r>
            <w:r w:rsidRPr="0030188B">
              <w:rPr>
                <w:rFonts w:ascii="Times New Roman" w:hAnsi="Times New Roman" w:cs="Times New Roman"/>
                <w:sz w:val="24"/>
                <w:szCs w:val="24"/>
              </w:rPr>
              <w:t xml:space="preserve">nemôže vykonávať svoje pôvodné zamestnanie. </w:t>
            </w:r>
            <w:r w:rsidR="00E543AB" w:rsidRPr="0030188B">
              <w:rPr>
                <w:rFonts w:ascii="Times New Roman" w:hAnsi="Times New Roman" w:cs="Times New Roman"/>
                <w:sz w:val="24"/>
                <w:szCs w:val="24"/>
              </w:rPr>
              <w:t xml:space="preserve"> Ak by sa</w:t>
            </w:r>
            <w:r w:rsidRPr="0030188B">
              <w:rPr>
                <w:rFonts w:ascii="Times New Roman" w:hAnsi="Times New Roman" w:cs="Times New Roman"/>
                <w:sz w:val="24"/>
                <w:szCs w:val="24"/>
              </w:rPr>
              <w:t xml:space="preserve"> </w:t>
            </w:r>
            <w:r w:rsidR="00E543AB" w:rsidRPr="0030188B">
              <w:rPr>
                <w:rFonts w:ascii="Times New Roman" w:hAnsi="Times New Roman" w:cs="Times New Roman"/>
                <w:sz w:val="24"/>
                <w:szCs w:val="24"/>
              </w:rPr>
              <w:t xml:space="preserve">pri určovaní </w:t>
            </w:r>
            <w:r w:rsidR="00E543AB" w:rsidRPr="0030188B">
              <w:rPr>
                <w:rFonts w:ascii="Times New Roman" w:hAnsi="Times New Roman"/>
                <w:sz w:val="24"/>
                <w:szCs w:val="24"/>
                <w:u w:color="202124"/>
              </w:rPr>
              <w:t xml:space="preserve">výšky peňažného príspevku  brala do úvahy priemerná nominálna mesačná mzda zamestnanca v hospodárstve Slovenskej republiky </w:t>
            </w:r>
            <w:r w:rsidR="00E543AB" w:rsidRPr="0030188B">
              <w:rPr>
                <w:rFonts w:ascii="Times New Roman" w:hAnsi="Times New Roman"/>
                <w:sz w:val="24"/>
                <w:szCs w:val="24"/>
              </w:rPr>
              <w:t>zistenej</w:t>
            </w:r>
            <w:r w:rsidR="00E543AB" w:rsidRPr="0030188B">
              <w:rPr>
                <w:rFonts w:ascii="Times New Roman" w:hAnsi="Times New Roman" w:cs="Times New Roman"/>
                <w:sz w:val="24"/>
                <w:szCs w:val="24"/>
              </w:rPr>
              <w:t xml:space="preserve"> Štatistickým úradom Slovenskej republiky</w:t>
            </w:r>
            <w:r w:rsidR="00E543AB" w:rsidRPr="0030188B">
              <w:rPr>
                <w:rFonts w:ascii="Times New Roman" w:hAnsi="Times New Roman"/>
                <w:sz w:val="24"/>
                <w:szCs w:val="24"/>
                <w:u w:color="202124"/>
              </w:rPr>
              <w:t xml:space="preserve"> </w:t>
            </w:r>
            <w:r w:rsidR="00E543AB" w:rsidRPr="0030188B">
              <w:rPr>
                <w:rFonts w:ascii="Times New Roman" w:hAnsi="Times New Roman" w:cs="Times New Roman"/>
                <w:sz w:val="24"/>
                <w:szCs w:val="24"/>
              </w:rPr>
              <w:t xml:space="preserve"> za kalendárny rok, ktorý dva roky predchádzal </w:t>
            </w:r>
            <w:r w:rsidRPr="0030188B">
              <w:rPr>
                <w:rFonts w:ascii="Times New Roman" w:hAnsi="Times New Roman" w:cs="Times New Roman"/>
                <w:sz w:val="24"/>
                <w:szCs w:val="24"/>
              </w:rPr>
              <w:t>kalendárnemu roku, v ktorom sa program ochrany začal vykonávať</w:t>
            </w:r>
            <w:r w:rsidR="00E543AB" w:rsidRPr="0030188B">
              <w:rPr>
                <w:rFonts w:ascii="Times New Roman" w:hAnsi="Times New Roman" w:cs="Times New Roman"/>
                <w:sz w:val="24"/>
                <w:szCs w:val="24"/>
              </w:rPr>
              <w:t>,</w:t>
            </w:r>
            <w:r w:rsidRPr="0030188B">
              <w:rPr>
                <w:rFonts w:ascii="Times New Roman" w:hAnsi="Times New Roman" w:cs="Times New Roman"/>
                <w:sz w:val="24"/>
                <w:szCs w:val="24"/>
              </w:rPr>
              <w:t xml:space="preserve"> </w:t>
            </w:r>
            <w:r w:rsidR="00E543AB" w:rsidRPr="0030188B">
              <w:rPr>
                <w:rFonts w:ascii="Times New Roman" w:hAnsi="Times New Roman" w:cs="Times New Roman"/>
                <w:sz w:val="24"/>
                <w:szCs w:val="24"/>
              </w:rPr>
              <w:t xml:space="preserve">mohli </w:t>
            </w:r>
            <w:r w:rsidR="002F05A0" w:rsidRPr="0030188B">
              <w:rPr>
                <w:rFonts w:ascii="Times New Roman" w:hAnsi="Times New Roman" w:cs="Times New Roman"/>
                <w:sz w:val="24"/>
                <w:szCs w:val="24"/>
              </w:rPr>
              <w:t xml:space="preserve">by byť </w:t>
            </w:r>
            <w:r w:rsidR="007F442C" w:rsidRPr="0030188B">
              <w:rPr>
                <w:rFonts w:ascii="Times New Roman" w:hAnsi="Times New Roman" w:cs="Times New Roman"/>
                <w:sz w:val="24"/>
                <w:szCs w:val="24"/>
              </w:rPr>
              <w:t xml:space="preserve">chránenému svedkovi </w:t>
            </w:r>
            <w:r w:rsidR="002F05A0" w:rsidRPr="0030188B">
              <w:rPr>
                <w:rFonts w:ascii="Times New Roman" w:hAnsi="Times New Roman" w:cs="Times New Roman"/>
                <w:sz w:val="24"/>
                <w:szCs w:val="24"/>
              </w:rPr>
              <w:t xml:space="preserve">poskytnuté plnenia v porovnaní s aktuálnymi </w:t>
            </w:r>
            <w:r w:rsidR="00E14A52" w:rsidRPr="0030188B">
              <w:rPr>
                <w:rFonts w:ascii="Times New Roman" w:hAnsi="Times New Roman" w:cs="Times New Roman"/>
                <w:sz w:val="24"/>
                <w:szCs w:val="24"/>
              </w:rPr>
              <w:t>mzdami</w:t>
            </w:r>
            <w:r w:rsidR="00E543AB" w:rsidRPr="0030188B">
              <w:rPr>
                <w:rFonts w:ascii="Times New Roman" w:hAnsi="Times New Roman" w:cs="Times New Roman"/>
                <w:sz w:val="24"/>
                <w:szCs w:val="24"/>
              </w:rPr>
              <w:t xml:space="preserve"> </w:t>
            </w:r>
            <w:r w:rsidR="0084206C" w:rsidRPr="0030188B">
              <w:rPr>
                <w:rFonts w:ascii="Times New Roman" w:hAnsi="Times New Roman" w:cs="Times New Roman"/>
                <w:sz w:val="24"/>
                <w:szCs w:val="24"/>
              </w:rPr>
              <w:t>aj podstatne nižšie</w:t>
            </w:r>
            <w:r w:rsidR="00E543AB" w:rsidRPr="0030188B">
              <w:rPr>
                <w:rFonts w:ascii="Times New Roman" w:hAnsi="Times New Roman" w:cs="Times New Roman"/>
                <w:sz w:val="24"/>
                <w:szCs w:val="24"/>
              </w:rPr>
              <w:t xml:space="preserve"> a to n</w:t>
            </w:r>
            <w:r w:rsidR="00E14A52" w:rsidRPr="0030188B">
              <w:rPr>
                <w:rFonts w:ascii="Times New Roman" w:hAnsi="Times New Roman" w:cs="Times New Roman"/>
                <w:sz w:val="24"/>
                <w:szCs w:val="24"/>
              </w:rPr>
              <w:t xml:space="preserve">apríklad z dôvodu rastu mzdy </w:t>
            </w:r>
            <w:r w:rsidR="00AE13D6">
              <w:rPr>
                <w:rFonts w:ascii="Times New Roman" w:hAnsi="Times New Roman" w:cs="Times New Roman"/>
                <w:sz w:val="24"/>
                <w:szCs w:val="24"/>
              </w:rPr>
              <w:t xml:space="preserve">napr. </w:t>
            </w:r>
            <w:r w:rsidR="00E14A52" w:rsidRPr="0030188B">
              <w:rPr>
                <w:rFonts w:ascii="Times New Roman" w:hAnsi="Times New Roman" w:cs="Times New Roman"/>
                <w:sz w:val="24"/>
                <w:szCs w:val="24"/>
              </w:rPr>
              <w:t xml:space="preserve">zohľadnením </w:t>
            </w:r>
            <w:r w:rsidR="00E543AB" w:rsidRPr="0030188B">
              <w:rPr>
                <w:rFonts w:ascii="Times New Roman" w:hAnsi="Times New Roman" w:cs="Times New Roman"/>
                <w:sz w:val="24"/>
                <w:szCs w:val="24"/>
              </w:rPr>
              <w:t>inflácie</w:t>
            </w:r>
            <w:r w:rsidR="00AE13D6">
              <w:rPr>
                <w:rFonts w:ascii="Times New Roman" w:hAnsi="Times New Roman" w:cs="Times New Roman"/>
                <w:sz w:val="24"/>
                <w:szCs w:val="24"/>
              </w:rPr>
              <w:t xml:space="preserve"> v predchádzajúcich rokoch</w:t>
            </w:r>
            <w:r w:rsidR="0084206C" w:rsidRPr="0030188B">
              <w:rPr>
                <w:rFonts w:ascii="Times New Roman" w:hAnsi="Times New Roman" w:cs="Times New Roman"/>
                <w:sz w:val="24"/>
                <w:szCs w:val="24"/>
              </w:rPr>
              <w:t>.</w:t>
            </w:r>
          </w:p>
          <w:p w:rsidR="0084543C" w:rsidRPr="00472AEC" w:rsidRDefault="0084543C" w:rsidP="00232272">
            <w:pPr>
              <w:pStyle w:val="Bezriadkovania"/>
              <w:jc w:val="both"/>
              <w:rPr>
                <w:rFonts w:ascii="Times New Roman" w:hAnsi="Times New Roman" w:cs="Times New Roman"/>
                <w:sz w:val="24"/>
                <w:szCs w:val="24"/>
              </w:rPr>
            </w:pP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lastRenderedPageBreak/>
              <w:t>MPSVRSR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K Čl. I § 22</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 xml:space="preserve">Odporúčame v Čl. I § 22 upraviť aspoň delegovanú pôsobnosť správneho poriadku na konanie a rozhodovanie vo veciach podľa predkladaného návrhu zákona. Odôvodnenie: Keďže ide o konanie, ktorého výsledkom je rozhodnutie o hmotnoprávnych otázkach, je potrebné, aby </w:t>
            </w:r>
            <w:r w:rsidRPr="001A7227">
              <w:rPr>
                <w:rFonts w:ascii="Times New Roman" w:hAnsi="Times New Roman" w:cs="Times New Roman"/>
                <w:sz w:val="24"/>
                <w:szCs w:val="24"/>
              </w:rPr>
              <w:lastRenderedPageBreak/>
              <w:t>sa toto konanie uskutočňovalo podľa zákonom ustanovených procesných pravidiel tak, aby bolo zachované právo účastníka konania na spravodlivý proces.</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lastRenderedPageBreak/>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84206C">
            <w:pPr>
              <w:jc w:val="center"/>
              <w:rPr>
                <w:rFonts w:ascii="Times" w:hAnsi="Times" w:cs="Times"/>
                <w:sz w:val="25"/>
                <w:szCs w:val="25"/>
              </w:rPr>
            </w:pPr>
            <w:r w:rsidRPr="00232272">
              <w:rPr>
                <w:rFonts w:ascii="Times" w:hAnsi="Times" w:cs="Times"/>
                <w:sz w:val="25"/>
                <w:szCs w:val="25"/>
              </w:rPr>
              <w:t>N</w:t>
            </w:r>
          </w:p>
        </w:tc>
        <w:tc>
          <w:tcPr>
            <w:tcW w:w="1830" w:type="pct"/>
            <w:tcBorders>
              <w:top w:val="outset" w:sz="6" w:space="0" w:color="000000"/>
              <w:left w:val="outset" w:sz="6" w:space="0" w:color="000000"/>
              <w:bottom w:val="outset" w:sz="6" w:space="0" w:color="000000"/>
              <w:right w:val="outset" w:sz="6" w:space="0" w:color="000000"/>
            </w:tcBorders>
            <w:hideMark/>
          </w:tcPr>
          <w:p w:rsidR="00614331" w:rsidRDefault="0084206C" w:rsidP="00614331">
            <w:pPr>
              <w:pStyle w:val="Bezriadkovania"/>
              <w:jc w:val="both"/>
              <w:rPr>
                <w:rFonts w:ascii="Times New Roman" w:hAnsi="Times New Roman" w:cs="Times New Roman"/>
                <w:sz w:val="24"/>
                <w:szCs w:val="24"/>
              </w:rPr>
            </w:pPr>
            <w:r>
              <w:rPr>
                <w:rFonts w:ascii="Times New Roman" w:hAnsi="Times New Roman" w:cs="Times New Roman"/>
                <w:sz w:val="24"/>
                <w:szCs w:val="24"/>
              </w:rPr>
              <w:t>§ 22 sa týka konaní podľa navrhovaného zákona o ochrane svedka, t.j. konania o programe ochrany</w:t>
            </w:r>
            <w:r w:rsidR="00614331">
              <w:rPr>
                <w:rFonts w:ascii="Times New Roman" w:hAnsi="Times New Roman" w:cs="Times New Roman"/>
                <w:sz w:val="24"/>
                <w:szCs w:val="24"/>
              </w:rPr>
              <w:t xml:space="preserve"> či konania </w:t>
            </w:r>
            <w:r>
              <w:rPr>
                <w:rFonts w:ascii="Times New Roman" w:hAnsi="Times New Roman" w:cs="Times New Roman"/>
                <w:sz w:val="24"/>
                <w:szCs w:val="24"/>
              </w:rPr>
              <w:t xml:space="preserve">o predbežnom vykonávaní programu ochrany. Nie je žiaduce, aby sa </w:t>
            </w:r>
            <w:r w:rsidR="008D6AD4">
              <w:rPr>
                <w:rFonts w:ascii="Times New Roman" w:hAnsi="Times New Roman" w:cs="Times New Roman"/>
                <w:sz w:val="24"/>
                <w:szCs w:val="24"/>
              </w:rPr>
              <w:t xml:space="preserve">na tieto typy konaní týkajúce sa utajovaných skutočností čo aj delegovane vzťahoval správny poriadok. </w:t>
            </w:r>
          </w:p>
          <w:p w:rsidR="0015334D" w:rsidRPr="00472AEC" w:rsidRDefault="0015334D" w:rsidP="00614331">
            <w:pPr>
              <w:pStyle w:val="Bezriadkovania"/>
              <w:jc w:val="both"/>
              <w:rPr>
                <w:rFonts w:ascii="Times New Roman" w:hAnsi="Times New Roman" w:cs="Times New Roman"/>
                <w:sz w:val="24"/>
                <w:szCs w:val="24"/>
              </w:rPr>
            </w:pPr>
          </w:p>
        </w:tc>
      </w:tr>
      <w:tr w:rsidR="0015334D" w:rsidTr="00232272">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lastRenderedPageBreak/>
              <w:t>MPSVRSR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K Čl. I § 23</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Odporúčame v Čl. I § 23 slová „zákona č. 256/1998 Z. z. o ochrane svedka a o zmene a doplnení niektorých zákonov v znení neskorších predpisov“ nahradiť slovami „predpisu účinného do 31. decembra 2024“. Odôvodnenie: Legislatívno-technická pripomienka.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t>O</w:t>
            </w:r>
          </w:p>
        </w:tc>
        <w:tc>
          <w:tcPr>
            <w:tcW w:w="198"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5334D" w:rsidRDefault="00836223">
            <w:pPr>
              <w:jc w:val="center"/>
              <w:rPr>
                <w:rFonts w:ascii="Times" w:hAnsi="Times" w:cs="Times"/>
                <w:sz w:val="25"/>
                <w:szCs w:val="25"/>
              </w:rPr>
            </w:pPr>
            <w:r w:rsidRPr="00232272">
              <w:rPr>
                <w:rFonts w:ascii="Times" w:hAnsi="Times" w:cs="Times"/>
                <w:sz w:val="25"/>
                <w:szCs w:val="25"/>
              </w:rPr>
              <w:t>A</w:t>
            </w:r>
          </w:p>
        </w:tc>
        <w:tc>
          <w:tcPr>
            <w:tcW w:w="1830" w:type="pct"/>
            <w:tcBorders>
              <w:top w:val="outset" w:sz="6" w:space="0" w:color="000000"/>
              <w:left w:val="outset" w:sz="6" w:space="0" w:color="000000"/>
              <w:bottom w:val="outset" w:sz="6" w:space="0" w:color="000000"/>
              <w:right w:val="outset" w:sz="6" w:space="0" w:color="000000"/>
            </w:tcBorders>
            <w:hideMark/>
          </w:tcPr>
          <w:p w:rsidR="0015334D" w:rsidRPr="00472AEC" w:rsidRDefault="0015334D" w:rsidP="00472AEC">
            <w:pPr>
              <w:pStyle w:val="Bezriadkovania"/>
              <w:jc w:val="both"/>
              <w:rPr>
                <w:rFonts w:ascii="Times New Roman" w:hAnsi="Times New Roman" w:cs="Times New Roman"/>
                <w:sz w:val="24"/>
                <w:szCs w:val="24"/>
              </w:rPr>
            </w:pP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MPSVRSR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K Čl. I § 3 ods. 2 písm. a) a § 14 ods. 1 písm. a)</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Odporúčame v Čl. I § 3 ods. 2 písm. a) a § 14 ods. 1 písm. a) slová „dátum narodenia, rodné číslo“ nahradiť slovami „rodné číslo alebo dátum narodenia, ak rodné číslo nie je pridelené“. Odôvodnenie: Odporúčame dátum narodenia uvádzať len v prípade, keď nie je pridelené rodné číslo.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84543C">
            <w:pPr>
              <w:jc w:val="center"/>
              <w:rPr>
                <w:rFonts w:ascii="Times" w:hAnsi="Times" w:cs="Times"/>
                <w:sz w:val="25"/>
                <w:szCs w:val="25"/>
              </w:rPr>
            </w:pPr>
            <w:r w:rsidRPr="00232272">
              <w:rPr>
                <w:rFonts w:ascii="Times" w:hAnsi="Times" w:cs="Times"/>
                <w:sz w:val="25"/>
                <w:szCs w:val="25"/>
              </w:rPr>
              <w:t>A</w:t>
            </w:r>
          </w:p>
        </w:tc>
        <w:tc>
          <w:tcPr>
            <w:tcW w:w="1830" w:type="pct"/>
            <w:tcBorders>
              <w:top w:val="outset" w:sz="6" w:space="0" w:color="000000"/>
              <w:left w:val="outset" w:sz="6" w:space="0" w:color="000000"/>
              <w:bottom w:val="outset" w:sz="6" w:space="0" w:color="000000"/>
              <w:right w:val="outset" w:sz="6" w:space="0" w:color="000000"/>
            </w:tcBorders>
            <w:hideMark/>
          </w:tcPr>
          <w:p w:rsidR="0015334D" w:rsidRPr="00472AEC" w:rsidRDefault="0015334D" w:rsidP="00472AEC">
            <w:pPr>
              <w:pStyle w:val="Bezriadkovania"/>
              <w:jc w:val="both"/>
              <w:rPr>
                <w:rFonts w:ascii="Times New Roman" w:hAnsi="Times New Roman" w:cs="Times New Roman"/>
                <w:sz w:val="24"/>
                <w:szCs w:val="24"/>
              </w:rPr>
            </w:pP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MPSVRSR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K Čl. I § 4 ods. 10</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Odporúčame v Čl. I § 4 ods. 10 slovo „určí“ nahradiť slovom „upraví“. Odôvodnenie: Legislatívno-technická pripomienka.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634ED5">
            <w:pPr>
              <w:jc w:val="center"/>
              <w:rPr>
                <w:rFonts w:ascii="Times" w:hAnsi="Times" w:cs="Times"/>
                <w:sz w:val="25"/>
                <w:szCs w:val="25"/>
              </w:rPr>
            </w:pPr>
            <w:r w:rsidRPr="00232272">
              <w:rPr>
                <w:rFonts w:ascii="Times" w:hAnsi="Times" w:cs="Times"/>
                <w:sz w:val="25"/>
                <w:szCs w:val="25"/>
              </w:rPr>
              <w:t>A</w:t>
            </w:r>
          </w:p>
        </w:tc>
        <w:tc>
          <w:tcPr>
            <w:tcW w:w="1830" w:type="pct"/>
            <w:tcBorders>
              <w:top w:val="outset" w:sz="6" w:space="0" w:color="000000"/>
              <w:left w:val="outset" w:sz="6" w:space="0" w:color="000000"/>
              <w:bottom w:val="outset" w:sz="6" w:space="0" w:color="000000"/>
              <w:right w:val="outset" w:sz="6" w:space="0" w:color="000000"/>
            </w:tcBorders>
            <w:hideMark/>
          </w:tcPr>
          <w:p w:rsidR="0015334D" w:rsidRPr="00472AEC" w:rsidRDefault="002F05A0" w:rsidP="00836223">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MPSVRSR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K Čl. I § 4 ods. 2</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Odporúčame v Čl. I § 4 ods. 2 tretej vete za slovo „zo“ vložiť slovo „štátnych“. Odôvodnenie: Odporúčame, aby členovia komisie navrhovaní ministrom spravodlivosti Slovenskej republiky boli štátni zamestnanci Ministerstva spravodlivosti Slovenskej republiky.</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7F442C" w:rsidRDefault="007F442C">
            <w:pPr>
              <w:jc w:val="center"/>
              <w:rPr>
                <w:rFonts w:ascii="Times" w:hAnsi="Times" w:cs="Times"/>
                <w:sz w:val="25"/>
                <w:szCs w:val="25"/>
              </w:rPr>
            </w:pPr>
          </w:p>
          <w:p w:rsidR="007F442C" w:rsidRDefault="007F442C">
            <w:pPr>
              <w:jc w:val="center"/>
              <w:rPr>
                <w:rFonts w:ascii="Times" w:hAnsi="Times" w:cs="Times"/>
                <w:sz w:val="25"/>
                <w:szCs w:val="25"/>
              </w:rPr>
            </w:pPr>
          </w:p>
          <w:p w:rsidR="0015334D" w:rsidRPr="007F442C" w:rsidRDefault="00634ED5">
            <w:pPr>
              <w:jc w:val="center"/>
              <w:rPr>
                <w:rFonts w:ascii="Times" w:hAnsi="Times" w:cs="Times"/>
                <w:sz w:val="25"/>
                <w:szCs w:val="25"/>
              </w:rPr>
            </w:pPr>
            <w:r w:rsidRPr="007F442C">
              <w:rPr>
                <w:rFonts w:ascii="Times" w:hAnsi="Times" w:cs="Times"/>
                <w:sz w:val="25"/>
                <w:szCs w:val="25"/>
              </w:rPr>
              <w:t>N</w:t>
            </w:r>
          </w:p>
          <w:p w:rsidR="0084543C" w:rsidRDefault="0084543C">
            <w:pPr>
              <w:jc w:val="center"/>
              <w:rPr>
                <w:rFonts w:ascii="Times" w:hAnsi="Times" w:cs="Times"/>
                <w:strike/>
                <w:sz w:val="25"/>
                <w:szCs w:val="25"/>
              </w:rPr>
            </w:pPr>
          </w:p>
          <w:p w:rsidR="0084543C" w:rsidRPr="0084543C" w:rsidRDefault="0084543C">
            <w:pPr>
              <w:jc w:val="center"/>
              <w:rPr>
                <w:rFonts w:ascii="Times" w:hAnsi="Times" w:cs="Times"/>
                <w:sz w:val="25"/>
                <w:szCs w:val="25"/>
              </w:rPr>
            </w:pPr>
          </w:p>
        </w:tc>
        <w:tc>
          <w:tcPr>
            <w:tcW w:w="1830" w:type="pct"/>
            <w:tcBorders>
              <w:top w:val="outset" w:sz="6" w:space="0" w:color="000000"/>
              <w:left w:val="outset" w:sz="6" w:space="0" w:color="000000"/>
              <w:bottom w:val="outset" w:sz="6" w:space="0" w:color="000000"/>
              <w:right w:val="outset" w:sz="6" w:space="0" w:color="000000"/>
            </w:tcBorders>
            <w:hideMark/>
          </w:tcPr>
          <w:p w:rsidR="00410244" w:rsidRPr="0084543C" w:rsidRDefault="00634ED5" w:rsidP="00BC182F">
            <w:pPr>
              <w:pStyle w:val="Bezriadkovania"/>
              <w:jc w:val="both"/>
              <w:rPr>
                <w:rFonts w:ascii="Times New Roman" w:hAnsi="Times New Roman" w:cs="Times New Roman"/>
                <w:sz w:val="24"/>
                <w:szCs w:val="24"/>
              </w:rPr>
            </w:pPr>
            <w:r w:rsidRPr="00E14A52">
              <w:rPr>
                <w:rFonts w:ascii="Times New Roman" w:hAnsi="Times New Roman" w:cs="Times New Roman"/>
                <w:sz w:val="24"/>
                <w:szCs w:val="24"/>
              </w:rPr>
              <w:t>MPSVR SR neodôvodnilo svoj návrh, aby členovia komisie navrhovaní ministrom spravodlivosti Slovenskej republiky boli štátni zamestnanci Ministerstva spravodlivosti Slovenskej republiky</w:t>
            </w:r>
            <w:r w:rsidR="00E14A52">
              <w:rPr>
                <w:rFonts w:ascii="Times New Roman" w:hAnsi="Times New Roman" w:cs="Times New Roman"/>
                <w:sz w:val="24"/>
                <w:szCs w:val="24"/>
              </w:rPr>
              <w:t>,</w:t>
            </w:r>
            <w:r w:rsidR="00BC182F">
              <w:rPr>
                <w:rFonts w:ascii="Times New Roman" w:hAnsi="Times New Roman" w:cs="Times New Roman"/>
                <w:sz w:val="24"/>
                <w:szCs w:val="24"/>
              </w:rPr>
              <w:t xml:space="preserve"> preto nie je zrejmý dôvod, ktorý viedol ministerstvo práce ku špecifikácii druhu zamestnania</w:t>
            </w:r>
            <w:r w:rsidRPr="00E14A52">
              <w:rPr>
                <w:rFonts w:ascii="Times New Roman" w:hAnsi="Times New Roman" w:cs="Times New Roman"/>
                <w:sz w:val="24"/>
                <w:szCs w:val="24"/>
              </w:rPr>
              <w:t xml:space="preserve">. </w:t>
            </w:r>
            <w:r w:rsidR="00E14A52">
              <w:rPr>
                <w:rFonts w:ascii="Times New Roman" w:hAnsi="Times New Roman"/>
                <w:sz w:val="24"/>
                <w:szCs w:val="24"/>
              </w:rPr>
              <w:t xml:space="preserve">Člen komisie zastupujúci Ministerstvo spravodlivosti Slovenskej republiky musí byť zamestnancom ministerstva </w:t>
            </w:r>
            <w:r w:rsidR="00BC182F">
              <w:rPr>
                <w:rFonts w:ascii="Times New Roman" w:hAnsi="Times New Roman"/>
                <w:sz w:val="24"/>
                <w:szCs w:val="24"/>
              </w:rPr>
              <w:t>spravodlivosti,</w:t>
            </w:r>
            <w:r w:rsidR="00E14A52">
              <w:rPr>
                <w:rFonts w:ascii="Times New Roman" w:hAnsi="Times New Roman"/>
                <w:sz w:val="24"/>
                <w:szCs w:val="24"/>
              </w:rPr>
              <w:t xml:space="preserve"> musí spĺňa</w:t>
            </w:r>
            <w:r w:rsidR="00BC182F">
              <w:rPr>
                <w:rFonts w:ascii="Times New Roman" w:hAnsi="Times New Roman"/>
                <w:sz w:val="24"/>
                <w:szCs w:val="24"/>
              </w:rPr>
              <w:t>ť</w:t>
            </w:r>
            <w:r w:rsidR="00E14A52">
              <w:rPr>
                <w:rFonts w:ascii="Times New Roman" w:hAnsi="Times New Roman"/>
                <w:sz w:val="24"/>
                <w:szCs w:val="24"/>
              </w:rPr>
              <w:t xml:space="preserve"> požiadavku odbornosti – praxe v ob</w:t>
            </w:r>
            <w:r w:rsidR="00BC182F">
              <w:rPr>
                <w:rFonts w:ascii="Times New Roman" w:hAnsi="Times New Roman"/>
                <w:sz w:val="24"/>
                <w:szCs w:val="24"/>
              </w:rPr>
              <w:t>lasti súdnictva a väzenstva a musí byť</w:t>
            </w:r>
            <w:r w:rsidR="00E14A52">
              <w:rPr>
                <w:rFonts w:ascii="Times New Roman" w:hAnsi="Times New Roman"/>
                <w:sz w:val="24"/>
                <w:szCs w:val="24"/>
              </w:rPr>
              <w:t xml:space="preserve"> oprávnený oboznamovať sa utajovanými skutočnosťami</w:t>
            </w:r>
            <w:r w:rsidR="00BC182F">
              <w:rPr>
                <w:rFonts w:ascii="Times New Roman" w:hAnsi="Times New Roman"/>
                <w:sz w:val="24"/>
                <w:szCs w:val="24"/>
              </w:rPr>
              <w:t xml:space="preserve">. V tejto súvislosti ministerstvo vnútra oslovilo ministerstvo spravodlivosti, či </w:t>
            </w:r>
            <w:r w:rsidR="00BC182F">
              <w:rPr>
                <w:rFonts w:ascii="Times New Roman" w:hAnsi="Times New Roman"/>
                <w:sz w:val="24"/>
                <w:szCs w:val="24"/>
              </w:rPr>
              <w:lastRenderedPageBreak/>
              <w:t xml:space="preserve">požiadavku, aby bol člen komisie aj štátnym zamestnancom považuje pre potreby členstva v komisii za potrebnú. Ministerstvo spravodlivosti považuje návrhom zákona nastavené požiadavky na jej členstvo v komisii za dostatočné. Požiadavka, aby bol člen komisie aj štátnym zamestnancom nepredstavuje z hľadiska rozhodovania v komisii pridanú hodnotu. </w:t>
            </w: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lastRenderedPageBreak/>
              <w:t>MPSVRSR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K Čl. III bodu 2</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Odporúčame v Čl. III bode 2 navrhovanej poznámke pod čiarou k odkazu 54a vypustiť slová „o ochrane svedka a o zmene a doplnení niektorých zákonov.“. Odôvodnenie: Legislatívno-technická pripomienka.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634ED5">
            <w:pPr>
              <w:jc w:val="center"/>
              <w:rPr>
                <w:rFonts w:ascii="Times" w:hAnsi="Times" w:cs="Times"/>
                <w:sz w:val="25"/>
                <w:szCs w:val="25"/>
              </w:rPr>
            </w:pPr>
            <w:r w:rsidRPr="00232272">
              <w:rPr>
                <w:rFonts w:ascii="Times" w:hAnsi="Times" w:cs="Times"/>
                <w:sz w:val="25"/>
                <w:szCs w:val="25"/>
              </w:rPr>
              <w:t>A</w:t>
            </w:r>
          </w:p>
        </w:tc>
        <w:tc>
          <w:tcPr>
            <w:tcW w:w="1830" w:type="pct"/>
            <w:tcBorders>
              <w:top w:val="outset" w:sz="6" w:space="0" w:color="000000"/>
              <w:left w:val="outset" w:sz="6" w:space="0" w:color="000000"/>
              <w:bottom w:val="outset" w:sz="6" w:space="0" w:color="000000"/>
              <w:right w:val="outset" w:sz="6" w:space="0" w:color="000000"/>
            </w:tcBorders>
            <w:hideMark/>
          </w:tcPr>
          <w:p w:rsidR="0015334D" w:rsidRPr="00472AEC" w:rsidRDefault="0015334D" w:rsidP="00472AEC">
            <w:pPr>
              <w:pStyle w:val="Bezriadkovania"/>
              <w:jc w:val="both"/>
              <w:rPr>
                <w:rFonts w:ascii="Times New Roman" w:hAnsi="Times New Roman" w:cs="Times New Roman"/>
                <w:sz w:val="24"/>
                <w:szCs w:val="24"/>
              </w:rPr>
            </w:pP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MPSVRSR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K analýze sociálnych vplyvov a Čl. I § 10 ods. 1</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 xml:space="preserve">V bode 4.2 analýzy sociálnych vplyvov je uvedené, že sa navrhuje „Opatrenie v podobe zabezpečenia nevyhnutnej, cenovo dostupnej a kvalitnej preventívnej a liečebnej zdravotnej, sociálnej starostlivosti, ako aj pomoc pri úhrade výdavkov súvisiacich so zdravotným postihnutím.“, avšak navrhované ustanovenie Čl. I § 10 ods. 1 znie: „Útvar je oprávnený chránenému svedkovi zabezpečovať duševnú, sociálnu, právno-poradenskú, rekvalifikačnú podporu a podporu vo vzdelávaní s cieľom uľahčiť jeho začlenenie do spoločnosti.“, pričom zabezpečovanie zdravotnej starostlivosti v tomto ustanovení uvedené nie je. Odporúčame preto zvážiť, či nie je potrebné zosúladiť citované konštatovanie uvedené v analýze sociálnych vplyvov s uvedeným návrhom príslušnej právnej úpravy. Odôvodnenie: Zváženie potreby zosúladenia predmetného hodnotenia sociálnych vplyvov s navrhovanou príslušnou právnou úpravou. Aktuálne účinný zákon č. 256/1998 Z. z. o ochrane svedka a o zmene a doplnení niektorých zákonov v znení neskorších predpisov vo svojom ustanovení § 7 ods. </w:t>
            </w:r>
            <w:r w:rsidRPr="001A7227">
              <w:rPr>
                <w:rFonts w:ascii="Times New Roman" w:hAnsi="Times New Roman" w:cs="Times New Roman"/>
                <w:sz w:val="24"/>
                <w:szCs w:val="24"/>
              </w:rPr>
              <w:lastRenderedPageBreak/>
              <w:t>8 upravuje oblasti, ktorých sa môžu týkať konkrétne opatrenia na ochranu chráneného svedka demonštratívnym spôsobom; vzhľadom na uvedené odporúčame zvážiť vymenovanie týchto oblastí demonštratívnym spôsobom aj v navrhovanom Čl. I § 10 ods. 1 predloženého návrhu zákona.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lastRenderedPageBreak/>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84543C">
            <w:pPr>
              <w:jc w:val="center"/>
              <w:rPr>
                <w:rFonts w:ascii="Times" w:hAnsi="Times" w:cs="Times"/>
                <w:sz w:val="25"/>
                <w:szCs w:val="25"/>
              </w:rPr>
            </w:pPr>
            <w:r w:rsidRPr="00232272">
              <w:rPr>
                <w:rFonts w:ascii="Times" w:hAnsi="Times" w:cs="Times"/>
                <w:sz w:val="25"/>
                <w:szCs w:val="25"/>
              </w:rPr>
              <w:t>A</w:t>
            </w:r>
          </w:p>
        </w:tc>
        <w:tc>
          <w:tcPr>
            <w:tcW w:w="1830" w:type="pct"/>
            <w:tcBorders>
              <w:top w:val="outset" w:sz="6" w:space="0" w:color="000000"/>
              <w:left w:val="outset" w:sz="6" w:space="0" w:color="000000"/>
              <w:bottom w:val="outset" w:sz="6" w:space="0" w:color="000000"/>
              <w:right w:val="outset" w:sz="6" w:space="0" w:color="000000"/>
            </w:tcBorders>
            <w:hideMark/>
          </w:tcPr>
          <w:p w:rsidR="0015334D" w:rsidRPr="00472AEC" w:rsidRDefault="000F461E" w:rsidP="00472AEC">
            <w:pPr>
              <w:pStyle w:val="Bezriadkovania"/>
              <w:jc w:val="both"/>
              <w:rPr>
                <w:rFonts w:ascii="Times New Roman" w:hAnsi="Times New Roman" w:cs="Times New Roman"/>
                <w:sz w:val="24"/>
                <w:szCs w:val="24"/>
              </w:rPr>
            </w:pPr>
            <w:r w:rsidRPr="00232272">
              <w:rPr>
                <w:rFonts w:ascii="Times New Roman" w:hAnsi="Times New Roman" w:cs="Times New Roman"/>
                <w:sz w:val="24"/>
                <w:szCs w:val="24"/>
              </w:rPr>
              <w:t>Demonštratívn</w:t>
            </w:r>
            <w:r w:rsidR="00232272" w:rsidRPr="00232272">
              <w:rPr>
                <w:rFonts w:ascii="Times New Roman" w:hAnsi="Times New Roman" w:cs="Times New Roman"/>
                <w:sz w:val="24"/>
                <w:szCs w:val="24"/>
              </w:rPr>
              <w:t>y</w:t>
            </w:r>
            <w:r w:rsidRPr="00232272">
              <w:rPr>
                <w:rFonts w:ascii="Times New Roman" w:hAnsi="Times New Roman" w:cs="Times New Roman"/>
                <w:sz w:val="24"/>
                <w:szCs w:val="24"/>
              </w:rPr>
              <w:t xml:space="preserve"> výpočet oprávnení útvaru sa uviedol s použitím slova „najmä“.</w:t>
            </w: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MŠVVaMSR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Čl. I § 4 ods. 8</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Odporúčame prehodnotiť dĺžku lehoty, v ktorej komisia rozhodne o návrhu na začatie programu ochrany. Odôvodnenie: Vzhľadom na povahu uvedenej ochrany, považujeme lehotu 60 dní od podania návrhu na začatie programu ochrany za príliš dlhú, čo môže spôsobiť ohrozenie svedka.</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634ED5">
            <w:pPr>
              <w:jc w:val="center"/>
              <w:rPr>
                <w:rFonts w:ascii="Times" w:hAnsi="Times" w:cs="Times"/>
                <w:sz w:val="25"/>
                <w:szCs w:val="25"/>
              </w:rPr>
            </w:pPr>
            <w:r w:rsidRPr="00232272">
              <w:rPr>
                <w:rFonts w:ascii="Times" w:hAnsi="Times" w:cs="Times"/>
                <w:sz w:val="25"/>
                <w:szCs w:val="25"/>
              </w:rPr>
              <w:t>N</w:t>
            </w:r>
          </w:p>
        </w:tc>
        <w:tc>
          <w:tcPr>
            <w:tcW w:w="1830" w:type="pct"/>
            <w:tcBorders>
              <w:top w:val="outset" w:sz="6" w:space="0" w:color="000000"/>
              <w:left w:val="outset" w:sz="6" w:space="0" w:color="000000"/>
              <w:bottom w:val="outset" w:sz="6" w:space="0" w:color="000000"/>
              <w:right w:val="outset" w:sz="6" w:space="0" w:color="000000"/>
            </w:tcBorders>
            <w:hideMark/>
          </w:tcPr>
          <w:p w:rsidR="0015334D" w:rsidRDefault="00634ED5" w:rsidP="00E22AA1">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Lehota 60 dní je stanovená na základe dlhoročnej praxe ochrany svedka a je vyhodnotená ako optimálna. Lehota je poriadková </w:t>
            </w:r>
            <w:r w:rsidR="00E22AA1">
              <w:rPr>
                <w:rFonts w:ascii="Times New Roman" w:hAnsi="Times New Roman" w:cs="Times New Roman"/>
                <w:sz w:val="24"/>
                <w:szCs w:val="24"/>
              </w:rPr>
              <w:t>a má procesný význam pre komisiu, aby konala v optimálne stanovenej lehote. V</w:t>
            </w:r>
            <w:r>
              <w:rPr>
                <w:rFonts w:ascii="Times New Roman" w:hAnsi="Times New Roman" w:cs="Times New Roman"/>
                <w:sz w:val="24"/>
                <w:szCs w:val="24"/>
              </w:rPr>
              <w:t> záujme ochrany svedka sa koná v čo najkratšom čase, takže dochádza aj ku skráteniu lehoty</w:t>
            </w:r>
            <w:r w:rsidR="00E22AA1">
              <w:rPr>
                <w:rFonts w:ascii="Times New Roman" w:hAnsi="Times New Roman" w:cs="Times New Roman"/>
                <w:sz w:val="24"/>
                <w:szCs w:val="24"/>
              </w:rPr>
              <w:t xml:space="preserve">, ale prekročenie lehoty nemá žiaden nepriaznivý procesný následok pre svedka. </w:t>
            </w:r>
          </w:p>
          <w:p w:rsidR="00E22AA1" w:rsidRPr="00472AEC" w:rsidRDefault="00641599" w:rsidP="00EB2124">
            <w:pPr>
              <w:pStyle w:val="Bezriadkovania"/>
              <w:jc w:val="both"/>
              <w:rPr>
                <w:rFonts w:ascii="Times New Roman" w:hAnsi="Times New Roman" w:cs="Times New Roman"/>
                <w:sz w:val="24"/>
                <w:szCs w:val="24"/>
              </w:rPr>
            </w:pPr>
            <w:r>
              <w:rPr>
                <w:rFonts w:ascii="Times New Roman" w:hAnsi="Times New Roman" w:cs="Times New Roman"/>
                <w:sz w:val="24"/>
                <w:szCs w:val="24"/>
              </w:rPr>
              <w:t>K ohrozeniu svedka</w:t>
            </w:r>
            <w:r w:rsidR="00EB2124">
              <w:rPr>
                <w:rFonts w:ascii="Times New Roman" w:hAnsi="Times New Roman" w:cs="Times New Roman"/>
                <w:sz w:val="24"/>
                <w:szCs w:val="24"/>
              </w:rPr>
              <w:t xml:space="preserve"> počas rozhodovania komisie </w:t>
            </w:r>
            <w:r>
              <w:rPr>
                <w:rFonts w:ascii="Times New Roman" w:hAnsi="Times New Roman" w:cs="Times New Roman"/>
                <w:sz w:val="24"/>
                <w:szCs w:val="24"/>
              </w:rPr>
              <w:t>o začatí programu ochrany</w:t>
            </w:r>
            <w:r w:rsidR="00EB2124">
              <w:rPr>
                <w:rFonts w:ascii="Times New Roman" w:hAnsi="Times New Roman" w:cs="Times New Roman"/>
                <w:sz w:val="24"/>
                <w:szCs w:val="24"/>
              </w:rPr>
              <w:t xml:space="preserve"> nedochádza, pretože svedok</w:t>
            </w:r>
            <w:r>
              <w:rPr>
                <w:rFonts w:ascii="Times New Roman" w:hAnsi="Times New Roman" w:cs="Times New Roman"/>
                <w:sz w:val="24"/>
                <w:szCs w:val="24"/>
              </w:rPr>
              <w:t xml:space="preserve"> </w:t>
            </w:r>
            <w:r w:rsidR="00E22AA1">
              <w:rPr>
                <w:rFonts w:ascii="Times New Roman" w:hAnsi="Times New Roman" w:cs="Times New Roman"/>
                <w:sz w:val="24"/>
                <w:szCs w:val="24"/>
              </w:rPr>
              <w:t xml:space="preserve"> je chránen</w:t>
            </w:r>
            <w:r>
              <w:rPr>
                <w:rFonts w:ascii="Times New Roman" w:hAnsi="Times New Roman" w:cs="Times New Roman"/>
                <w:sz w:val="24"/>
                <w:szCs w:val="24"/>
              </w:rPr>
              <w:t>ý aj počas</w:t>
            </w:r>
            <w:r w:rsidR="00EB2124">
              <w:rPr>
                <w:rFonts w:ascii="Times New Roman" w:hAnsi="Times New Roman" w:cs="Times New Roman"/>
                <w:sz w:val="24"/>
                <w:szCs w:val="24"/>
              </w:rPr>
              <w:t xml:space="preserve"> tohto</w:t>
            </w:r>
            <w:r>
              <w:rPr>
                <w:rFonts w:ascii="Times New Roman" w:hAnsi="Times New Roman" w:cs="Times New Roman"/>
                <w:sz w:val="24"/>
                <w:szCs w:val="24"/>
              </w:rPr>
              <w:t xml:space="preserve"> rozhodovania a to predbežným vykonávaním programu ochrany (§ 5 návrhu zákona)</w:t>
            </w:r>
            <w:r w:rsidR="00EB2124">
              <w:rPr>
                <w:rFonts w:ascii="Times New Roman" w:hAnsi="Times New Roman" w:cs="Times New Roman"/>
                <w:sz w:val="24"/>
                <w:szCs w:val="24"/>
              </w:rPr>
              <w:t>.</w:t>
            </w:r>
            <w:r>
              <w:rPr>
                <w:rFonts w:ascii="Times New Roman" w:hAnsi="Times New Roman" w:cs="Times New Roman"/>
                <w:sz w:val="24"/>
                <w:szCs w:val="24"/>
              </w:rPr>
              <w:t xml:space="preserve"> </w:t>
            </w: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t>MZSR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K § 19</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 xml:space="preserve">Z § 19 žiadame vypustiť slová „alebo osoba, ktorá trpí duševnou poruchou,“ vo všetkých tvaroch alebo dotknutú časť ustanovenia upraviť tak, aby podmienka duševnej poruchy bola kumulatívne naviazaná na ďalšiu podmienku, pre ktorú by bolo možné dôvodne sa domnievať, že by táto duševná porucha mohla mať vplyv na spôsobilosť osoby samostatne vykonávať úkony súvisiace s programom ochrany. Túto pripomienku považujeme za zásadnú. Odôvodnenie: Samotná skutočnosť, že osoba trpí duševnou poruchou takúto osobu ešte nezbavuje spôsobilosti na právne úkony, ani jej túto spôsobilosť neobmedzuje. Podľa § 8 ods. 1 Občianskeho zákonníka spôsobilosť na právne úkony vzniká v plnom rozsahu plnoletosťou. Dotknuté </w:t>
            </w:r>
            <w:r w:rsidRPr="001A7227">
              <w:rPr>
                <w:rFonts w:ascii="Times New Roman" w:hAnsi="Times New Roman" w:cs="Times New Roman"/>
                <w:sz w:val="24"/>
                <w:szCs w:val="24"/>
              </w:rPr>
              <w:lastRenderedPageBreak/>
              <w:t>ustanovenie upravuje základné pravidlo, teda, že každý človek, bez výnimky, dosiahnutím plnoletosti nadobúda právo vlastným konaním vstupovať do právne relevantných vzťahov a zároveň povinnosť preberať plnú právnu zodpovednosť za svoje konanie. Výnimku z tohto pravidla upravuje § 10 Občianskeho zákonníka, ktorý formuluje hmotnoprávne predpoklady na to, aby príslušný subjekt, mohol posúdiť a rozhodnúť, či existujú také okolnosti, pre ktoré osoba nemôže určitým svojim konaním brať na seba niektoré práva a povinnosti. Duševná porucha je však iba jedným z predpokladov na to, aby súd mohol rozhodnúť, či osobe obmedzí rozsah jej spôsobilosti na právne úkony. Až ak súd dotknutej osobe obmedzí rozsah jej spôsobilosti na právne úkony, ako zákonného zástupcu, ustanoví opatrovníka. Túto situáciu však už pokrýva tá časť ustanovenia § 19, ktorá predpokladá, že pôjde o osobu, ktorej súd rozhodnutím obmedzil spôsobilosť na právne úkony. Ak mal predkladateľ za cieľ dotknutou časťou ustanovenia reagovať na také situácie, keď je ohrozeným svedkom alebo chráneným svedkom osoba, ktorá zjavne trpí takou duševnou poruchou, ktorá by ju robila nespôsobilou náležitým spôsobom pochopiť skutočnosti a dôsledky spojené s programom ochrany, no zároveň spôsobilosť takejto osoby nebola spôsobilosť na právne úkony právoplatným rozhodnutím súdu z akýchkoľvek príčin do času výkonu programu na ochranu obmedzená, ako alternatívne riešenie žiadame dotknutú časť ustanovenia upraviť, a to napríklad tak, ako je upravená možnosť poskytovať zdravotnú starostlivosť osobe trpiacej duševnou chorobou alebo s príznakmi duševnej choroby bez toho, aby táto osoba udelila informovaný súhlas s poskytovaním zdravotnej starostlivosti v § 6 ods. 9 písm. d) zákona č. 576/2004 Z. z.</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lastRenderedPageBreak/>
              <w:t>Z</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F80B88">
            <w:pPr>
              <w:jc w:val="center"/>
              <w:rPr>
                <w:rFonts w:ascii="Times" w:hAnsi="Times" w:cs="Times"/>
                <w:sz w:val="25"/>
                <w:szCs w:val="25"/>
              </w:rPr>
            </w:pPr>
            <w:r w:rsidRPr="0030188B">
              <w:rPr>
                <w:rFonts w:ascii="Times" w:hAnsi="Times" w:cs="Times"/>
                <w:sz w:val="25"/>
                <w:szCs w:val="25"/>
              </w:rPr>
              <w:t>A</w:t>
            </w:r>
          </w:p>
        </w:tc>
        <w:tc>
          <w:tcPr>
            <w:tcW w:w="1830" w:type="pct"/>
            <w:tcBorders>
              <w:top w:val="outset" w:sz="6" w:space="0" w:color="000000"/>
              <w:left w:val="outset" w:sz="6" w:space="0" w:color="000000"/>
              <w:bottom w:val="outset" w:sz="6" w:space="0" w:color="000000"/>
              <w:right w:val="outset" w:sz="6" w:space="0" w:color="000000"/>
            </w:tcBorders>
            <w:hideMark/>
          </w:tcPr>
          <w:p w:rsidR="00F80B88" w:rsidRPr="00472AEC" w:rsidRDefault="00F80B88" w:rsidP="00E43A09">
            <w:pPr>
              <w:pStyle w:val="Bezriadkovania"/>
              <w:jc w:val="both"/>
              <w:rPr>
                <w:rFonts w:ascii="Times New Roman" w:hAnsi="Times New Roman" w:cs="Times New Roman"/>
                <w:sz w:val="24"/>
                <w:szCs w:val="24"/>
              </w:rPr>
            </w:pP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lastRenderedPageBreak/>
              <w:t>OAPSVLÚVSR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K transpozičným záväzkom Slovenskej republiky:</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 xml:space="preserve">Máme za to, že predmet predkladaného návrhu zákona je upravený v práve Európskej únie, a to jednak v primárnom práve EÚ (najmä v čl. 82 ods. 2 </w:t>
            </w:r>
            <w:r w:rsidRPr="00F3633E">
              <w:rPr>
                <w:rFonts w:ascii="Times New Roman" w:hAnsi="Times New Roman" w:cs="Times New Roman"/>
                <w:sz w:val="24"/>
                <w:szCs w:val="24"/>
              </w:rPr>
              <w:t>Zmluvy o fungovaní Európskej únie) a jednak v sekundárnom práve EÚ, predovšetkým v smernici Európskeho parlam</w:t>
            </w:r>
            <w:r w:rsidRPr="001A7227">
              <w:rPr>
                <w:rFonts w:ascii="Times New Roman" w:hAnsi="Times New Roman" w:cs="Times New Roman"/>
                <w:sz w:val="24"/>
                <w:szCs w:val="24"/>
              </w:rPr>
              <w:t>entu a Rady 2012/29/EÚ z 25. októbra 2012, ktorou sa stanovujú minimálne normy v oblasti práv, podpory a ochrany obetí trestných činov a ktorou sa nahrádza rámcové rozhodnutie Rady 2001/220/SVV (Ú. v. EÚ L 315, 14/11/2012). Upozorňujeme, že Čl. I § 2 ods. 1 až 5 predkladaného návrhu zákona predstavujú transpozičné opatrenia čl. 18 smernice 2012/29/EÚ. V súlade s čl. 4 ods. 1 a 3 Legislatívnych pravidiel vlády Slovenskej republiky v platnom znení žiadame do Čl. I predkladaného návrhu zákona vložiť transpozičnú prílohu, v ktorej sa uvedie presné označenie smernice (EÚ) 2012/29/EÚ. V súlade s č</w:t>
            </w:r>
            <w:r w:rsidR="00F17993">
              <w:rPr>
                <w:rFonts w:ascii="Times New Roman" w:hAnsi="Times New Roman" w:cs="Times New Roman"/>
                <w:sz w:val="24"/>
                <w:szCs w:val="24"/>
              </w:rPr>
              <w:t>l</w:t>
            </w:r>
            <w:r w:rsidRPr="001A7227">
              <w:rPr>
                <w:rFonts w:ascii="Times New Roman" w:hAnsi="Times New Roman" w:cs="Times New Roman"/>
                <w:sz w:val="24"/>
                <w:szCs w:val="24"/>
              </w:rPr>
              <w:t>. 4 ods. 2 v spojení s čl. 8 ods. 11 Legislatívnych pravidiel vlády Slovenskej republiky v platnom znení žiadame v záverečných ustanoveniach návrhu zákona uviesť v samostatnom paragrafe odkaz na transpozičnú prílohu. V súlade s čl. 3 ods. 3 Legislatívnych pravidiel vlády v platnom znení žiadame do ďalšieho legislatívneho procesu predložiť čiastkovú tabuľku zhody, v ktorej bude preukázaná úplná transpozícia čl. 18 smernice 2012/29/EÚ do slovenského právneho poriadku.</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F80B88">
            <w:pPr>
              <w:jc w:val="center"/>
              <w:rPr>
                <w:rFonts w:ascii="Times" w:hAnsi="Times" w:cs="Times"/>
                <w:sz w:val="25"/>
                <w:szCs w:val="25"/>
              </w:rPr>
            </w:pPr>
            <w:r w:rsidRPr="00232272">
              <w:rPr>
                <w:rFonts w:ascii="Times" w:hAnsi="Times" w:cs="Times"/>
                <w:sz w:val="25"/>
                <w:szCs w:val="25"/>
              </w:rPr>
              <w:t>ČA</w:t>
            </w:r>
          </w:p>
        </w:tc>
        <w:tc>
          <w:tcPr>
            <w:tcW w:w="1830" w:type="pct"/>
            <w:tcBorders>
              <w:top w:val="outset" w:sz="6" w:space="0" w:color="000000"/>
              <w:left w:val="outset" w:sz="6" w:space="0" w:color="000000"/>
              <w:bottom w:val="outset" w:sz="6" w:space="0" w:color="000000"/>
              <w:right w:val="outset" w:sz="6" w:space="0" w:color="000000"/>
            </w:tcBorders>
            <w:hideMark/>
          </w:tcPr>
          <w:p w:rsidR="00F80B88" w:rsidRPr="000F461E" w:rsidRDefault="00F80B88" w:rsidP="00F80B88">
            <w:pPr>
              <w:spacing w:after="120"/>
              <w:jc w:val="both"/>
            </w:pPr>
            <w:r w:rsidRPr="000F461E">
              <w:t xml:space="preserve">Do doložky zlučiteľnosti bolo na základe vznesenej pripomienky doplnené znenie, že </w:t>
            </w:r>
            <w:r w:rsidRPr="000F461E">
              <w:rPr>
                <w:rStyle w:val="markedcontent"/>
              </w:rPr>
              <w:t>predmet návrhu zákona</w:t>
            </w:r>
            <w:r w:rsidRPr="000F461E">
              <w:t xml:space="preserve"> </w:t>
            </w:r>
            <w:r w:rsidRPr="000F461E">
              <w:rPr>
                <w:rStyle w:val="markedcontent"/>
              </w:rPr>
              <w:t>je upravený v čl. 82 ods. 2 písm. b) Zmluvy o fungovaní Európskej únie.</w:t>
            </w:r>
          </w:p>
          <w:p w:rsidR="0015334D" w:rsidRPr="000F461E" w:rsidRDefault="00F3633E" w:rsidP="00F3633E">
            <w:pPr>
              <w:pStyle w:val="Bezriadkovania"/>
              <w:jc w:val="both"/>
              <w:rPr>
                <w:rFonts w:ascii="Times New Roman" w:hAnsi="Times New Roman" w:cs="Times New Roman"/>
                <w:sz w:val="24"/>
                <w:szCs w:val="24"/>
              </w:rPr>
            </w:pPr>
            <w:r w:rsidRPr="000F461E">
              <w:rPr>
                <w:rFonts w:ascii="Times New Roman" w:hAnsi="Times New Roman" w:cs="Times New Roman"/>
                <w:sz w:val="24"/>
                <w:szCs w:val="24"/>
              </w:rPr>
              <w:t xml:space="preserve">Ministerstvo vnútra SR má za to, že sa smernica Európskeho parlamentu a Rady 2012/29/EÚ z 25. októbra 2012, ktorou sa stanovujú minimálne normy v oblasti práv, podpory a ochrany obetí trestných činov a ktorou sa nahrádza rámcové rozhodnutie Rady 2001/220/SVV (Ú. v. EÚ L 315, 14/11/2012) </w:t>
            </w:r>
            <w:r w:rsidR="00BD0F5D" w:rsidRPr="000F461E">
              <w:rPr>
                <w:rFonts w:ascii="Times New Roman" w:hAnsi="Times New Roman" w:cs="Times New Roman"/>
                <w:sz w:val="24"/>
                <w:szCs w:val="24"/>
              </w:rPr>
              <w:t xml:space="preserve"> a čl. 18 citovanej smernice </w:t>
            </w:r>
            <w:r w:rsidRPr="000F461E">
              <w:rPr>
                <w:rFonts w:ascii="Times New Roman" w:hAnsi="Times New Roman" w:cs="Times New Roman"/>
                <w:sz w:val="24"/>
                <w:szCs w:val="24"/>
              </w:rPr>
              <w:t>na návrh zákona nevzťahuje.</w:t>
            </w:r>
          </w:p>
          <w:p w:rsidR="00743C5B" w:rsidRPr="000F461E" w:rsidRDefault="00BD0F5D" w:rsidP="001E301A">
            <w:pPr>
              <w:pStyle w:val="Bezriadkovania"/>
              <w:jc w:val="both"/>
              <w:rPr>
                <w:rFonts w:ascii="Times New Roman" w:hAnsi="Times New Roman" w:cs="Times New Roman"/>
                <w:sz w:val="24"/>
                <w:szCs w:val="24"/>
              </w:rPr>
            </w:pPr>
            <w:r w:rsidRPr="000F461E">
              <w:rPr>
                <w:rFonts w:ascii="Times New Roman" w:hAnsi="Times New Roman" w:cs="Times New Roman"/>
                <w:sz w:val="24"/>
                <w:szCs w:val="24"/>
              </w:rPr>
              <w:t>Citovaná smernica je zameraná na obete trestných činov</w:t>
            </w:r>
            <w:r w:rsidR="00743C5B" w:rsidRPr="000F461E">
              <w:rPr>
                <w:rFonts w:ascii="Times New Roman" w:hAnsi="Times New Roman" w:cs="Times New Roman"/>
                <w:sz w:val="24"/>
                <w:szCs w:val="24"/>
              </w:rPr>
              <w:t>,</w:t>
            </w:r>
            <w:r w:rsidR="001E301A" w:rsidRPr="000F461E">
              <w:rPr>
                <w:rFonts w:ascii="Times New Roman" w:hAnsi="Times New Roman" w:cs="Times New Roman"/>
                <w:sz w:val="24"/>
                <w:szCs w:val="24"/>
              </w:rPr>
              <w:t xml:space="preserve"> na ich práva,</w:t>
            </w:r>
            <w:r w:rsidRPr="000F461E">
              <w:rPr>
                <w:rFonts w:ascii="Times New Roman" w:hAnsi="Times New Roman" w:cs="Times New Roman"/>
                <w:sz w:val="24"/>
                <w:szCs w:val="24"/>
              </w:rPr>
              <w:t xml:space="preserve"> podporu a ochranu. Návrh zákona nie je primárne zameraný na obete trestných činov, ale na sved</w:t>
            </w:r>
            <w:r w:rsidR="001E301A" w:rsidRPr="000F461E">
              <w:rPr>
                <w:rFonts w:ascii="Times New Roman" w:hAnsi="Times New Roman" w:cs="Times New Roman"/>
                <w:sz w:val="24"/>
                <w:szCs w:val="24"/>
              </w:rPr>
              <w:t>kov</w:t>
            </w:r>
            <w:r w:rsidR="00783FD4" w:rsidRPr="000F461E">
              <w:rPr>
                <w:rFonts w:ascii="Times New Roman" w:hAnsi="Times New Roman" w:cs="Times New Roman"/>
                <w:sz w:val="24"/>
                <w:szCs w:val="24"/>
              </w:rPr>
              <w:t xml:space="preserve"> (aj keď </w:t>
            </w:r>
            <w:r w:rsidR="00F17993" w:rsidRPr="000F461E">
              <w:rPr>
                <w:rFonts w:ascii="Times New Roman" w:hAnsi="Times New Roman" w:cs="Times New Roman"/>
                <w:sz w:val="24"/>
                <w:szCs w:val="24"/>
              </w:rPr>
              <w:t xml:space="preserve">v </w:t>
            </w:r>
            <w:r w:rsidR="00783FD4" w:rsidRPr="000F461E">
              <w:rPr>
                <w:rFonts w:ascii="Times New Roman" w:hAnsi="Times New Roman" w:cs="Times New Roman"/>
                <w:sz w:val="24"/>
                <w:szCs w:val="24"/>
              </w:rPr>
              <w:t>trestnom konaní môže poškodený vystupovať v postavení svedka</w:t>
            </w:r>
            <w:r w:rsidR="004263F2">
              <w:rPr>
                <w:rFonts w:ascii="Times New Roman" w:hAnsi="Times New Roman" w:cs="Times New Roman"/>
                <w:sz w:val="24"/>
                <w:szCs w:val="24"/>
              </w:rPr>
              <w:t xml:space="preserve">; tiež je potrebné upozorniť, že v trestnom konaní svedok nemusí mať aj postavenie poškodeného a tiež podľa § 17 návrhu zákona sa tento zákon vzťahuje aj na </w:t>
            </w:r>
            <w:r w:rsidR="001B795B">
              <w:rPr>
                <w:rFonts w:ascii="Times New Roman" w:hAnsi="Times New Roman" w:cs="Times New Roman"/>
                <w:sz w:val="24"/>
                <w:szCs w:val="24"/>
              </w:rPr>
              <w:t xml:space="preserve">podozrivého, </w:t>
            </w:r>
            <w:r w:rsidR="004263F2">
              <w:rPr>
                <w:rFonts w:ascii="Times New Roman" w:hAnsi="Times New Roman" w:cs="Times New Roman"/>
                <w:sz w:val="24"/>
                <w:szCs w:val="24"/>
              </w:rPr>
              <w:t xml:space="preserve">obvineného a k tomu je potrebné pozrieť § </w:t>
            </w:r>
            <w:r w:rsidR="001B795B">
              <w:rPr>
                <w:rFonts w:ascii="Times New Roman" w:hAnsi="Times New Roman" w:cs="Times New Roman"/>
                <w:sz w:val="24"/>
                <w:szCs w:val="24"/>
              </w:rPr>
              <w:t>47 TP</w:t>
            </w:r>
            <w:r w:rsidR="00783FD4" w:rsidRPr="000F461E">
              <w:rPr>
                <w:rFonts w:ascii="Times New Roman" w:hAnsi="Times New Roman" w:cs="Times New Roman"/>
                <w:sz w:val="24"/>
                <w:szCs w:val="24"/>
              </w:rPr>
              <w:t>)</w:t>
            </w:r>
            <w:r w:rsidR="001E301A" w:rsidRPr="000F461E">
              <w:rPr>
                <w:rFonts w:ascii="Times New Roman" w:hAnsi="Times New Roman" w:cs="Times New Roman"/>
                <w:sz w:val="24"/>
                <w:szCs w:val="24"/>
              </w:rPr>
              <w:t xml:space="preserve">. Návrh zákona je zameraný </w:t>
            </w:r>
            <w:r w:rsidRPr="000F461E">
              <w:rPr>
                <w:rFonts w:ascii="Times New Roman" w:hAnsi="Times New Roman" w:cs="Times New Roman"/>
                <w:sz w:val="24"/>
                <w:szCs w:val="24"/>
              </w:rPr>
              <w:t xml:space="preserve">len na istú množinu svedkov, </w:t>
            </w:r>
            <w:r w:rsidR="001E301A" w:rsidRPr="000F461E">
              <w:rPr>
                <w:rFonts w:ascii="Times New Roman" w:hAnsi="Times New Roman" w:cs="Times New Roman"/>
                <w:sz w:val="24"/>
                <w:szCs w:val="24"/>
              </w:rPr>
              <w:t xml:space="preserve">a to </w:t>
            </w:r>
            <w:r w:rsidR="000F461E" w:rsidRPr="000F461E">
              <w:rPr>
                <w:rFonts w:ascii="Times New Roman" w:hAnsi="Times New Roman" w:cs="Times New Roman"/>
                <w:sz w:val="24"/>
                <w:szCs w:val="24"/>
              </w:rPr>
              <w:t>svedkov, ktorí</w:t>
            </w:r>
            <w:r w:rsidR="00743C5B" w:rsidRPr="000F461E">
              <w:rPr>
                <w:rFonts w:ascii="Times New Roman" w:hAnsi="Times New Roman" w:cs="Times New Roman"/>
                <w:sz w:val="24"/>
                <w:szCs w:val="24"/>
              </w:rPr>
              <w:t xml:space="preserve"> o </w:t>
            </w:r>
            <w:r w:rsidR="001E301A" w:rsidRPr="000F461E">
              <w:rPr>
                <w:rFonts w:ascii="Times New Roman" w:hAnsi="Times New Roman" w:cs="Times New Roman"/>
                <w:sz w:val="24"/>
                <w:szCs w:val="24"/>
              </w:rPr>
              <w:t> návrhom zákona vymedzených najzávažnejších</w:t>
            </w:r>
            <w:r w:rsidRPr="000F461E">
              <w:rPr>
                <w:rFonts w:ascii="Times New Roman" w:hAnsi="Times New Roman" w:cs="Times New Roman"/>
                <w:sz w:val="24"/>
                <w:szCs w:val="24"/>
              </w:rPr>
              <w:t xml:space="preserve"> trestných čino</w:t>
            </w:r>
            <w:r w:rsidR="00743C5B" w:rsidRPr="000F461E">
              <w:rPr>
                <w:rFonts w:ascii="Times New Roman" w:hAnsi="Times New Roman" w:cs="Times New Roman"/>
                <w:sz w:val="24"/>
                <w:szCs w:val="24"/>
              </w:rPr>
              <w:t>ch</w:t>
            </w:r>
            <w:r w:rsidR="001E301A" w:rsidRPr="000F461E">
              <w:rPr>
                <w:rFonts w:ascii="Times New Roman" w:hAnsi="Times New Roman" w:cs="Times New Roman"/>
                <w:sz w:val="24"/>
                <w:szCs w:val="24"/>
              </w:rPr>
              <w:t xml:space="preserve"> podali takú svedeckú výpoveď, či poskytli taký dôkaz, na základe čoho </w:t>
            </w:r>
            <w:r w:rsidR="00783FD4" w:rsidRPr="000F461E">
              <w:rPr>
                <w:rFonts w:ascii="Times New Roman" w:hAnsi="Times New Roman" w:cs="Times New Roman"/>
                <w:sz w:val="24"/>
                <w:szCs w:val="24"/>
              </w:rPr>
              <w:t>u nich</w:t>
            </w:r>
            <w:r w:rsidRPr="000F461E">
              <w:rPr>
                <w:rFonts w:ascii="Times New Roman" w:hAnsi="Times New Roman" w:cs="Times New Roman"/>
                <w:sz w:val="24"/>
                <w:szCs w:val="24"/>
              </w:rPr>
              <w:t xml:space="preserve"> </w:t>
            </w:r>
            <w:r w:rsidR="001E301A" w:rsidRPr="000F461E">
              <w:rPr>
                <w:rFonts w:ascii="Times New Roman" w:hAnsi="Times New Roman" w:cs="Times New Roman"/>
                <w:sz w:val="24"/>
                <w:szCs w:val="24"/>
              </w:rPr>
              <w:t>vzniká</w:t>
            </w:r>
            <w:r w:rsidRPr="000F461E">
              <w:rPr>
                <w:rFonts w:ascii="Times New Roman" w:hAnsi="Times New Roman" w:cs="Times New Roman"/>
                <w:sz w:val="24"/>
                <w:szCs w:val="24"/>
              </w:rPr>
              <w:t xml:space="preserve"> </w:t>
            </w:r>
            <w:r w:rsidR="001E301A" w:rsidRPr="000F461E">
              <w:rPr>
                <w:rFonts w:ascii="Times New Roman" w:hAnsi="Times New Roman" w:cs="Times New Roman"/>
                <w:sz w:val="24"/>
                <w:szCs w:val="24"/>
              </w:rPr>
              <w:t>dôvodná obava ohrozenia ich</w:t>
            </w:r>
            <w:r w:rsidR="00743C5B" w:rsidRPr="000F461E">
              <w:rPr>
                <w:rFonts w:ascii="Times New Roman" w:hAnsi="Times New Roman" w:cs="Times New Roman"/>
                <w:sz w:val="24"/>
                <w:szCs w:val="24"/>
              </w:rPr>
              <w:t xml:space="preserve"> života alebo</w:t>
            </w:r>
            <w:r w:rsidRPr="000F461E">
              <w:rPr>
                <w:rFonts w:ascii="Times New Roman" w:hAnsi="Times New Roman" w:cs="Times New Roman"/>
                <w:sz w:val="24"/>
                <w:szCs w:val="24"/>
              </w:rPr>
              <w:t xml:space="preserve"> zdravia.</w:t>
            </w:r>
            <w:r w:rsidR="002C3EED" w:rsidRPr="000F461E">
              <w:rPr>
                <w:rFonts w:ascii="Times New Roman" w:hAnsi="Times New Roman" w:cs="Times New Roman"/>
                <w:sz w:val="24"/>
                <w:szCs w:val="24"/>
              </w:rPr>
              <w:t xml:space="preserve"> Návrh ustanovuje, že ani pri splnení týchto podmienok svedok nemá na zaradenie do programu ochrany právny nárok, ale je na posúdení vyšetrovateľa,  prokurátora, samosudcu či predsedu senátu  (podľa aktuálneho štádia trestného konania) či podá návrh </w:t>
            </w:r>
            <w:r w:rsidR="002C3EED" w:rsidRPr="000F461E">
              <w:rPr>
                <w:rFonts w:ascii="Times New Roman" w:hAnsi="Times New Roman" w:cs="Times New Roman"/>
                <w:sz w:val="24"/>
                <w:szCs w:val="24"/>
              </w:rPr>
              <w:lastRenderedPageBreak/>
              <w:t>na začatie vykonávania programu ochrany. O tomto návrhu musí rozhodnúť komisia. Jedným z náležitostí návrhu je aj význam svedeckej výpovede či poskytnutého dôkazu pre trestné konanie.</w:t>
            </w:r>
            <w:r w:rsidR="001E301A" w:rsidRPr="000F461E">
              <w:rPr>
                <w:rFonts w:ascii="Times New Roman" w:hAnsi="Times New Roman" w:cs="Times New Roman"/>
                <w:sz w:val="24"/>
                <w:szCs w:val="24"/>
              </w:rPr>
              <w:t xml:space="preserve"> So zaradením </w:t>
            </w:r>
            <w:r w:rsidR="00A17101" w:rsidRPr="000F461E">
              <w:rPr>
                <w:rFonts w:ascii="Times New Roman" w:hAnsi="Times New Roman" w:cs="Times New Roman"/>
                <w:sz w:val="24"/>
                <w:szCs w:val="24"/>
              </w:rPr>
              <w:t xml:space="preserve">do programu ochrany </w:t>
            </w:r>
            <w:r w:rsidR="001E301A" w:rsidRPr="000F461E">
              <w:rPr>
                <w:rFonts w:ascii="Times New Roman" w:hAnsi="Times New Roman" w:cs="Times New Roman"/>
                <w:sz w:val="24"/>
                <w:szCs w:val="24"/>
              </w:rPr>
              <w:t xml:space="preserve">však svedok musí súhlasiť, pretože </w:t>
            </w:r>
            <w:r w:rsidR="00743C5B" w:rsidRPr="000F461E">
              <w:rPr>
                <w:rFonts w:ascii="Times New Roman" w:hAnsi="Times New Roman" w:cs="Times New Roman"/>
                <w:sz w:val="24"/>
                <w:szCs w:val="24"/>
              </w:rPr>
              <w:t xml:space="preserve">vykonávanie programu ochrany </w:t>
            </w:r>
            <w:r w:rsidR="001E301A" w:rsidRPr="000F461E">
              <w:rPr>
                <w:rFonts w:ascii="Times New Roman" w:hAnsi="Times New Roman" w:cs="Times New Roman"/>
                <w:sz w:val="24"/>
                <w:szCs w:val="24"/>
              </w:rPr>
              <w:t xml:space="preserve">znamená výrazný zásah </w:t>
            </w:r>
            <w:r w:rsidR="00743C5B" w:rsidRPr="000F461E">
              <w:rPr>
                <w:rFonts w:ascii="Times New Roman" w:hAnsi="Times New Roman" w:cs="Times New Roman"/>
                <w:sz w:val="24"/>
                <w:szCs w:val="24"/>
              </w:rPr>
              <w:t xml:space="preserve">do </w:t>
            </w:r>
            <w:r w:rsidR="001E301A" w:rsidRPr="000F461E">
              <w:rPr>
                <w:rFonts w:ascii="Times New Roman" w:hAnsi="Times New Roman" w:cs="Times New Roman"/>
                <w:sz w:val="24"/>
                <w:szCs w:val="24"/>
              </w:rPr>
              <w:t xml:space="preserve">spôsobu </w:t>
            </w:r>
            <w:r w:rsidR="0054314C" w:rsidRPr="000F461E">
              <w:rPr>
                <w:rFonts w:ascii="Times New Roman" w:hAnsi="Times New Roman" w:cs="Times New Roman"/>
                <w:sz w:val="24"/>
                <w:szCs w:val="24"/>
              </w:rPr>
              <w:t xml:space="preserve">jeho </w:t>
            </w:r>
            <w:r w:rsidR="001E301A" w:rsidRPr="000F461E">
              <w:rPr>
                <w:rFonts w:ascii="Times New Roman" w:hAnsi="Times New Roman" w:cs="Times New Roman"/>
                <w:sz w:val="24"/>
                <w:szCs w:val="24"/>
              </w:rPr>
              <w:t>života</w:t>
            </w:r>
            <w:r w:rsidR="00D52934" w:rsidRPr="000F461E">
              <w:rPr>
                <w:rFonts w:ascii="Times New Roman" w:hAnsi="Times New Roman" w:cs="Times New Roman"/>
                <w:sz w:val="24"/>
                <w:szCs w:val="24"/>
              </w:rPr>
              <w:t xml:space="preserve">. </w:t>
            </w:r>
            <w:r w:rsidR="00A17101" w:rsidRPr="000F461E">
              <w:rPr>
                <w:rFonts w:ascii="Times New Roman" w:hAnsi="Times New Roman" w:cs="Times New Roman"/>
                <w:sz w:val="24"/>
                <w:szCs w:val="24"/>
              </w:rPr>
              <w:t>Program ochrany nie je primárne zameraný na ochranu obetí trestných činov, ale na záujem štátu na objasnení najzávažnejších foriem trestnej činnosti a v záujme toho sa u kľúčových svedkov pri ohrození ich života a zdravia posudzuje, či sa zaradia do programu ochrany.</w:t>
            </w:r>
            <w:r w:rsidR="00F17993" w:rsidRPr="000F461E">
              <w:rPr>
                <w:rFonts w:ascii="Times New Roman" w:hAnsi="Times New Roman" w:cs="Times New Roman"/>
                <w:sz w:val="24"/>
                <w:szCs w:val="24"/>
              </w:rPr>
              <w:t xml:space="preserve"> Na </w:t>
            </w:r>
            <w:r w:rsidR="00A17101" w:rsidRPr="000F461E">
              <w:rPr>
                <w:rFonts w:ascii="Times New Roman" w:hAnsi="Times New Roman" w:cs="Times New Roman"/>
                <w:sz w:val="24"/>
                <w:szCs w:val="24"/>
              </w:rPr>
              <w:t>základe uvedeného nie je možné považovať za dostatočné prebratie smernice 2012/29/EÚ, ktorá sa týka ochrany obetí, ak sa zákonom, ktorým sa upravuje ochrana svedkov odkazuje</w:t>
            </w:r>
            <w:r w:rsidR="0006095A" w:rsidRPr="000F461E">
              <w:rPr>
                <w:rFonts w:ascii="Times New Roman" w:hAnsi="Times New Roman" w:cs="Times New Roman"/>
                <w:sz w:val="24"/>
                <w:szCs w:val="24"/>
              </w:rPr>
              <w:t xml:space="preserve"> na </w:t>
            </w:r>
            <w:r w:rsidR="00A17101" w:rsidRPr="000F461E">
              <w:rPr>
                <w:rFonts w:ascii="Times New Roman" w:hAnsi="Times New Roman" w:cs="Times New Roman"/>
                <w:sz w:val="24"/>
                <w:szCs w:val="24"/>
              </w:rPr>
              <w:t xml:space="preserve">jediný článok smernice, </w:t>
            </w:r>
            <w:r w:rsidR="0006095A" w:rsidRPr="000F461E">
              <w:rPr>
                <w:rFonts w:ascii="Times New Roman" w:hAnsi="Times New Roman" w:cs="Times New Roman"/>
                <w:sz w:val="24"/>
                <w:szCs w:val="24"/>
              </w:rPr>
              <w:t xml:space="preserve">ktorý je vo vzťahu k ochrane obetí značne všeobecný, </w:t>
            </w:r>
            <w:r w:rsidR="00A17101" w:rsidRPr="000F461E">
              <w:rPr>
                <w:rFonts w:ascii="Times New Roman" w:hAnsi="Times New Roman" w:cs="Times New Roman"/>
                <w:sz w:val="24"/>
                <w:szCs w:val="24"/>
              </w:rPr>
              <w:t xml:space="preserve">pričom sa inak zmysel smernice nenapĺňa. </w:t>
            </w:r>
            <w:r w:rsidR="0006095A" w:rsidRPr="000F461E">
              <w:rPr>
                <w:rFonts w:ascii="Times New Roman" w:hAnsi="Times New Roman" w:cs="Times New Roman"/>
                <w:sz w:val="24"/>
                <w:szCs w:val="24"/>
              </w:rPr>
              <w:t xml:space="preserve">Prekrývanie subjektu obete a svedka </w:t>
            </w:r>
            <w:r w:rsidR="00035FD3" w:rsidRPr="000F461E">
              <w:rPr>
                <w:rFonts w:ascii="Times New Roman" w:hAnsi="Times New Roman" w:cs="Times New Roman"/>
                <w:sz w:val="24"/>
                <w:szCs w:val="24"/>
              </w:rPr>
              <w:t>považujeme</w:t>
            </w:r>
            <w:r w:rsidR="0006095A" w:rsidRPr="000F461E">
              <w:rPr>
                <w:rFonts w:ascii="Times New Roman" w:hAnsi="Times New Roman" w:cs="Times New Roman"/>
                <w:sz w:val="24"/>
                <w:szCs w:val="24"/>
              </w:rPr>
              <w:t xml:space="preserve"> za nedostatočn</w:t>
            </w:r>
            <w:r w:rsidR="00F17993" w:rsidRPr="000F461E">
              <w:rPr>
                <w:rFonts w:ascii="Times New Roman" w:hAnsi="Times New Roman" w:cs="Times New Roman"/>
                <w:sz w:val="24"/>
                <w:szCs w:val="24"/>
              </w:rPr>
              <w:t>ý dôvod na prebratie smernice</w:t>
            </w:r>
            <w:r w:rsidR="0006095A" w:rsidRPr="000F461E">
              <w:rPr>
                <w:rFonts w:ascii="Times New Roman" w:hAnsi="Times New Roman" w:cs="Times New Roman"/>
                <w:sz w:val="24"/>
                <w:szCs w:val="24"/>
              </w:rPr>
              <w:t xml:space="preserve"> a poukazujeme na to, že návrh zákona sa vzťahuje aj na </w:t>
            </w:r>
            <w:r w:rsidR="0006095A" w:rsidRPr="000F461E">
              <w:rPr>
                <w:rFonts w:ascii="Times New Roman" w:eastAsiaTheme="minorHAnsi" w:hAnsi="Times New Roman"/>
                <w:sz w:val="24"/>
                <w:szCs w:val="24"/>
              </w:rPr>
              <w:t>podozrivého, obvineného a obžalovaného (§</w:t>
            </w:r>
            <w:r w:rsidR="00035FD3" w:rsidRPr="000F461E">
              <w:rPr>
                <w:rFonts w:ascii="Times New Roman" w:eastAsiaTheme="minorHAnsi" w:hAnsi="Times New Roman"/>
                <w:sz w:val="24"/>
                <w:szCs w:val="24"/>
              </w:rPr>
              <w:t> </w:t>
            </w:r>
            <w:r w:rsidR="0006095A" w:rsidRPr="000F461E">
              <w:rPr>
                <w:rFonts w:ascii="Times New Roman" w:eastAsiaTheme="minorHAnsi" w:hAnsi="Times New Roman"/>
                <w:sz w:val="24"/>
                <w:szCs w:val="24"/>
              </w:rPr>
              <w:t>17 návrhu), u ktorých už k prekrývaniu procesného postavenia s obeťou, resp. poškodeným nemôže dochádzať.</w:t>
            </w:r>
          </w:p>
          <w:p w:rsidR="00035FD3" w:rsidRPr="000F461E" w:rsidRDefault="00783FD4" w:rsidP="001E301A">
            <w:pPr>
              <w:pStyle w:val="Bezriadkovania"/>
              <w:jc w:val="both"/>
              <w:rPr>
                <w:rFonts w:ascii="Times New Roman" w:hAnsi="Times New Roman" w:cs="Times New Roman"/>
                <w:sz w:val="24"/>
                <w:szCs w:val="24"/>
              </w:rPr>
            </w:pPr>
            <w:r w:rsidRPr="000F461E">
              <w:rPr>
                <w:rFonts w:ascii="Times New Roman" w:hAnsi="Times New Roman" w:cs="Times New Roman"/>
                <w:sz w:val="24"/>
                <w:szCs w:val="24"/>
              </w:rPr>
              <w:t xml:space="preserve">Práva, podporu a ochranu obetí trestných činov a </w:t>
            </w:r>
            <w:r w:rsidRPr="000F461E">
              <w:rPr>
                <w:rFonts w:ascii="Times New Roman" w:hAnsi="Times New Roman" w:cs="Times New Roman"/>
                <w:sz w:val="24"/>
                <w:szCs w:val="24"/>
                <w:shd w:val="clear" w:color="auto" w:fill="FFFFFF"/>
              </w:rPr>
              <w:t>vzťahy medzi štátom a subjektmi poskytujúcimi pomoc obetiam </w:t>
            </w:r>
            <w:r w:rsidR="0006095A" w:rsidRPr="000F461E">
              <w:rPr>
                <w:rFonts w:ascii="Times New Roman" w:hAnsi="Times New Roman" w:cs="Times New Roman"/>
                <w:sz w:val="24"/>
                <w:szCs w:val="24"/>
                <w:shd w:val="clear" w:color="auto" w:fill="FFFFFF"/>
              </w:rPr>
              <w:t>dostatočne upravuje zákon č. </w:t>
            </w:r>
            <w:r w:rsidRPr="000F461E">
              <w:rPr>
                <w:rFonts w:ascii="Times New Roman" w:hAnsi="Times New Roman" w:cs="Times New Roman"/>
                <w:sz w:val="24"/>
                <w:szCs w:val="24"/>
                <w:shd w:val="clear" w:color="auto" w:fill="FFFFFF"/>
              </w:rPr>
              <w:t xml:space="preserve">274/2017 Z. z. o obetiach trestných činov a o zmene a doplnení niektorých zákonov v znení neskorších predpisov, ktorý preberá aj </w:t>
            </w:r>
            <w:r w:rsidRPr="000F461E">
              <w:rPr>
                <w:rFonts w:ascii="Times New Roman" w:hAnsi="Times New Roman" w:cs="Times New Roman"/>
                <w:sz w:val="24"/>
                <w:szCs w:val="24"/>
              </w:rPr>
              <w:t xml:space="preserve">smernicu </w:t>
            </w:r>
            <w:r w:rsidRPr="000F461E">
              <w:rPr>
                <w:rFonts w:ascii="Times New Roman" w:hAnsi="Times New Roman" w:cs="Times New Roman"/>
                <w:sz w:val="24"/>
                <w:szCs w:val="24"/>
              </w:rPr>
              <w:lastRenderedPageBreak/>
              <w:t xml:space="preserve">2012/29/EÚ. </w:t>
            </w:r>
            <w:r w:rsidR="00035FD3" w:rsidRPr="000F461E">
              <w:rPr>
                <w:rFonts w:ascii="Times New Roman" w:hAnsi="Times New Roman" w:cs="Times New Roman"/>
                <w:sz w:val="24"/>
                <w:szCs w:val="24"/>
              </w:rPr>
              <w:t xml:space="preserve">Za subjekt, ktorý poskytuje pomoc obetiam trestných činov podľa tohto zákona nie je možné považovať útvar Policajného zboru, ktorý vykonáva program ochrany. </w:t>
            </w:r>
          </w:p>
          <w:p w:rsidR="00035FD3" w:rsidRPr="000F461E" w:rsidRDefault="00035FD3" w:rsidP="001E301A">
            <w:pPr>
              <w:pStyle w:val="Bezriadkovania"/>
              <w:jc w:val="both"/>
              <w:rPr>
                <w:rFonts w:ascii="Times New Roman" w:hAnsi="Times New Roman" w:cs="Times New Roman"/>
                <w:sz w:val="24"/>
                <w:szCs w:val="24"/>
              </w:rPr>
            </w:pPr>
            <w:r w:rsidRPr="000F461E">
              <w:rPr>
                <w:rFonts w:ascii="Times New Roman" w:hAnsi="Times New Roman" w:cs="Times New Roman"/>
                <w:sz w:val="24"/>
                <w:szCs w:val="24"/>
              </w:rPr>
              <w:t>Zároveň poukazujeme na právnu úpravu Českej republiky</w:t>
            </w:r>
            <w:r w:rsidR="00FC6D85" w:rsidRPr="000F461E">
              <w:rPr>
                <w:rFonts w:ascii="Times New Roman" w:hAnsi="Times New Roman" w:cs="Times New Roman"/>
                <w:sz w:val="24"/>
                <w:szCs w:val="24"/>
              </w:rPr>
              <w:t xml:space="preserve"> - zákon</w:t>
            </w:r>
            <w:r w:rsidR="00FC6D85" w:rsidRPr="000F461E">
              <w:rPr>
                <w:rFonts w:ascii="Times New Roman" w:hAnsi="Times New Roman" w:cs="Times New Roman"/>
                <w:sz w:val="24"/>
                <w:szCs w:val="24"/>
                <w:lang w:val="cs-CZ"/>
              </w:rPr>
              <w:t xml:space="preserve"> č. 137/2001 Sb. </w:t>
            </w:r>
            <w:r w:rsidR="00FC6D85" w:rsidRPr="000F461E">
              <w:rPr>
                <w:rFonts w:ascii="Times New Roman" w:hAnsi="Times New Roman" w:cs="Times New Roman"/>
                <w:sz w:val="24"/>
                <w:szCs w:val="24"/>
                <w:shd w:val="clear" w:color="auto" w:fill="FFFFFF"/>
                <w:lang w:val="cs-CZ"/>
              </w:rPr>
              <w:t>o zvláštní</w:t>
            </w:r>
            <w:r w:rsidR="00FC6D85" w:rsidRPr="000F461E">
              <w:rPr>
                <w:rFonts w:ascii="Times New Roman" w:hAnsi="Times New Roman" w:cs="Times New Roman"/>
                <w:sz w:val="24"/>
                <w:szCs w:val="24"/>
                <w:lang w:val="cs-CZ"/>
              </w:rPr>
              <w:t xml:space="preserve"> ochraně</w:t>
            </w:r>
            <w:r w:rsidR="00FC6D85" w:rsidRPr="000F461E">
              <w:rPr>
                <w:rFonts w:ascii="Times New Roman" w:hAnsi="Times New Roman" w:cs="Times New Roman"/>
                <w:sz w:val="24"/>
                <w:szCs w:val="24"/>
                <w:shd w:val="clear" w:color="auto" w:fill="FFFFFF"/>
                <w:lang w:val="cs-CZ"/>
              </w:rPr>
              <w:t> </w:t>
            </w:r>
            <w:bookmarkStart w:id="1" w:name="lema1"/>
            <w:bookmarkEnd w:id="1"/>
            <w:r w:rsidR="00FC6D85" w:rsidRPr="000F461E">
              <w:rPr>
                <w:rFonts w:ascii="Times New Roman" w:hAnsi="Times New Roman" w:cs="Times New Roman"/>
                <w:sz w:val="24"/>
                <w:szCs w:val="24"/>
                <w:lang w:val="cs-CZ"/>
              </w:rPr>
              <w:fldChar w:fldCharType="begin"/>
            </w:r>
            <w:r w:rsidR="00FC6D85" w:rsidRPr="000F461E">
              <w:rPr>
                <w:rFonts w:ascii="Times New Roman" w:hAnsi="Times New Roman" w:cs="Times New Roman"/>
                <w:sz w:val="24"/>
                <w:szCs w:val="24"/>
                <w:lang w:val="cs-CZ"/>
              </w:rPr>
              <w:instrText xml:space="preserve"> HYPERLINK "https://www.aspi.cz/products/lawText/1/51270/1/2/zakon-c-137-2001-sb-o-zvlastni-ochrane-svedka-a-dalsich-osob-v-souvislosti-s-trestnim-rizenim-a-o-zmene-zakona-c-99-1963-sb-obcansky-soudni-rad-ve-zneni-pozdejsich-predpisu?vtextu=ochrana%20svedka" \l "lema2" </w:instrText>
            </w:r>
            <w:r w:rsidR="00FC6D85" w:rsidRPr="000F461E">
              <w:rPr>
                <w:rFonts w:ascii="Times New Roman" w:hAnsi="Times New Roman" w:cs="Times New Roman"/>
                <w:sz w:val="24"/>
                <w:szCs w:val="24"/>
                <w:lang w:val="cs-CZ"/>
              </w:rPr>
              <w:fldChar w:fldCharType="separate"/>
            </w:r>
            <w:r w:rsidR="00FC6D85" w:rsidRPr="000F461E">
              <w:rPr>
                <w:rStyle w:val="Hypertextovprepojenie"/>
                <w:rFonts w:ascii="Times New Roman" w:hAnsi="Times New Roman" w:cs="Times New Roman"/>
                <w:color w:val="auto"/>
                <w:sz w:val="24"/>
                <w:szCs w:val="24"/>
                <w:u w:val="none"/>
                <w:lang w:val="cs-CZ"/>
              </w:rPr>
              <w:t>svědka</w:t>
            </w:r>
            <w:r w:rsidR="00FC6D85" w:rsidRPr="000F461E">
              <w:rPr>
                <w:rFonts w:ascii="Times New Roman" w:hAnsi="Times New Roman" w:cs="Times New Roman"/>
                <w:sz w:val="24"/>
                <w:szCs w:val="24"/>
                <w:lang w:val="cs-CZ"/>
              </w:rPr>
              <w:fldChar w:fldCharType="end"/>
            </w:r>
            <w:r w:rsidR="00FC6D85" w:rsidRPr="000F461E">
              <w:rPr>
                <w:rFonts w:ascii="Times New Roman" w:hAnsi="Times New Roman" w:cs="Times New Roman"/>
                <w:sz w:val="24"/>
                <w:szCs w:val="24"/>
                <w:shd w:val="clear" w:color="auto" w:fill="FFFFFF"/>
                <w:lang w:val="cs-CZ"/>
              </w:rPr>
              <w:t> a dalších osob v souvislosti s trestním řízením a o změně zákona č. </w:t>
            </w:r>
            <w:hyperlink r:id="rId8" w:history="1">
              <w:r w:rsidR="00FC6D85" w:rsidRPr="000F461E">
                <w:rPr>
                  <w:rStyle w:val="Hypertextovprepojenie"/>
                  <w:rFonts w:ascii="Times New Roman" w:hAnsi="Times New Roman" w:cs="Times New Roman"/>
                  <w:color w:val="auto"/>
                  <w:sz w:val="24"/>
                  <w:szCs w:val="24"/>
                  <w:u w:val="none"/>
                  <w:shd w:val="clear" w:color="auto" w:fill="FFFFFF"/>
                  <w:lang w:val="cs-CZ"/>
                </w:rPr>
                <w:t>99/1963 Sb., občanský soudní řád</w:t>
              </w:r>
            </w:hyperlink>
            <w:r w:rsidR="00FC6D85" w:rsidRPr="000F461E">
              <w:rPr>
                <w:rFonts w:ascii="Times New Roman" w:hAnsi="Times New Roman" w:cs="Times New Roman"/>
                <w:sz w:val="24"/>
                <w:szCs w:val="24"/>
                <w:shd w:val="clear" w:color="auto" w:fill="FFFFFF"/>
                <w:lang w:val="cs-CZ"/>
              </w:rPr>
              <w:t xml:space="preserve"> ve znění pozdějších předpisů, či na </w:t>
            </w:r>
            <w:r w:rsidR="00FC6D85" w:rsidRPr="000F461E">
              <w:rPr>
                <w:rFonts w:ascii="Times New Roman" w:hAnsi="Times New Roman" w:cs="Times New Roman"/>
                <w:sz w:val="24"/>
                <w:szCs w:val="24"/>
                <w:shd w:val="clear" w:color="auto" w:fill="FFFFFF"/>
              </w:rPr>
              <w:t>právnu</w:t>
            </w:r>
            <w:r w:rsidR="00FC6D85" w:rsidRPr="000F461E">
              <w:rPr>
                <w:rFonts w:ascii="Times New Roman" w:hAnsi="Times New Roman" w:cs="Times New Roman"/>
                <w:sz w:val="24"/>
                <w:szCs w:val="24"/>
                <w:shd w:val="clear" w:color="auto" w:fill="FFFFFF"/>
                <w:lang w:val="cs-CZ"/>
              </w:rPr>
              <w:t xml:space="preserve"> úpravu Maďarska - </w:t>
            </w:r>
            <w:r w:rsidR="00FC6D85" w:rsidRPr="000F461E">
              <w:rPr>
                <w:rFonts w:ascii="Times New Roman" w:hAnsi="Times New Roman" w:cs="Times New Roman"/>
                <w:sz w:val="24"/>
                <w:szCs w:val="24"/>
              </w:rPr>
              <w:t xml:space="preserve">2001. </w:t>
            </w:r>
            <w:r w:rsidR="00FC6D85" w:rsidRPr="000F461E">
              <w:rPr>
                <w:rFonts w:ascii="Times New Roman" w:hAnsi="Times New Roman" w:cs="Times New Roman"/>
                <w:sz w:val="24"/>
                <w:szCs w:val="24"/>
                <w:lang w:val="hu-HU"/>
              </w:rPr>
              <w:t>évi LXXXV. törvény a büntetőeljárásban részt vevők, az igazságszolgáltatást segítők Védelmi Programjáról</w:t>
            </w:r>
            <w:r w:rsidR="00FC6D85" w:rsidRPr="000F461E">
              <w:rPr>
                <w:rFonts w:ascii="Times New Roman" w:hAnsi="Times New Roman" w:cs="Times New Roman"/>
                <w:sz w:val="24"/>
                <w:szCs w:val="24"/>
                <w:lang w:val="cs-CZ"/>
              </w:rPr>
              <w:t xml:space="preserve">, </w:t>
            </w:r>
            <w:r w:rsidR="00FC6D85" w:rsidRPr="000F461E">
              <w:rPr>
                <w:rFonts w:ascii="Times New Roman" w:hAnsi="Times New Roman" w:cs="Times New Roman"/>
                <w:sz w:val="24"/>
                <w:szCs w:val="24"/>
              </w:rPr>
              <w:t>ktoré predmetnú smernicu vo vzťahu k ochrane svedka nepreberajú.</w:t>
            </w:r>
          </w:p>
          <w:p w:rsidR="00BD0F5D" w:rsidRPr="000F461E" w:rsidRDefault="00BD0F5D" w:rsidP="00F80B88">
            <w:pPr>
              <w:pStyle w:val="Bezriadkovania"/>
              <w:jc w:val="both"/>
              <w:rPr>
                <w:rFonts w:ascii="Times New Roman" w:hAnsi="Times New Roman" w:cs="Times New Roman"/>
                <w:sz w:val="24"/>
                <w:szCs w:val="24"/>
              </w:rPr>
            </w:pPr>
          </w:p>
        </w:tc>
      </w:tr>
      <w:tr w:rsidR="0015334D"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b/>
                <w:bCs/>
                <w:sz w:val="25"/>
                <w:szCs w:val="25"/>
              </w:rPr>
            </w:pPr>
            <w:r>
              <w:rPr>
                <w:rFonts w:ascii="Times" w:hAnsi="Times" w:cs="Times"/>
                <w:b/>
                <w:bCs/>
                <w:sz w:val="25"/>
                <w:szCs w:val="25"/>
              </w:rPr>
              <w:lastRenderedPageBreak/>
              <w:t>OAPSVLÚVSR</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K doložke zlučiteľnosti:</w:t>
            </w:r>
          </w:p>
          <w:p w:rsidR="0015334D" w:rsidRPr="001A7227" w:rsidRDefault="0015334D" w:rsidP="001A7227">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Žiadame upraviť doložku zlučiteľnosti predkladaného návrhu zákona s právom Európskej únie, a v treťom bode doložky zlučiteľnosti uviesť, že predmet návrhu zákona je upravený v práve Európskej únie. V bode 3 písm. a) žiadame uvádzať relevantné primárne európske právo a v bode 3 písm. b) najmä smernicu 2012/29/EÚ spolu s príslušným gestorom. Následne žiadame vyplniť aj štvrtý a piaty bol doložky zlučiteľnosti.</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5334D">
            <w:pPr>
              <w:jc w:val="center"/>
              <w:rPr>
                <w:rFonts w:ascii="Times" w:hAnsi="Times" w:cs="Times"/>
                <w:sz w:val="25"/>
                <w:szCs w:val="25"/>
              </w:rPr>
            </w:pPr>
            <w:r>
              <w:rPr>
                <w:rFonts w:ascii="Times" w:hAnsi="Times" w:cs="Times"/>
                <w:sz w:val="25"/>
                <w:szCs w:val="25"/>
              </w:rPr>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15334D" w:rsidRDefault="001B795B" w:rsidP="001B795B">
            <w:pPr>
              <w:jc w:val="center"/>
              <w:rPr>
                <w:rFonts w:ascii="Times" w:hAnsi="Times" w:cs="Times"/>
                <w:sz w:val="25"/>
                <w:szCs w:val="25"/>
              </w:rPr>
            </w:pPr>
            <w:r>
              <w:rPr>
                <w:rFonts w:ascii="Times" w:hAnsi="Times" w:cs="Times"/>
                <w:sz w:val="25"/>
                <w:szCs w:val="25"/>
              </w:rPr>
              <w:t>ČA</w:t>
            </w:r>
          </w:p>
        </w:tc>
        <w:tc>
          <w:tcPr>
            <w:tcW w:w="1830" w:type="pct"/>
            <w:tcBorders>
              <w:top w:val="outset" w:sz="6" w:space="0" w:color="000000"/>
              <w:left w:val="outset" w:sz="6" w:space="0" w:color="000000"/>
              <w:bottom w:val="outset" w:sz="6" w:space="0" w:color="000000"/>
              <w:right w:val="outset" w:sz="6" w:space="0" w:color="000000"/>
            </w:tcBorders>
            <w:hideMark/>
          </w:tcPr>
          <w:p w:rsidR="00F17993" w:rsidRPr="00F17993" w:rsidRDefault="001B795B" w:rsidP="00F17993">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Odôvodnenie čiastočného </w:t>
            </w:r>
            <w:r w:rsidR="00F17993">
              <w:rPr>
                <w:rFonts w:ascii="Times New Roman" w:hAnsi="Times New Roman" w:cs="Times New Roman"/>
                <w:sz w:val="24"/>
                <w:szCs w:val="24"/>
              </w:rPr>
              <w:t xml:space="preserve">akceptovania pripomienky je rovnaké ako k pripomienke </w:t>
            </w:r>
            <w:r w:rsidR="00F17993" w:rsidRPr="00F17993">
              <w:rPr>
                <w:rFonts w:ascii="Times New Roman" w:hAnsi="Times New Roman" w:cs="Times New Roman"/>
                <w:sz w:val="24"/>
                <w:szCs w:val="24"/>
              </w:rPr>
              <w:t>„</w:t>
            </w:r>
            <w:r>
              <w:rPr>
                <w:rFonts w:ascii="Times New Roman" w:hAnsi="Times New Roman" w:cs="Times New Roman"/>
                <w:bCs/>
                <w:sz w:val="24"/>
                <w:szCs w:val="24"/>
              </w:rPr>
              <w:t>K </w:t>
            </w:r>
            <w:r w:rsidR="00F17993" w:rsidRPr="00F17993">
              <w:rPr>
                <w:rFonts w:ascii="Times New Roman" w:hAnsi="Times New Roman" w:cs="Times New Roman"/>
                <w:bCs/>
                <w:sz w:val="24"/>
                <w:szCs w:val="24"/>
              </w:rPr>
              <w:t>transpozičným záväzkom Slovenskej republiky“.</w:t>
            </w:r>
          </w:p>
          <w:p w:rsidR="0015334D" w:rsidRPr="00472AEC" w:rsidRDefault="0015334D" w:rsidP="00472AEC">
            <w:pPr>
              <w:pStyle w:val="Bezriadkovania"/>
              <w:jc w:val="both"/>
              <w:rPr>
                <w:rFonts w:ascii="Times New Roman" w:hAnsi="Times New Roman" w:cs="Times New Roman"/>
                <w:sz w:val="24"/>
                <w:szCs w:val="24"/>
              </w:rPr>
            </w:pPr>
          </w:p>
        </w:tc>
      </w:tr>
      <w:tr w:rsidR="00A9385A"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A9385A" w:rsidRDefault="00A9385A" w:rsidP="00A9385A">
            <w:pPr>
              <w:jc w:val="center"/>
              <w:rPr>
                <w:rFonts w:ascii="Times" w:hAnsi="Times" w:cs="Times"/>
                <w:b/>
                <w:bCs/>
                <w:sz w:val="25"/>
                <w:szCs w:val="25"/>
              </w:rPr>
            </w:pPr>
            <w:r>
              <w:rPr>
                <w:rFonts w:ascii="Times" w:hAnsi="Times" w:cs="Times"/>
                <w:b/>
                <w:bCs/>
                <w:sz w:val="25"/>
                <w:szCs w:val="25"/>
              </w:rPr>
              <w:t>Slovenská advokátska komora</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A9385A" w:rsidRDefault="00A9385A" w:rsidP="00A9385A">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Celému materiálu</w:t>
            </w:r>
          </w:p>
          <w:p w:rsidR="00A9385A" w:rsidRPr="001A7227" w:rsidRDefault="00A9385A" w:rsidP="00A9385A">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Navrhované znenie zákona hovorí o poskytovaní ochrany a pomoci ohrozenému a chránenému svedkovi (§ 1 ods. 1 navrhovaného zákona) a ich definíciu poskytuje v § 2.: „(1)</w:t>
            </w:r>
            <w:r w:rsidR="001B795B">
              <w:rPr>
                <w:rFonts w:ascii="Times New Roman" w:hAnsi="Times New Roman" w:cs="Times New Roman"/>
                <w:sz w:val="24"/>
                <w:szCs w:val="24"/>
              </w:rPr>
              <w:t> </w:t>
            </w:r>
            <w:r w:rsidRPr="001A7227">
              <w:rPr>
                <w:rFonts w:ascii="Times New Roman" w:hAnsi="Times New Roman" w:cs="Times New Roman"/>
                <w:sz w:val="24"/>
                <w:szCs w:val="24"/>
              </w:rPr>
              <w:t xml:space="preserve">Ohrozeným svedkom je svedok, ktorý v trestnom konaní o obzvlášť závažnom zločine, zločine spáchanom organizovanou skupinou, zločineckou skupinou, teroristickou skupinou alebo extrémistickou skupinou, trestnom čine spáchanom z osobitného motívu podľa § 140 </w:t>
            </w:r>
            <w:r w:rsidRPr="001A7227">
              <w:rPr>
                <w:rFonts w:ascii="Times New Roman" w:hAnsi="Times New Roman" w:cs="Times New Roman"/>
                <w:sz w:val="24"/>
                <w:szCs w:val="24"/>
              </w:rPr>
              <w:lastRenderedPageBreak/>
              <w:t>písm. e) Trestného zákona alebo o trestnom čine terorizmu poskytol takú svedeckú výpoveď alebo iný dôkaz o páchateľovi alebo okolnosti tohto trestného činu, na základe čoho u tohto svedka vzniká dôvodná obava ohrozenia jeho života alebo zdravia. (2) Za ohrozeného svedka sa považuje aj blízka osoba) ohrozeného svedka podľa odseku 1 uvedená v návrhu na začatie programu ochrany. (3) Chráneným svedkom je ohrozený svedok podľa odseku 1, voči ktorému sa vykonáva program ochrany.“ V rámci vyššie načrtnutého trestného konania svedok nie je jedinou osobou, u ktorej môže vzniknúť dôvodná obava ohrozenia jeho života a zdravia. Sú to samozrejme blízke osoby, na ktoré návrh zákona myslí, avšak nemyslí na ďalšie osoby u ktorých môže vzniknúť dôvodná obava o ich život alebo zdravie z dôvodu, že na trestnom konaní participujú inak ako svedok. Ide napr. o znalca, tlmočníka, prekladateľa, dokonca aj obhajcu, pokiaľ obvinený, ktorého ako obhajca zastupuje, vypovedal, alebo má vypovedať voči iným spoluobvineným. Navrhovali by sme, aby zákon upravil aj ochranu týchto osôb, resp. ich poňal do definície ohrozeného (chráneného svedka), prípadne zmenil termín ohrozeného a chráneného svedka napr. na ohrozenú osobu, alebo zaviedol ďalšiu zákonnú definíciu, pod ktorú by spadali tieto osoby. Táto pripomienka je zásadná.</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9385A" w:rsidRDefault="00A9385A" w:rsidP="00A9385A">
            <w:pPr>
              <w:jc w:val="center"/>
              <w:rPr>
                <w:rFonts w:ascii="Times" w:hAnsi="Times" w:cs="Times"/>
                <w:sz w:val="25"/>
                <w:szCs w:val="25"/>
              </w:rPr>
            </w:pPr>
            <w:r>
              <w:rPr>
                <w:rFonts w:ascii="Times" w:hAnsi="Times" w:cs="Times"/>
                <w:sz w:val="25"/>
                <w:szCs w:val="25"/>
              </w:rPr>
              <w:lastRenderedPageBreak/>
              <w:t>Z</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9385A" w:rsidRDefault="001B795B" w:rsidP="00A9385A">
            <w:pPr>
              <w:jc w:val="center"/>
              <w:rPr>
                <w:rFonts w:ascii="Times" w:hAnsi="Times" w:cs="Times"/>
                <w:sz w:val="25"/>
                <w:szCs w:val="25"/>
              </w:rPr>
            </w:pPr>
            <w:r>
              <w:rPr>
                <w:rFonts w:ascii="Times" w:hAnsi="Times" w:cs="Times"/>
                <w:sz w:val="25"/>
                <w:szCs w:val="25"/>
              </w:rPr>
              <w:t>A</w:t>
            </w:r>
          </w:p>
        </w:tc>
        <w:tc>
          <w:tcPr>
            <w:tcW w:w="1830" w:type="pct"/>
            <w:tcBorders>
              <w:top w:val="outset" w:sz="6" w:space="0" w:color="000000"/>
              <w:left w:val="outset" w:sz="6" w:space="0" w:color="000000"/>
              <w:bottom w:val="outset" w:sz="6" w:space="0" w:color="000000"/>
              <w:right w:val="outset" w:sz="6" w:space="0" w:color="000000"/>
            </w:tcBorders>
            <w:hideMark/>
          </w:tcPr>
          <w:p w:rsidR="001B795B" w:rsidRPr="008D039A" w:rsidRDefault="001B795B" w:rsidP="001B795B">
            <w:pPr>
              <w:widowControl w:val="0"/>
              <w:autoSpaceDE w:val="0"/>
              <w:autoSpaceDN w:val="0"/>
              <w:adjustRightInd w:val="0"/>
              <w:ind w:firstLine="397"/>
              <w:jc w:val="both"/>
            </w:pPr>
            <w:r w:rsidRPr="00E51296">
              <w:t>Na základe záverov z rozporového konania so zástupcami Slovenskej advokátskej komory sa do návrhu zákona</w:t>
            </w:r>
            <w:r w:rsidR="00E51296" w:rsidRPr="00E51296">
              <w:t xml:space="preserve"> o ochrane svedka do § 1 </w:t>
            </w:r>
            <w:r w:rsidRPr="00E51296">
              <w:t>doplnilo ustanovenie</w:t>
            </w:r>
            <w:r w:rsidR="00E51296" w:rsidRPr="00E51296">
              <w:t xml:space="preserve"> odseku 5</w:t>
            </w:r>
            <w:r w:rsidRPr="00E51296">
              <w:t>, podľa ktorého sa ochrana iných osôb v trestnom konaní, ak sú v súvislosti s trestným konaním  ohrozené na živote a zdraví, zabe</w:t>
            </w:r>
            <w:r w:rsidR="00E51296" w:rsidRPr="00E51296">
              <w:t>zpečuje podľa osobitného zákona. Týmto zákonom je napríklad</w:t>
            </w:r>
            <w:r w:rsidR="008D039A" w:rsidRPr="00E51296">
              <w:t xml:space="preserve"> zákon </w:t>
            </w:r>
            <w:r w:rsidR="00EE23F5" w:rsidRPr="00E51296">
              <w:t xml:space="preserve">Národnej rady Slovenskej republiky </w:t>
            </w:r>
            <w:r w:rsidR="008D039A" w:rsidRPr="00E51296">
              <w:t xml:space="preserve">č. 171/1993 Z. z. </w:t>
            </w:r>
            <w:r w:rsidR="008D039A" w:rsidRPr="00E51296">
              <w:lastRenderedPageBreak/>
              <w:t>o Policajnom zbore v znení neskorších predpisov</w:t>
            </w:r>
            <w:r w:rsidR="00E51296">
              <w:t xml:space="preserve">, kde sa konkrétne uviedlo ustanovenie § 2 ods. 1  písm. m), do ktorého bolo začlenené znenie o krátkodobej ochrane </w:t>
            </w:r>
            <w:r w:rsidR="00E51296">
              <w:rPr>
                <w:iCs/>
              </w:rPr>
              <w:t>osôb</w:t>
            </w:r>
            <w:r w:rsidR="00E51296" w:rsidRPr="0007417D">
              <w:rPr>
                <w:iCs/>
              </w:rPr>
              <w:t xml:space="preserve"> v trestnom konaní, ktoré sú v súvislosti s trestným konaním ohrozené na živote a</w:t>
            </w:r>
            <w:r w:rsidR="00E51296">
              <w:rPr>
                <w:iCs/>
              </w:rPr>
              <w:t> </w:t>
            </w:r>
            <w:r w:rsidR="00E51296" w:rsidRPr="0007417D">
              <w:rPr>
                <w:iCs/>
              </w:rPr>
              <w:t>zdraví</w:t>
            </w:r>
            <w:r w:rsidR="008D039A">
              <w:t>.</w:t>
            </w:r>
          </w:p>
          <w:p w:rsidR="00B835EC" w:rsidRPr="001B795B" w:rsidRDefault="00B835EC" w:rsidP="001B795B">
            <w:pPr>
              <w:pStyle w:val="m927442956380326676msonospacing"/>
              <w:jc w:val="both"/>
            </w:pPr>
          </w:p>
        </w:tc>
      </w:tr>
      <w:tr w:rsidR="00A9385A"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A9385A" w:rsidRDefault="00A9385A" w:rsidP="00A9385A">
            <w:pPr>
              <w:jc w:val="center"/>
              <w:rPr>
                <w:rFonts w:ascii="Times" w:hAnsi="Times" w:cs="Times"/>
                <w:b/>
                <w:bCs/>
                <w:sz w:val="25"/>
                <w:szCs w:val="25"/>
              </w:rPr>
            </w:pPr>
            <w:r>
              <w:rPr>
                <w:rFonts w:ascii="Times" w:hAnsi="Times" w:cs="Times"/>
                <w:b/>
                <w:bCs/>
                <w:sz w:val="25"/>
                <w:szCs w:val="25"/>
              </w:rPr>
              <w:lastRenderedPageBreak/>
              <w:t>Slovenská advokátska komora</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A9385A" w:rsidRDefault="00A9385A" w:rsidP="00A9385A">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Čl. I § 5 ods. 3</w:t>
            </w:r>
          </w:p>
          <w:p w:rsidR="00A9385A" w:rsidRPr="001A7227" w:rsidRDefault="00A9385A" w:rsidP="00A9385A">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V zmysle</w:t>
            </w:r>
            <w:r w:rsidR="005D1CC0">
              <w:rPr>
                <w:rFonts w:ascii="Times New Roman" w:hAnsi="Times New Roman" w:cs="Times New Roman"/>
                <w:sz w:val="24"/>
                <w:szCs w:val="24"/>
              </w:rPr>
              <w:t xml:space="preserve"> § 5 ods. 3 navrhovaného zákona</w:t>
            </w:r>
            <w:r w:rsidRPr="001A7227">
              <w:rPr>
                <w:rFonts w:ascii="Times New Roman" w:hAnsi="Times New Roman" w:cs="Times New Roman"/>
                <w:sz w:val="24"/>
                <w:szCs w:val="24"/>
              </w:rPr>
              <w:t xml:space="preserve">: „Predbežné vykonávanie programu ochrany útvar bezodkladne ukončí, ak a) komisia rozhodla o nezačatí programu ochrany, b) ohrozený svedok nesúhlasil s programom ochrany alebo c) sa začal vykonávať program ochrany.“ Podľa §3 ods. 2 písm. f) navrhovaného zákona je obligatórnou náležitosťou návrhu na začatie programu ochrany aj písomný súhlas </w:t>
            </w:r>
            <w:r w:rsidRPr="001A7227">
              <w:rPr>
                <w:rFonts w:ascii="Times New Roman" w:hAnsi="Times New Roman" w:cs="Times New Roman"/>
                <w:sz w:val="24"/>
                <w:szCs w:val="24"/>
              </w:rPr>
              <w:lastRenderedPageBreak/>
              <w:t>ohrozeného svedka so zámerom vykonávať voči nemu program ochrany a s návrhom povinností uvedených v § 7, teda bez tohto súhlasu nemôže komisia rozhodnúť ani o predbežnom vykonávaní programu ochrany. Preto by sme navrhovali zmenu § 5 ods. 3 písm. b/ tak, že „ohrozený svedok odvolal súhlas s programom ochrany alebo“.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9385A" w:rsidRDefault="00A9385A" w:rsidP="00A9385A">
            <w:pPr>
              <w:jc w:val="center"/>
              <w:rPr>
                <w:rFonts w:ascii="Times" w:hAnsi="Times" w:cs="Times"/>
                <w:sz w:val="25"/>
                <w:szCs w:val="25"/>
              </w:rPr>
            </w:pPr>
            <w:r>
              <w:rPr>
                <w:rFonts w:ascii="Times" w:hAnsi="Times" w:cs="Times"/>
                <w:sz w:val="25"/>
                <w:szCs w:val="25"/>
              </w:rPr>
              <w:lastRenderedPageBreak/>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9385A" w:rsidRPr="00F3633E" w:rsidRDefault="00A9385A" w:rsidP="00A9385A">
            <w:pPr>
              <w:jc w:val="center"/>
              <w:rPr>
                <w:rFonts w:ascii="Times" w:hAnsi="Times" w:cs="Times"/>
                <w:color w:val="FF0066"/>
                <w:sz w:val="25"/>
                <w:szCs w:val="25"/>
              </w:rPr>
            </w:pPr>
            <w:r w:rsidRPr="00232272">
              <w:rPr>
                <w:rFonts w:ascii="Times" w:hAnsi="Times" w:cs="Times"/>
                <w:sz w:val="25"/>
                <w:szCs w:val="25"/>
              </w:rPr>
              <w:t>N</w:t>
            </w:r>
          </w:p>
        </w:tc>
        <w:tc>
          <w:tcPr>
            <w:tcW w:w="1830" w:type="pct"/>
            <w:tcBorders>
              <w:top w:val="outset" w:sz="6" w:space="0" w:color="000000"/>
              <w:left w:val="outset" w:sz="6" w:space="0" w:color="000000"/>
              <w:bottom w:val="outset" w:sz="6" w:space="0" w:color="000000"/>
              <w:right w:val="outset" w:sz="6" w:space="0" w:color="000000"/>
            </w:tcBorders>
            <w:hideMark/>
          </w:tcPr>
          <w:p w:rsidR="00A9385A" w:rsidRPr="00AF1FC8" w:rsidRDefault="0030188B" w:rsidP="00EB1F4A">
            <w:pPr>
              <w:pStyle w:val="Bezriadkovania"/>
              <w:jc w:val="both"/>
              <w:rPr>
                <w:rFonts w:ascii="Times New Roman" w:hAnsi="Times New Roman" w:cs="Times New Roman"/>
                <w:color w:val="0070C0"/>
                <w:sz w:val="24"/>
                <w:szCs w:val="24"/>
              </w:rPr>
            </w:pPr>
            <w:r w:rsidRPr="009207F2">
              <w:rPr>
                <w:rFonts w:ascii="Times New Roman" w:hAnsi="Times New Roman" w:cs="Times New Roman"/>
                <w:sz w:val="24"/>
                <w:szCs w:val="24"/>
              </w:rPr>
              <w:t xml:space="preserve">Podľa § 5 ods. 4 návrhu zákona sa </w:t>
            </w:r>
            <w:r w:rsidR="00DA7895" w:rsidRPr="009207F2">
              <w:rPr>
                <w:rFonts w:ascii="Times New Roman" w:hAnsi="Times New Roman" w:cs="Times New Roman"/>
                <w:sz w:val="24"/>
                <w:szCs w:val="24"/>
              </w:rPr>
              <w:t>na</w:t>
            </w:r>
            <w:r w:rsidR="00DA7895" w:rsidRPr="009207F2">
              <w:rPr>
                <w:rFonts w:ascii="Times New Roman" w:hAnsi="Times New Roman"/>
                <w:sz w:val="24"/>
                <w:szCs w:val="24"/>
              </w:rPr>
              <w:t xml:space="preserve"> predbežné vykonávanie programu ochrany primerane použijú ustanovenia o programe ochrany. Máme za to, že v tejto súvislosti platí § 13 ods. 1 písm. a), ktorým je upravený spôsob, ako chránený svedok ukončuje program ochrany.</w:t>
            </w:r>
            <w:r w:rsidR="00DA7895" w:rsidRPr="009207F2">
              <w:rPr>
                <w:rFonts w:ascii="Times New Roman" w:hAnsi="Times New Roman" w:cs="Times New Roman"/>
                <w:sz w:val="24"/>
                <w:szCs w:val="24"/>
              </w:rPr>
              <w:t xml:space="preserve"> Svedok sa môže vyjadriť aj</w:t>
            </w:r>
            <w:r w:rsidR="00A9385A" w:rsidRPr="009207F2">
              <w:rPr>
                <w:rFonts w:ascii="Times New Roman" w:hAnsi="Times New Roman" w:cs="Times New Roman"/>
                <w:sz w:val="24"/>
                <w:szCs w:val="24"/>
              </w:rPr>
              <w:t xml:space="preserve"> podľa § 5 ods. 3 písm. b), ž</w:t>
            </w:r>
            <w:r w:rsidR="00DA7895" w:rsidRPr="009207F2">
              <w:rPr>
                <w:rFonts w:ascii="Times New Roman" w:hAnsi="Times New Roman" w:cs="Times New Roman"/>
                <w:sz w:val="24"/>
                <w:szCs w:val="24"/>
              </w:rPr>
              <w:t xml:space="preserve">e nesúhlasí s programom ochrany. Máme za to, že  zároveň ide </w:t>
            </w:r>
            <w:r w:rsidR="00DA7895" w:rsidRPr="009207F2">
              <w:rPr>
                <w:rFonts w:ascii="Times New Roman" w:hAnsi="Times New Roman" w:cs="Times New Roman"/>
                <w:sz w:val="24"/>
                <w:szCs w:val="24"/>
              </w:rPr>
              <w:lastRenderedPageBreak/>
              <w:t>aj o vyjadrenie</w:t>
            </w:r>
            <w:r w:rsidR="00A9385A" w:rsidRPr="009207F2">
              <w:rPr>
                <w:rFonts w:ascii="Times New Roman" w:hAnsi="Times New Roman" w:cs="Times New Roman"/>
                <w:sz w:val="24"/>
                <w:szCs w:val="24"/>
              </w:rPr>
              <w:t xml:space="preserve"> nesúhlas</w:t>
            </w:r>
            <w:r w:rsidR="00DA7895" w:rsidRPr="009207F2">
              <w:rPr>
                <w:rFonts w:ascii="Times New Roman" w:hAnsi="Times New Roman" w:cs="Times New Roman"/>
                <w:sz w:val="24"/>
                <w:szCs w:val="24"/>
              </w:rPr>
              <w:t>u</w:t>
            </w:r>
            <w:r w:rsidR="00A9385A" w:rsidRPr="009207F2">
              <w:rPr>
                <w:rFonts w:ascii="Times New Roman" w:hAnsi="Times New Roman" w:cs="Times New Roman"/>
                <w:sz w:val="24"/>
                <w:szCs w:val="24"/>
              </w:rPr>
              <w:t xml:space="preserve"> so zámerom vykonávať voči nemu program ochrany. </w:t>
            </w:r>
            <w:r w:rsidR="00DA7895" w:rsidRPr="009207F2">
              <w:rPr>
                <w:rFonts w:ascii="Times New Roman" w:hAnsi="Times New Roman" w:cs="Times New Roman"/>
                <w:sz w:val="24"/>
                <w:szCs w:val="24"/>
              </w:rPr>
              <w:t xml:space="preserve">Program ochrany je podľa § 1 ods. 3 zo strany svedka dobrovoľný, takže útvar je povinný rešpektovať vôľu svedka a ukončiť program ochrany či predbežné vykonávanie programu ochrany, nech už svoju vôľu vyjadruje voči zámeru vykonávať program ochrany či voči programu ochrany. </w:t>
            </w:r>
            <w:r w:rsidR="00EB1F4A">
              <w:rPr>
                <w:rFonts w:ascii="Times New Roman" w:hAnsi="Times New Roman" w:cs="Times New Roman"/>
                <w:sz w:val="24"/>
                <w:szCs w:val="24"/>
              </w:rPr>
              <w:t>D</w:t>
            </w:r>
            <w:r w:rsidR="009207F2" w:rsidRPr="009207F2">
              <w:rPr>
                <w:rFonts w:ascii="Times New Roman" w:hAnsi="Times New Roman" w:cs="Times New Roman"/>
                <w:sz w:val="24"/>
                <w:szCs w:val="24"/>
              </w:rPr>
              <w:t xml:space="preserve">ôležitá je vôľa </w:t>
            </w:r>
            <w:r w:rsidR="00EB1F4A">
              <w:rPr>
                <w:rFonts w:ascii="Times New Roman" w:hAnsi="Times New Roman" w:cs="Times New Roman"/>
                <w:sz w:val="24"/>
                <w:szCs w:val="24"/>
              </w:rPr>
              <w:t xml:space="preserve">svedka </w:t>
            </w:r>
            <w:r w:rsidR="009207F2" w:rsidRPr="009207F2">
              <w:rPr>
                <w:rFonts w:ascii="Times New Roman" w:hAnsi="Times New Roman" w:cs="Times New Roman"/>
                <w:sz w:val="24"/>
                <w:szCs w:val="24"/>
              </w:rPr>
              <w:t>nebyť v programe ochrany</w:t>
            </w:r>
            <w:r w:rsidR="00EB1F4A">
              <w:rPr>
                <w:rFonts w:ascii="Times New Roman" w:hAnsi="Times New Roman" w:cs="Times New Roman"/>
                <w:sz w:val="24"/>
                <w:szCs w:val="24"/>
              </w:rPr>
              <w:t>, čo je obsiahnuté v citovaných ustanoveniach</w:t>
            </w:r>
            <w:r w:rsidR="009207F2" w:rsidRPr="009207F2">
              <w:rPr>
                <w:rFonts w:ascii="Times New Roman" w:hAnsi="Times New Roman" w:cs="Times New Roman"/>
                <w:sz w:val="24"/>
                <w:szCs w:val="24"/>
              </w:rPr>
              <w:t>.</w:t>
            </w:r>
          </w:p>
        </w:tc>
      </w:tr>
      <w:tr w:rsidR="00A9385A"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A9385A" w:rsidRDefault="00A9385A" w:rsidP="00A9385A">
            <w:pPr>
              <w:jc w:val="center"/>
              <w:rPr>
                <w:rFonts w:ascii="Times" w:hAnsi="Times" w:cs="Times"/>
                <w:b/>
                <w:bCs/>
                <w:sz w:val="25"/>
                <w:szCs w:val="25"/>
              </w:rPr>
            </w:pPr>
            <w:r>
              <w:rPr>
                <w:rFonts w:ascii="Times" w:hAnsi="Times" w:cs="Times"/>
                <w:b/>
                <w:bCs/>
                <w:sz w:val="25"/>
                <w:szCs w:val="25"/>
              </w:rPr>
              <w:lastRenderedPageBreak/>
              <w:t>Slovenská advokátska komora</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A9385A" w:rsidRDefault="00A9385A" w:rsidP="00A9385A">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Čl. I § 4 ods. 8</w:t>
            </w:r>
          </w:p>
          <w:p w:rsidR="00A9385A" w:rsidRPr="001A7227" w:rsidRDefault="00A9385A" w:rsidP="00A9385A">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V zmysle §4 ods. 8 navrhovaného zákona: „Komisia o návrhu na začatie programu ochrany alebo návrhu na ukončenie programu ochrany rozhodne do 60 dní od podania návrhu.“ Uvedenú lehotu na rozhodnutie komisie považujeme za neprimerane dlhú. Navrhujeme určenie kratšej lehoty. Pri rozhodovaní o návrhu na začatie programu ochrany to odôvodňujeme samotným účelom tohto zákona, a to dôvodnou obavou z ohrozenia života a zdravia svedka, a pri rozhodovaní o návrhu na ukončenie programu ochrany to odôvodňujeme šetrením štátnych prostriedkov.</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9385A" w:rsidRDefault="00A9385A" w:rsidP="00A9385A">
            <w:pPr>
              <w:jc w:val="center"/>
              <w:rPr>
                <w:rFonts w:ascii="Times" w:hAnsi="Times" w:cs="Times"/>
                <w:sz w:val="25"/>
                <w:szCs w:val="25"/>
              </w:rPr>
            </w:pPr>
            <w:r>
              <w:rPr>
                <w:rFonts w:ascii="Times" w:hAnsi="Times" w:cs="Times"/>
                <w:sz w:val="25"/>
                <w:szCs w:val="25"/>
              </w:rPr>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9385A" w:rsidRDefault="00A9385A" w:rsidP="00A9385A">
            <w:pPr>
              <w:jc w:val="center"/>
              <w:rPr>
                <w:rFonts w:ascii="Times" w:hAnsi="Times" w:cs="Times"/>
                <w:sz w:val="25"/>
                <w:szCs w:val="25"/>
              </w:rPr>
            </w:pPr>
            <w:r w:rsidRPr="00232272">
              <w:rPr>
                <w:rFonts w:ascii="Times" w:hAnsi="Times" w:cs="Times"/>
                <w:sz w:val="25"/>
                <w:szCs w:val="25"/>
              </w:rPr>
              <w:t>N</w:t>
            </w:r>
          </w:p>
        </w:tc>
        <w:tc>
          <w:tcPr>
            <w:tcW w:w="1830" w:type="pct"/>
            <w:tcBorders>
              <w:top w:val="outset" w:sz="6" w:space="0" w:color="000000"/>
              <w:left w:val="outset" w:sz="6" w:space="0" w:color="000000"/>
              <w:bottom w:val="outset" w:sz="6" w:space="0" w:color="000000"/>
              <w:right w:val="outset" w:sz="6" w:space="0" w:color="000000"/>
            </w:tcBorders>
            <w:hideMark/>
          </w:tcPr>
          <w:p w:rsidR="00505CF3" w:rsidRDefault="00505CF3" w:rsidP="00505CF3">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Lehota 60 dní je stanovená na základe dlhoročnej praxe ochrany svedka a je vyhodnotená ako optimálna. Lehota je poriadková a má procesný význam pre komisiu, aby konala v optimálne stanovenej lehote. V záujme ochrany svedka sa koná v čo najkratšom čase, takže dochádza aj ku skráteniu lehoty, ale prekročenie lehoty nemá žiaden nepriaznivý procesný následok pre svedka. </w:t>
            </w:r>
          </w:p>
          <w:p w:rsidR="00505CF3" w:rsidRPr="00472AEC" w:rsidRDefault="00505CF3" w:rsidP="00505CF3">
            <w:pPr>
              <w:pStyle w:val="Bezriadkovania"/>
              <w:jc w:val="both"/>
              <w:rPr>
                <w:rFonts w:ascii="Times New Roman" w:hAnsi="Times New Roman" w:cs="Times New Roman"/>
                <w:sz w:val="24"/>
                <w:szCs w:val="24"/>
              </w:rPr>
            </w:pPr>
            <w:r>
              <w:rPr>
                <w:rFonts w:ascii="Times New Roman" w:hAnsi="Times New Roman" w:cs="Times New Roman"/>
                <w:sz w:val="24"/>
                <w:szCs w:val="24"/>
              </w:rPr>
              <w:t>K ohrozeniu svedka počas rozhodovania komisie o začatí programu ochrany nedochádza, pretože svedok  je chránený aj počas tohto rozhodovania a to predbežným vykonávaním programu ochrany (§ 5 návrhu zákona).</w:t>
            </w:r>
          </w:p>
        </w:tc>
      </w:tr>
      <w:tr w:rsidR="00A9385A" w:rsidTr="00A9385A">
        <w:trPr>
          <w:divId w:val="76966122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rsidR="00A9385A" w:rsidRDefault="00A9385A" w:rsidP="00A9385A">
            <w:pPr>
              <w:jc w:val="center"/>
              <w:rPr>
                <w:rFonts w:ascii="Times" w:hAnsi="Times" w:cs="Times"/>
                <w:b/>
                <w:bCs/>
                <w:sz w:val="25"/>
                <w:szCs w:val="25"/>
              </w:rPr>
            </w:pPr>
            <w:r>
              <w:rPr>
                <w:rFonts w:ascii="Times" w:hAnsi="Times" w:cs="Times"/>
                <w:b/>
                <w:bCs/>
                <w:sz w:val="25"/>
                <w:szCs w:val="25"/>
              </w:rPr>
              <w:t>SOCPOIST</w:t>
            </w:r>
          </w:p>
        </w:tc>
        <w:tc>
          <w:tcPr>
            <w:tcW w:w="2130" w:type="pct"/>
            <w:tcBorders>
              <w:top w:val="outset" w:sz="6" w:space="0" w:color="000000"/>
              <w:left w:val="outset" w:sz="6" w:space="0" w:color="000000"/>
              <w:bottom w:val="outset" w:sz="6" w:space="0" w:color="000000"/>
              <w:right w:val="outset" w:sz="6" w:space="0" w:color="000000"/>
            </w:tcBorders>
            <w:vAlign w:val="center"/>
            <w:hideMark/>
          </w:tcPr>
          <w:p w:rsidR="00A9385A" w:rsidRDefault="00A9385A" w:rsidP="00A9385A">
            <w:pPr>
              <w:pStyle w:val="Bezriadkovania"/>
              <w:jc w:val="both"/>
              <w:rPr>
                <w:rFonts w:ascii="Times New Roman" w:hAnsi="Times New Roman" w:cs="Times New Roman"/>
                <w:sz w:val="24"/>
                <w:szCs w:val="24"/>
              </w:rPr>
            </w:pPr>
            <w:r w:rsidRPr="001A7227">
              <w:rPr>
                <w:rFonts w:ascii="Times New Roman" w:hAnsi="Times New Roman" w:cs="Times New Roman"/>
                <w:b/>
                <w:bCs/>
                <w:sz w:val="24"/>
                <w:szCs w:val="24"/>
              </w:rPr>
              <w:t>Čl. I - k § 10 ods. 3 a k osobitnej časti dôvodovej správy k § 10 ods. 3</w:t>
            </w:r>
          </w:p>
          <w:p w:rsidR="00A9385A" w:rsidRPr="001A7227" w:rsidRDefault="00A9385A" w:rsidP="00A9385A">
            <w:pPr>
              <w:pStyle w:val="Bezriadkovania"/>
              <w:jc w:val="both"/>
              <w:rPr>
                <w:rFonts w:ascii="Times New Roman" w:hAnsi="Times New Roman" w:cs="Times New Roman"/>
                <w:sz w:val="24"/>
                <w:szCs w:val="24"/>
              </w:rPr>
            </w:pPr>
            <w:r w:rsidRPr="001A7227">
              <w:rPr>
                <w:rFonts w:ascii="Times New Roman" w:hAnsi="Times New Roman" w:cs="Times New Roman"/>
                <w:sz w:val="24"/>
                <w:szCs w:val="24"/>
              </w:rPr>
              <w:t xml:space="preserve">Podľa § 10 ods. 3 návrhu, v prípade konaní pred orgánom sociálneho poistenia, orgánom sociálneho zabezpečenia alebo dôchodkovou správcovskou spoločnosťou, útvar Policajného zboru má oprávnenie vykonávať právne úkony smerujúce k zachovaniu nadobudnutých práv chráneného svedka (bez bližšej špecifikácie, t. j. vo všeobecnosti), pričom v dôvodovej správe k § 10 ods. 3 sa špecifikuje iba zachovanie nadobudnutých dôchodkových práv </w:t>
            </w:r>
            <w:r w:rsidRPr="001A7227">
              <w:rPr>
                <w:rFonts w:ascii="Times New Roman" w:hAnsi="Times New Roman" w:cs="Times New Roman"/>
                <w:sz w:val="24"/>
                <w:szCs w:val="24"/>
              </w:rPr>
              <w:lastRenderedPageBreak/>
              <w:t>chráneného svedka. Ak účelom právnej úpravy je zachovanie nadobudnutých práv chráneného svedka vo všeobecnosti, navrhujeme v dôvodovej správe vypustiť slovo „dôchodkových“.</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9385A" w:rsidRDefault="00A9385A" w:rsidP="00A9385A">
            <w:pPr>
              <w:jc w:val="center"/>
              <w:rPr>
                <w:rFonts w:ascii="Times" w:hAnsi="Times" w:cs="Times"/>
                <w:sz w:val="25"/>
                <w:szCs w:val="25"/>
              </w:rPr>
            </w:pPr>
            <w:r>
              <w:rPr>
                <w:rFonts w:ascii="Times" w:hAnsi="Times" w:cs="Times"/>
                <w:sz w:val="25"/>
                <w:szCs w:val="25"/>
              </w:rPr>
              <w:lastRenderedPageBreak/>
              <w:t>O</w:t>
            </w:r>
          </w:p>
        </w:tc>
        <w:tc>
          <w:tcPr>
            <w:tcW w:w="198" w:type="pct"/>
            <w:tcBorders>
              <w:top w:val="outset" w:sz="6" w:space="0" w:color="000000"/>
              <w:left w:val="outset" w:sz="6" w:space="0" w:color="000000"/>
              <w:bottom w:val="outset" w:sz="6" w:space="0" w:color="000000"/>
              <w:right w:val="outset" w:sz="6" w:space="0" w:color="000000"/>
            </w:tcBorders>
            <w:vAlign w:val="center"/>
            <w:hideMark/>
          </w:tcPr>
          <w:p w:rsidR="00A9385A" w:rsidRDefault="00A9385A" w:rsidP="00A9385A">
            <w:pPr>
              <w:jc w:val="center"/>
              <w:rPr>
                <w:rFonts w:ascii="Times" w:hAnsi="Times" w:cs="Times"/>
                <w:sz w:val="25"/>
                <w:szCs w:val="25"/>
              </w:rPr>
            </w:pPr>
            <w:r w:rsidRPr="00232272">
              <w:rPr>
                <w:rFonts w:ascii="Times" w:hAnsi="Times" w:cs="Times"/>
                <w:sz w:val="25"/>
                <w:szCs w:val="25"/>
              </w:rPr>
              <w:t>A</w:t>
            </w:r>
          </w:p>
        </w:tc>
        <w:tc>
          <w:tcPr>
            <w:tcW w:w="1830" w:type="pct"/>
            <w:tcBorders>
              <w:top w:val="outset" w:sz="6" w:space="0" w:color="000000"/>
              <w:left w:val="outset" w:sz="6" w:space="0" w:color="000000"/>
              <w:bottom w:val="outset" w:sz="6" w:space="0" w:color="000000"/>
              <w:right w:val="outset" w:sz="6" w:space="0" w:color="000000"/>
            </w:tcBorders>
            <w:hideMark/>
          </w:tcPr>
          <w:p w:rsidR="00A9385A" w:rsidRPr="00472AEC" w:rsidRDefault="00A9385A" w:rsidP="00A9385A">
            <w:pPr>
              <w:pStyle w:val="Bezriadkovania"/>
              <w:jc w:val="both"/>
              <w:rPr>
                <w:rFonts w:ascii="Times New Roman" w:hAnsi="Times New Roman" w:cs="Times New Roman"/>
                <w:sz w:val="24"/>
                <w:szCs w:val="24"/>
              </w:rPr>
            </w:pPr>
          </w:p>
        </w:tc>
      </w:tr>
    </w:tbl>
    <w:p w:rsidR="00154A91" w:rsidRPr="00154A91" w:rsidRDefault="00154A91" w:rsidP="00CE47A6"/>
    <w:p w:rsidR="00154A91" w:rsidRPr="00024402" w:rsidRDefault="00154A91" w:rsidP="00CE47A6"/>
    <w:sectPr w:rsidR="00154A91" w:rsidRPr="00024402" w:rsidSect="004075B2">
      <w:footerReference w:type="default" r:id="rId9"/>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404" w:rsidRDefault="00D92404" w:rsidP="000A67D5">
      <w:r>
        <w:separator/>
      </w:r>
    </w:p>
  </w:endnote>
  <w:endnote w:type="continuationSeparator" w:id="0">
    <w:p w:rsidR="00D92404" w:rsidRDefault="00D92404" w:rsidP="000A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435419"/>
      <w:docPartObj>
        <w:docPartGallery w:val="Page Numbers (Bottom of Page)"/>
        <w:docPartUnique/>
      </w:docPartObj>
    </w:sdtPr>
    <w:sdtEndPr>
      <w:rPr>
        <w:sz w:val="24"/>
        <w:szCs w:val="24"/>
      </w:rPr>
    </w:sdtEndPr>
    <w:sdtContent>
      <w:p w:rsidR="00E433A8" w:rsidRPr="00632D2B" w:rsidRDefault="00E433A8">
        <w:pPr>
          <w:pStyle w:val="Pta"/>
          <w:jc w:val="center"/>
          <w:rPr>
            <w:sz w:val="24"/>
            <w:szCs w:val="24"/>
          </w:rPr>
        </w:pPr>
        <w:r w:rsidRPr="00632D2B">
          <w:rPr>
            <w:rFonts w:ascii="Times New Roman" w:hAnsi="Times New Roman" w:cs="Times New Roman"/>
            <w:sz w:val="24"/>
            <w:szCs w:val="24"/>
          </w:rPr>
          <w:fldChar w:fldCharType="begin"/>
        </w:r>
        <w:r w:rsidRPr="00632D2B">
          <w:rPr>
            <w:rFonts w:ascii="Times New Roman" w:hAnsi="Times New Roman" w:cs="Times New Roman"/>
            <w:sz w:val="24"/>
            <w:szCs w:val="24"/>
          </w:rPr>
          <w:instrText>PAGE   \* MERGEFORMAT</w:instrText>
        </w:r>
        <w:r w:rsidRPr="00632D2B">
          <w:rPr>
            <w:rFonts w:ascii="Times New Roman" w:hAnsi="Times New Roman" w:cs="Times New Roman"/>
            <w:sz w:val="24"/>
            <w:szCs w:val="24"/>
          </w:rPr>
          <w:fldChar w:fldCharType="separate"/>
        </w:r>
        <w:r w:rsidR="00C37CA1">
          <w:rPr>
            <w:rFonts w:ascii="Times New Roman" w:hAnsi="Times New Roman" w:cs="Times New Roman"/>
            <w:noProof/>
            <w:sz w:val="24"/>
            <w:szCs w:val="24"/>
          </w:rPr>
          <w:t>5</w:t>
        </w:r>
        <w:r w:rsidRPr="00632D2B">
          <w:rPr>
            <w:rFonts w:ascii="Times New Roman" w:hAnsi="Times New Roman" w:cs="Times New Roman"/>
            <w:sz w:val="24"/>
            <w:szCs w:val="24"/>
          </w:rPr>
          <w:fldChar w:fldCharType="end"/>
        </w:r>
      </w:p>
    </w:sdtContent>
  </w:sdt>
  <w:p w:rsidR="00E433A8" w:rsidRDefault="00E433A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404" w:rsidRDefault="00D92404" w:rsidP="000A67D5">
      <w:r>
        <w:separator/>
      </w:r>
    </w:p>
  </w:footnote>
  <w:footnote w:type="continuationSeparator" w:id="0">
    <w:p w:rsidR="00D92404" w:rsidRDefault="00D92404" w:rsidP="000A6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74254"/>
    <w:multiLevelType w:val="hybridMultilevel"/>
    <w:tmpl w:val="DB909F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E511796"/>
    <w:multiLevelType w:val="hybridMultilevel"/>
    <w:tmpl w:val="BEF2FFB8"/>
    <w:lvl w:ilvl="0" w:tplc="B846E794">
      <w:start w:val="1"/>
      <w:numFmt w:val="decimal"/>
      <w:lvlText w:val="(%1)"/>
      <w:lvlJc w:val="left"/>
      <w:pPr>
        <w:ind w:left="644" w:hanging="360"/>
      </w:pPr>
    </w:lvl>
    <w:lvl w:ilvl="1" w:tplc="041B0019">
      <w:start w:val="1"/>
      <w:numFmt w:val="lowerLetter"/>
      <w:lvlText w:val="%2."/>
      <w:lvlJc w:val="left"/>
      <w:pPr>
        <w:ind w:left="1193" w:hanging="360"/>
      </w:pPr>
    </w:lvl>
    <w:lvl w:ilvl="2" w:tplc="041B001B">
      <w:start w:val="1"/>
      <w:numFmt w:val="lowerRoman"/>
      <w:lvlText w:val="%3."/>
      <w:lvlJc w:val="right"/>
      <w:pPr>
        <w:ind w:left="1913" w:hanging="180"/>
      </w:pPr>
    </w:lvl>
    <w:lvl w:ilvl="3" w:tplc="041B000F">
      <w:start w:val="1"/>
      <w:numFmt w:val="decimal"/>
      <w:lvlText w:val="%4."/>
      <w:lvlJc w:val="left"/>
      <w:pPr>
        <w:ind w:left="2633" w:hanging="360"/>
      </w:pPr>
    </w:lvl>
    <w:lvl w:ilvl="4" w:tplc="041B0019">
      <w:start w:val="1"/>
      <w:numFmt w:val="lowerLetter"/>
      <w:lvlText w:val="%5."/>
      <w:lvlJc w:val="left"/>
      <w:pPr>
        <w:ind w:left="3353" w:hanging="360"/>
      </w:pPr>
    </w:lvl>
    <w:lvl w:ilvl="5" w:tplc="041B001B">
      <w:start w:val="1"/>
      <w:numFmt w:val="lowerRoman"/>
      <w:lvlText w:val="%6."/>
      <w:lvlJc w:val="right"/>
      <w:pPr>
        <w:ind w:left="4073" w:hanging="180"/>
      </w:pPr>
    </w:lvl>
    <w:lvl w:ilvl="6" w:tplc="041B000F">
      <w:start w:val="1"/>
      <w:numFmt w:val="decimal"/>
      <w:lvlText w:val="%7."/>
      <w:lvlJc w:val="left"/>
      <w:pPr>
        <w:ind w:left="4793" w:hanging="360"/>
      </w:pPr>
    </w:lvl>
    <w:lvl w:ilvl="7" w:tplc="041B0019">
      <w:start w:val="1"/>
      <w:numFmt w:val="lowerLetter"/>
      <w:lvlText w:val="%8."/>
      <w:lvlJc w:val="left"/>
      <w:pPr>
        <w:ind w:left="5513" w:hanging="360"/>
      </w:pPr>
    </w:lvl>
    <w:lvl w:ilvl="8" w:tplc="041B001B">
      <w:start w:val="1"/>
      <w:numFmt w:val="lowerRoman"/>
      <w:lvlText w:val="%9."/>
      <w:lvlJc w:val="right"/>
      <w:pPr>
        <w:ind w:left="6233" w:hanging="180"/>
      </w:pPr>
    </w:lvl>
  </w:abstractNum>
  <w:abstractNum w:abstractNumId="2" w15:restartNumberingAfterBreak="0">
    <w:nsid w:val="6B8B7102"/>
    <w:multiLevelType w:val="hybridMultilevel"/>
    <w:tmpl w:val="6F0C89BA"/>
    <w:lvl w:ilvl="0" w:tplc="172C69C4">
      <w:start w:val="1"/>
      <w:numFmt w:val="decimal"/>
      <w:lvlText w:val="%1."/>
      <w:lvlJc w:val="left"/>
      <w:pPr>
        <w:ind w:left="720" w:hanging="360"/>
      </w:pPr>
      <w:rPr>
        <w:rFonts w:ascii="Times New Roman" w:hAnsi="Times New Roman" w:cs="Times New Roman"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134BB"/>
    <w:rsid w:val="00024402"/>
    <w:rsid w:val="0002467B"/>
    <w:rsid w:val="00030073"/>
    <w:rsid w:val="0003016B"/>
    <w:rsid w:val="000324A3"/>
    <w:rsid w:val="00033FB1"/>
    <w:rsid w:val="00035FD3"/>
    <w:rsid w:val="000409B2"/>
    <w:rsid w:val="00047410"/>
    <w:rsid w:val="0006095A"/>
    <w:rsid w:val="000649D3"/>
    <w:rsid w:val="0006543E"/>
    <w:rsid w:val="00082774"/>
    <w:rsid w:val="00082D3C"/>
    <w:rsid w:val="00096840"/>
    <w:rsid w:val="000A67D5"/>
    <w:rsid w:val="000C18E0"/>
    <w:rsid w:val="000C479B"/>
    <w:rsid w:val="000D6788"/>
    <w:rsid w:val="000E25CA"/>
    <w:rsid w:val="000E365A"/>
    <w:rsid w:val="000F461E"/>
    <w:rsid w:val="000F7A42"/>
    <w:rsid w:val="00105AB7"/>
    <w:rsid w:val="00105C12"/>
    <w:rsid w:val="00146547"/>
    <w:rsid w:val="00146B48"/>
    <w:rsid w:val="00150388"/>
    <w:rsid w:val="0015334D"/>
    <w:rsid w:val="00154A91"/>
    <w:rsid w:val="00167A5B"/>
    <w:rsid w:val="00193DF0"/>
    <w:rsid w:val="001A7227"/>
    <w:rsid w:val="001B5E76"/>
    <w:rsid w:val="001B70E3"/>
    <w:rsid w:val="001B795B"/>
    <w:rsid w:val="001D28CA"/>
    <w:rsid w:val="001E301A"/>
    <w:rsid w:val="002109B0"/>
    <w:rsid w:val="0021228E"/>
    <w:rsid w:val="00230F3C"/>
    <w:rsid w:val="00232272"/>
    <w:rsid w:val="00253D95"/>
    <w:rsid w:val="002654AA"/>
    <w:rsid w:val="002827B4"/>
    <w:rsid w:val="002A5577"/>
    <w:rsid w:val="002C3EED"/>
    <w:rsid w:val="002D7471"/>
    <w:rsid w:val="002F05A0"/>
    <w:rsid w:val="0030188B"/>
    <w:rsid w:val="003059BB"/>
    <w:rsid w:val="00310A55"/>
    <w:rsid w:val="0031171E"/>
    <w:rsid w:val="003216EE"/>
    <w:rsid w:val="00322014"/>
    <w:rsid w:val="00334672"/>
    <w:rsid w:val="00350081"/>
    <w:rsid w:val="00377DC2"/>
    <w:rsid w:val="0039526D"/>
    <w:rsid w:val="003B435B"/>
    <w:rsid w:val="003B75D2"/>
    <w:rsid w:val="003C23FF"/>
    <w:rsid w:val="003C517C"/>
    <w:rsid w:val="003D0F42"/>
    <w:rsid w:val="003D101C"/>
    <w:rsid w:val="003D5E45"/>
    <w:rsid w:val="003E4226"/>
    <w:rsid w:val="003F1214"/>
    <w:rsid w:val="003F5508"/>
    <w:rsid w:val="00406870"/>
    <w:rsid w:val="004075B2"/>
    <w:rsid w:val="00410244"/>
    <w:rsid w:val="00420ED8"/>
    <w:rsid w:val="00425DAD"/>
    <w:rsid w:val="004263F2"/>
    <w:rsid w:val="0043272F"/>
    <w:rsid w:val="00435DC7"/>
    <w:rsid w:val="00436C44"/>
    <w:rsid w:val="00440DBD"/>
    <w:rsid w:val="0047116B"/>
    <w:rsid w:val="00472AEC"/>
    <w:rsid w:val="00474A9D"/>
    <w:rsid w:val="00493F58"/>
    <w:rsid w:val="004B4664"/>
    <w:rsid w:val="004C2FF6"/>
    <w:rsid w:val="004D0B37"/>
    <w:rsid w:val="00505CF3"/>
    <w:rsid w:val="005157A5"/>
    <w:rsid w:val="00517945"/>
    <w:rsid w:val="00532574"/>
    <w:rsid w:val="0054314C"/>
    <w:rsid w:val="00553D2E"/>
    <w:rsid w:val="00562434"/>
    <w:rsid w:val="00581E4C"/>
    <w:rsid w:val="0058435C"/>
    <w:rsid w:val="0059081C"/>
    <w:rsid w:val="00594133"/>
    <w:rsid w:val="005A723E"/>
    <w:rsid w:val="005B0C22"/>
    <w:rsid w:val="005C02FC"/>
    <w:rsid w:val="005D1CC0"/>
    <w:rsid w:val="005E7A4F"/>
    <w:rsid w:val="005E7C53"/>
    <w:rsid w:val="00614331"/>
    <w:rsid w:val="00632D2B"/>
    <w:rsid w:val="00634ED5"/>
    <w:rsid w:val="006363ED"/>
    <w:rsid w:val="00641599"/>
    <w:rsid w:val="00642FB8"/>
    <w:rsid w:val="00647E8F"/>
    <w:rsid w:val="00664362"/>
    <w:rsid w:val="00667731"/>
    <w:rsid w:val="006853F6"/>
    <w:rsid w:val="006A12BD"/>
    <w:rsid w:val="006A30B0"/>
    <w:rsid w:val="006A3681"/>
    <w:rsid w:val="006B1BAE"/>
    <w:rsid w:val="006D4844"/>
    <w:rsid w:val="007118FC"/>
    <w:rsid w:val="007156F5"/>
    <w:rsid w:val="00743C5B"/>
    <w:rsid w:val="00783FD4"/>
    <w:rsid w:val="00785F1E"/>
    <w:rsid w:val="007A1010"/>
    <w:rsid w:val="007B7518"/>
    <w:rsid w:val="007B7F1A"/>
    <w:rsid w:val="007C1B10"/>
    <w:rsid w:val="007D7AE6"/>
    <w:rsid w:val="007E044B"/>
    <w:rsid w:val="007E4294"/>
    <w:rsid w:val="007F442C"/>
    <w:rsid w:val="00836223"/>
    <w:rsid w:val="00841FA6"/>
    <w:rsid w:val="0084206C"/>
    <w:rsid w:val="0084543C"/>
    <w:rsid w:val="00851B2B"/>
    <w:rsid w:val="0085444D"/>
    <w:rsid w:val="008672E8"/>
    <w:rsid w:val="00880A52"/>
    <w:rsid w:val="00884F5A"/>
    <w:rsid w:val="00891B2D"/>
    <w:rsid w:val="008955F7"/>
    <w:rsid w:val="008A1964"/>
    <w:rsid w:val="008B50DA"/>
    <w:rsid w:val="008C05C1"/>
    <w:rsid w:val="008C495B"/>
    <w:rsid w:val="008D039A"/>
    <w:rsid w:val="008D6AD4"/>
    <w:rsid w:val="008E2844"/>
    <w:rsid w:val="008E49C9"/>
    <w:rsid w:val="008E7C0D"/>
    <w:rsid w:val="0090100E"/>
    <w:rsid w:val="009207F2"/>
    <w:rsid w:val="009239D9"/>
    <w:rsid w:val="00927118"/>
    <w:rsid w:val="00942659"/>
    <w:rsid w:val="00943EB2"/>
    <w:rsid w:val="009468E5"/>
    <w:rsid w:val="009548C3"/>
    <w:rsid w:val="00962CD3"/>
    <w:rsid w:val="00982611"/>
    <w:rsid w:val="00993835"/>
    <w:rsid w:val="00993B2E"/>
    <w:rsid w:val="0099665B"/>
    <w:rsid w:val="009A71EF"/>
    <w:rsid w:val="009B3A9A"/>
    <w:rsid w:val="009C6C5C"/>
    <w:rsid w:val="009D20FA"/>
    <w:rsid w:val="009D2C6D"/>
    <w:rsid w:val="009E43AB"/>
    <w:rsid w:val="009F7218"/>
    <w:rsid w:val="00A17101"/>
    <w:rsid w:val="00A251BF"/>
    <w:rsid w:val="00A53EDF"/>
    <w:rsid w:val="00A54A16"/>
    <w:rsid w:val="00A9385A"/>
    <w:rsid w:val="00AA2882"/>
    <w:rsid w:val="00AC6729"/>
    <w:rsid w:val="00AD5571"/>
    <w:rsid w:val="00AE13D6"/>
    <w:rsid w:val="00AE27E1"/>
    <w:rsid w:val="00AF767A"/>
    <w:rsid w:val="00B000AE"/>
    <w:rsid w:val="00B21871"/>
    <w:rsid w:val="00B3261E"/>
    <w:rsid w:val="00B33354"/>
    <w:rsid w:val="00B4528D"/>
    <w:rsid w:val="00B65EA6"/>
    <w:rsid w:val="00B721A5"/>
    <w:rsid w:val="00B76589"/>
    <w:rsid w:val="00B835EC"/>
    <w:rsid w:val="00B8767E"/>
    <w:rsid w:val="00BA0E5F"/>
    <w:rsid w:val="00BA3228"/>
    <w:rsid w:val="00BC13AB"/>
    <w:rsid w:val="00BC182F"/>
    <w:rsid w:val="00BC5F56"/>
    <w:rsid w:val="00BD0F5D"/>
    <w:rsid w:val="00BD1FAB"/>
    <w:rsid w:val="00BE0589"/>
    <w:rsid w:val="00BE7302"/>
    <w:rsid w:val="00BF7CE0"/>
    <w:rsid w:val="00C278ED"/>
    <w:rsid w:val="00C37CA1"/>
    <w:rsid w:val="00C54070"/>
    <w:rsid w:val="00C811C2"/>
    <w:rsid w:val="00CA09F2"/>
    <w:rsid w:val="00CA43D7"/>
    <w:rsid w:val="00CA44D2"/>
    <w:rsid w:val="00CE47A6"/>
    <w:rsid w:val="00CF3D59"/>
    <w:rsid w:val="00D02A33"/>
    <w:rsid w:val="00D05F32"/>
    <w:rsid w:val="00D17F31"/>
    <w:rsid w:val="00D261C9"/>
    <w:rsid w:val="00D371A9"/>
    <w:rsid w:val="00D47AFE"/>
    <w:rsid w:val="00D52934"/>
    <w:rsid w:val="00D71584"/>
    <w:rsid w:val="00D83D80"/>
    <w:rsid w:val="00D85172"/>
    <w:rsid w:val="00D92404"/>
    <w:rsid w:val="00D95817"/>
    <w:rsid w:val="00D969AC"/>
    <w:rsid w:val="00DA7895"/>
    <w:rsid w:val="00DF7085"/>
    <w:rsid w:val="00E13A11"/>
    <w:rsid w:val="00E14A52"/>
    <w:rsid w:val="00E2086C"/>
    <w:rsid w:val="00E22AA1"/>
    <w:rsid w:val="00E40A09"/>
    <w:rsid w:val="00E417BF"/>
    <w:rsid w:val="00E433A8"/>
    <w:rsid w:val="00E43A09"/>
    <w:rsid w:val="00E51296"/>
    <w:rsid w:val="00E5200C"/>
    <w:rsid w:val="00E543AB"/>
    <w:rsid w:val="00E63A6B"/>
    <w:rsid w:val="00E71B85"/>
    <w:rsid w:val="00E765F3"/>
    <w:rsid w:val="00E85710"/>
    <w:rsid w:val="00E96E6B"/>
    <w:rsid w:val="00EB1F4A"/>
    <w:rsid w:val="00EB2124"/>
    <w:rsid w:val="00EB772A"/>
    <w:rsid w:val="00EE23F5"/>
    <w:rsid w:val="00EE2B86"/>
    <w:rsid w:val="00EE3A3F"/>
    <w:rsid w:val="00EF1425"/>
    <w:rsid w:val="00EF4D6B"/>
    <w:rsid w:val="00F02683"/>
    <w:rsid w:val="00F12114"/>
    <w:rsid w:val="00F17993"/>
    <w:rsid w:val="00F26A4A"/>
    <w:rsid w:val="00F302B7"/>
    <w:rsid w:val="00F3633E"/>
    <w:rsid w:val="00F727F0"/>
    <w:rsid w:val="00F77B09"/>
    <w:rsid w:val="00F80B88"/>
    <w:rsid w:val="00F8562E"/>
    <w:rsid w:val="00FC6D85"/>
    <w:rsid w:val="00FF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3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12BD"/>
    <w:pPr>
      <w:spacing w:after="0" w:line="240" w:lineRule="auto"/>
    </w:pPr>
    <w:rPr>
      <w:rFonts w:ascii="Times New Roman" w:eastAsia="Times New Roman" w:hAnsi="Times New Roman" w:cs="Times New Roman"/>
      <w:sz w:val="24"/>
      <w:szCs w:val="24"/>
      <w:lang w:val="sk-SK" w:eastAsia="sk-SK"/>
    </w:rPr>
  </w:style>
  <w:style w:type="paragraph" w:styleId="Nadpis3">
    <w:name w:val="heading 3"/>
    <w:basedOn w:val="Normlny"/>
    <w:link w:val="Nadpis3Char"/>
    <w:uiPriority w:val="9"/>
    <w:qFormat/>
    <w:rsid w:val="004D0B37"/>
    <w:pPr>
      <w:spacing w:before="100" w:beforeAutospacing="1" w:after="100" w:afterAutospacing="1"/>
      <w:outlineLvl w:val="2"/>
    </w:pPr>
    <w:rPr>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rPr>
      <w:rFonts w:ascii="Tahoma" w:eastAsiaTheme="minorEastAsia" w:hAnsi="Tahoma" w:cs="Tahoma"/>
      <w:sz w:val="16"/>
      <w:szCs w:val="16"/>
      <w:lang w:eastAsia="en-US"/>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pPr>
    <w:rPr>
      <w:rFonts w:asciiTheme="minorHAnsi" w:eastAsiaTheme="minorEastAsia" w:hAnsiTheme="minorHAnsi" w:cstheme="minorBidi"/>
      <w:sz w:val="22"/>
      <w:szCs w:val="22"/>
      <w:lang w:eastAsia="en-US"/>
    </w:r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pPr>
    <w:rPr>
      <w:rFonts w:asciiTheme="minorHAnsi" w:eastAsiaTheme="minorEastAsia" w:hAnsiTheme="minorHAnsi" w:cstheme="minorBidi"/>
      <w:sz w:val="22"/>
      <w:szCs w:val="22"/>
      <w:lang w:eastAsia="en-US"/>
    </w:r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after="200"/>
    </w:pPr>
    <w:rPr>
      <w:rFonts w:ascii="Calibri" w:hAnsi="Calibri"/>
      <w:sz w:val="20"/>
      <w:szCs w:val="20"/>
      <w:lang w:eastAsia="en-US"/>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jc w:val="center"/>
    </w:pPr>
    <w:rPr>
      <w:b/>
      <w:bCs/>
      <w:sz w:val="28"/>
      <w:szCs w:val="28"/>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 w:type="character" w:customStyle="1" w:styleId="Nadpis3Char">
    <w:name w:val="Nadpis 3 Char"/>
    <w:basedOn w:val="Predvolenpsmoodseku"/>
    <w:link w:val="Nadpis3"/>
    <w:uiPriority w:val="9"/>
    <w:rsid w:val="004D0B37"/>
    <w:rPr>
      <w:rFonts w:ascii="Times New Roman" w:eastAsia="Times New Roman" w:hAnsi="Times New Roman" w:cs="Times New Roman"/>
      <w:b/>
      <w:bCs/>
      <w:sz w:val="27"/>
      <w:szCs w:val="27"/>
      <w:lang w:val="sk-SK" w:eastAsia="sk-SK"/>
    </w:rPr>
  </w:style>
  <w:style w:type="paragraph" w:styleId="Bezriadkovania">
    <w:name w:val="No Spacing"/>
    <w:uiPriority w:val="1"/>
    <w:qFormat/>
    <w:rsid w:val="004D0B37"/>
    <w:pPr>
      <w:spacing w:after="0" w:line="240" w:lineRule="auto"/>
    </w:pPr>
    <w:rPr>
      <w:lang w:val="sk-SK"/>
    </w:rPr>
  </w:style>
  <w:style w:type="character" w:styleId="Hypertextovprepojenie">
    <w:name w:val="Hyperlink"/>
    <w:basedOn w:val="Predvolenpsmoodseku"/>
    <w:uiPriority w:val="99"/>
    <w:semiHidden/>
    <w:unhideWhenUsed/>
    <w:rsid w:val="006A12BD"/>
    <w:rPr>
      <w:color w:val="0000FF"/>
      <w:u w:val="single"/>
    </w:rPr>
  </w:style>
  <w:style w:type="paragraph" w:styleId="Textpoznmkypodiarou">
    <w:name w:val="footnote text"/>
    <w:basedOn w:val="Normlny"/>
    <w:link w:val="TextpoznmkypodiarouChar"/>
    <w:uiPriority w:val="99"/>
    <w:unhideWhenUsed/>
    <w:rsid w:val="00FF5C25"/>
    <w:rPr>
      <w:rFonts w:asciiTheme="minorHAnsi" w:eastAsiaTheme="minorEastAsia" w:hAnsiTheme="minorHAnsi"/>
      <w:sz w:val="20"/>
      <w:szCs w:val="20"/>
    </w:rPr>
  </w:style>
  <w:style w:type="character" w:customStyle="1" w:styleId="TextpoznmkypodiarouChar">
    <w:name w:val="Text poznámky pod čiarou Char"/>
    <w:basedOn w:val="Predvolenpsmoodseku"/>
    <w:link w:val="Textpoznmkypodiarou"/>
    <w:uiPriority w:val="99"/>
    <w:rsid w:val="00FF5C25"/>
    <w:rPr>
      <w:rFonts w:cs="Times New Roman"/>
      <w:sz w:val="20"/>
      <w:szCs w:val="20"/>
      <w:lang w:val="sk-SK" w:eastAsia="sk-SK"/>
    </w:rPr>
  </w:style>
  <w:style w:type="character" w:styleId="Odkaznapoznmkupodiarou">
    <w:name w:val="footnote reference"/>
    <w:basedOn w:val="Predvolenpsmoodseku"/>
    <w:uiPriority w:val="99"/>
    <w:semiHidden/>
    <w:unhideWhenUsed/>
    <w:rsid w:val="00FF5C25"/>
    <w:rPr>
      <w:vertAlign w:val="superscript"/>
    </w:rPr>
  </w:style>
  <w:style w:type="paragraph" w:styleId="Odsekzoznamu">
    <w:name w:val="List Paragraph"/>
    <w:basedOn w:val="Normlny"/>
    <w:uiPriority w:val="99"/>
    <w:qFormat/>
    <w:rsid w:val="00FF5C25"/>
    <w:pPr>
      <w:spacing w:after="200" w:line="276" w:lineRule="auto"/>
      <w:ind w:left="720"/>
      <w:contextualSpacing/>
    </w:pPr>
    <w:rPr>
      <w:rFonts w:asciiTheme="minorHAnsi" w:eastAsiaTheme="minorEastAsia" w:hAnsiTheme="minorHAnsi"/>
      <w:sz w:val="22"/>
      <w:szCs w:val="22"/>
      <w:lang w:eastAsia="en-US"/>
    </w:rPr>
  </w:style>
  <w:style w:type="character" w:customStyle="1" w:styleId="markedcontent">
    <w:name w:val="markedcontent"/>
    <w:basedOn w:val="Predvolenpsmoodseku"/>
    <w:rsid w:val="00F80B88"/>
  </w:style>
  <w:style w:type="paragraph" w:customStyle="1" w:styleId="m927442956380326676msonospacing">
    <w:name w:val="m_927442956380326676msonospacing"/>
    <w:basedOn w:val="Normlny"/>
    <w:rsid w:val="00A9385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0870">
      <w:bodyDiv w:val="1"/>
      <w:marLeft w:val="0"/>
      <w:marRight w:val="0"/>
      <w:marTop w:val="0"/>
      <w:marBottom w:val="0"/>
      <w:divBdr>
        <w:top w:val="none" w:sz="0" w:space="0" w:color="auto"/>
        <w:left w:val="none" w:sz="0" w:space="0" w:color="auto"/>
        <w:bottom w:val="none" w:sz="0" w:space="0" w:color="auto"/>
        <w:right w:val="none" w:sz="0" w:space="0" w:color="auto"/>
      </w:divBdr>
    </w:div>
    <w:div w:id="317345593">
      <w:bodyDiv w:val="1"/>
      <w:marLeft w:val="0"/>
      <w:marRight w:val="0"/>
      <w:marTop w:val="0"/>
      <w:marBottom w:val="0"/>
      <w:divBdr>
        <w:top w:val="none" w:sz="0" w:space="0" w:color="auto"/>
        <w:left w:val="none" w:sz="0" w:space="0" w:color="auto"/>
        <w:bottom w:val="none" w:sz="0" w:space="0" w:color="auto"/>
        <w:right w:val="none" w:sz="0" w:space="0" w:color="auto"/>
      </w:divBdr>
      <w:divsChild>
        <w:div w:id="190148707">
          <w:marLeft w:val="0"/>
          <w:marRight w:val="0"/>
          <w:marTop w:val="0"/>
          <w:marBottom w:val="0"/>
          <w:divBdr>
            <w:top w:val="none" w:sz="0" w:space="0" w:color="auto"/>
            <w:left w:val="none" w:sz="0" w:space="0" w:color="auto"/>
            <w:bottom w:val="none" w:sz="0" w:space="0" w:color="auto"/>
            <w:right w:val="none" w:sz="0" w:space="0" w:color="auto"/>
          </w:divBdr>
        </w:div>
        <w:div w:id="1062875609">
          <w:marLeft w:val="0"/>
          <w:marRight w:val="0"/>
          <w:marTop w:val="0"/>
          <w:marBottom w:val="0"/>
          <w:divBdr>
            <w:top w:val="none" w:sz="0" w:space="0" w:color="auto"/>
            <w:left w:val="none" w:sz="0" w:space="0" w:color="auto"/>
            <w:bottom w:val="none" w:sz="0" w:space="0" w:color="auto"/>
            <w:right w:val="none" w:sz="0" w:space="0" w:color="auto"/>
          </w:divBdr>
        </w:div>
        <w:div w:id="1942373421">
          <w:marLeft w:val="0"/>
          <w:marRight w:val="0"/>
          <w:marTop w:val="0"/>
          <w:marBottom w:val="0"/>
          <w:divBdr>
            <w:top w:val="none" w:sz="0" w:space="0" w:color="auto"/>
            <w:left w:val="none" w:sz="0" w:space="0" w:color="auto"/>
            <w:bottom w:val="none" w:sz="0" w:space="0" w:color="auto"/>
            <w:right w:val="none" w:sz="0" w:space="0" w:color="auto"/>
          </w:divBdr>
        </w:div>
      </w:divsChild>
    </w:div>
    <w:div w:id="569576656">
      <w:bodyDiv w:val="1"/>
      <w:marLeft w:val="0"/>
      <w:marRight w:val="0"/>
      <w:marTop w:val="0"/>
      <w:marBottom w:val="0"/>
      <w:divBdr>
        <w:top w:val="none" w:sz="0" w:space="0" w:color="auto"/>
        <w:left w:val="none" w:sz="0" w:space="0" w:color="auto"/>
        <w:bottom w:val="none" w:sz="0" w:space="0" w:color="auto"/>
        <w:right w:val="none" w:sz="0" w:space="0" w:color="auto"/>
      </w:divBdr>
    </w:div>
    <w:div w:id="713502125">
      <w:bodyDiv w:val="1"/>
      <w:marLeft w:val="0"/>
      <w:marRight w:val="0"/>
      <w:marTop w:val="0"/>
      <w:marBottom w:val="0"/>
      <w:divBdr>
        <w:top w:val="none" w:sz="0" w:space="0" w:color="auto"/>
        <w:left w:val="none" w:sz="0" w:space="0" w:color="auto"/>
        <w:bottom w:val="none" w:sz="0" w:space="0" w:color="auto"/>
        <w:right w:val="none" w:sz="0" w:space="0" w:color="auto"/>
      </w:divBdr>
    </w:div>
    <w:div w:id="719010842">
      <w:bodyDiv w:val="1"/>
      <w:marLeft w:val="0"/>
      <w:marRight w:val="0"/>
      <w:marTop w:val="0"/>
      <w:marBottom w:val="0"/>
      <w:divBdr>
        <w:top w:val="none" w:sz="0" w:space="0" w:color="auto"/>
        <w:left w:val="none" w:sz="0" w:space="0" w:color="auto"/>
        <w:bottom w:val="none" w:sz="0" w:space="0" w:color="auto"/>
        <w:right w:val="none" w:sz="0" w:space="0" w:color="auto"/>
      </w:divBdr>
    </w:div>
    <w:div w:id="769661227">
      <w:bodyDiv w:val="1"/>
      <w:marLeft w:val="0"/>
      <w:marRight w:val="0"/>
      <w:marTop w:val="0"/>
      <w:marBottom w:val="0"/>
      <w:divBdr>
        <w:top w:val="none" w:sz="0" w:space="0" w:color="auto"/>
        <w:left w:val="none" w:sz="0" w:space="0" w:color="auto"/>
        <w:bottom w:val="none" w:sz="0" w:space="0" w:color="auto"/>
        <w:right w:val="none" w:sz="0" w:space="0" w:color="auto"/>
      </w:divBdr>
    </w:div>
    <w:div w:id="1585527225">
      <w:bodyDiv w:val="1"/>
      <w:marLeft w:val="0"/>
      <w:marRight w:val="0"/>
      <w:marTop w:val="0"/>
      <w:marBottom w:val="0"/>
      <w:divBdr>
        <w:top w:val="none" w:sz="0" w:space="0" w:color="auto"/>
        <w:left w:val="none" w:sz="0" w:space="0" w:color="auto"/>
        <w:bottom w:val="none" w:sz="0" w:space="0" w:color="auto"/>
        <w:right w:val="none" w:sz="0" w:space="0" w:color="auto"/>
      </w:divBdr>
    </w:div>
    <w:div w:id="2105804296">
      <w:bodyDiv w:val="1"/>
      <w:marLeft w:val="0"/>
      <w:marRight w:val="0"/>
      <w:marTop w:val="0"/>
      <w:marBottom w:val="0"/>
      <w:divBdr>
        <w:top w:val="none" w:sz="0" w:space="0" w:color="auto"/>
        <w:left w:val="none" w:sz="0" w:space="0" w:color="auto"/>
        <w:bottom w:val="none" w:sz="0" w:space="0" w:color="auto"/>
        <w:right w:val="none" w:sz="0" w:space="0" w:color="auto"/>
      </w:divBdr>
    </w:div>
    <w:div w:id="212036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i.cz/products/lawText/1/51270/1/2/ASPI%253A/99/1963%20Sb.%25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3.7.2024 9:59:11"/>
    <f:field ref="objchangedby" par="" text="Administrator, System"/>
    <f:field ref="objmodifiedat" par="" text="23.7.2024 9:59:16"/>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6876</Words>
  <Characters>39194</Characters>
  <Application>Microsoft Office Word</Application>
  <DocSecurity>0</DocSecurity>
  <Lines>326</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2024-10-08T09:23:00Z</dcterms:created>
  <dcterms:modified xsi:type="dcterms:W3CDTF">2024-10-08T09:23:00Z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o ochrane svedka a o zmene a doplnení niektorých zákonov (ďalej len „návrh zákona“) informovaná prostredníctvom predbežnej informácie zverejnenej v&amp;nbsp;informačnom systéme verejnej správy Slov-Lex PI/2024/9</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Trestné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Mária Reichbauerová</vt:lpwstr>
  </property>
  <property fmtid="{D5CDD505-2E9C-101B-9397-08002B2CF9AE}" pid="11" name="FSC#SKEDITIONSLOVLEX@103.510:zodppredkladatel">
    <vt:lpwstr>Matúš Šutaj Eštok</vt:lpwstr>
  </property>
  <property fmtid="{D5CDD505-2E9C-101B-9397-08002B2CF9AE}" pid="12" name="FSC#SKEDITIONSLOVLEX@103.510:dalsipredkladatel">
    <vt:lpwstr/>
  </property>
  <property fmtid="{D5CDD505-2E9C-101B-9397-08002B2CF9AE}" pid="13" name="FSC#SKEDITIONSLOVLEX@103.510:nazovpredpis">
    <vt:lpwstr> o ochrane svedka a o zmene a doplnení niektorých zákonov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vnútra Slovenskej republiky</vt:lpwstr>
  </property>
  <property fmtid="{D5CDD505-2E9C-101B-9397-08002B2CF9AE}" pid="19" name="FSC#SKEDITIONSLOVLEX@103.510:pripomienkovatelia">
    <vt:lpwstr>Ministerstvo vnútra Slovenskej republiky, Ministerstvo vnútra Slovenskej republiky, Ministerstvo vnútra Slovenskej republiky</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rok 2024</vt:lpwstr>
  </property>
  <property fmtid="{D5CDD505-2E9C-101B-9397-08002B2CF9AE}" pid="22" name="FSC#SKEDITIONSLOVLEX@103.510:plnynazovpredpis">
    <vt:lpwstr> Zákon o ochrane svedka a o zmene a doplnení niektorých zákonov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SL-OBL-2024/007167</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LP/2024/343</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upravený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vnútra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hlavný štátny radca</vt:lpwstr>
  </property>
  <property fmtid="{D5CDD505-2E9C-101B-9397-08002B2CF9AE}" pid="138" name="FSC#SKEDITIONSLOVLEX@103.510:funkciaPredAkuzativ">
    <vt:lpwstr>hlavného štátneho radcu</vt:lpwstr>
  </property>
  <property fmtid="{D5CDD505-2E9C-101B-9397-08002B2CF9AE}" pid="139" name="FSC#SKEDITIONSLOVLEX@103.510:funkciaPredDativ">
    <vt:lpwstr>hlavnému štátnemu radcovi</vt:lpwstr>
  </property>
  <property fmtid="{D5CDD505-2E9C-101B-9397-08002B2CF9AE}" pid="140" name="FSC#SKEDITIONSLOVLEX@103.510:funkciaZodpPred">
    <vt:lpwstr>Minister vnútra Slovenskej republiky</vt:lpwstr>
  </property>
  <property fmtid="{D5CDD505-2E9C-101B-9397-08002B2CF9AE}" pid="141" name="FSC#SKEDITIONSLOVLEX@103.510:funkciaZodpPredAkuzativ">
    <vt:lpwstr>Ministra vnútra Slovenskej republiky</vt:lpwstr>
  </property>
  <property fmtid="{D5CDD505-2E9C-101B-9397-08002B2CF9AE}" pid="142" name="FSC#SKEDITIONSLOVLEX@103.510:funkciaZodpPredDativ">
    <vt:lpwstr>Ministrovi vnútra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Matúš Šutaj Eštok_x000d_
Minister vnútra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justify;"&gt;Ministerstvo vnútra Slovenskej republiky predkladá návrh zákona o ochrane svedka a o zmene a doplnení niektorých zákonov (ďalej len „návrh zákona“) podľa Plánu legislatívnych úloh vlády Slovenskej republiky na rok 2024. Ide</vt:lpwstr>
  </property>
  <property fmtid="{D5CDD505-2E9C-101B-9397-08002B2CF9AE}" pid="149" name="FSC#COOSYSTEM@1.1:Container">
    <vt:lpwstr>COO.2145.1000.3.6278409</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23. 7. 2024</vt:lpwstr>
  </property>
</Properties>
</file>