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0" w:rsidRDefault="006D4CA7" w:rsidP="00EA25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6974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6D4CA7" w:rsidRPr="00746974" w:rsidRDefault="006D4CA7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746974">
        <w:rPr>
          <w:rFonts w:ascii="Times New Roman" w:hAnsi="Times New Roman" w:cs="Times New Roman"/>
          <w:sz w:val="24"/>
          <w:szCs w:val="24"/>
        </w:rPr>
        <w:t>Na základe § 70 ods. 2 zákona Národnej rady Slovenskej republiky č. 350/1996 Z. z. o</w:t>
      </w:r>
      <w:r w:rsidR="00596C35" w:rsidRPr="00746974">
        <w:rPr>
          <w:rFonts w:ascii="Times New Roman" w:hAnsi="Times New Roman" w:cs="Times New Roman"/>
          <w:sz w:val="24"/>
          <w:szCs w:val="24"/>
        </w:rPr>
        <w:t> </w:t>
      </w:r>
      <w:r w:rsidRPr="00746974">
        <w:rPr>
          <w:rFonts w:ascii="Times New Roman" w:hAnsi="Times New Roman" w:cs="Times New Roman"/>
          <w:sz w:val="24"/>
          <w:szCs w:val="24"/>
        </w:rPr>
        <w:t>rokovacom poriadku Národnej rady Slovenskej republiky</w:t>
      </w:r>
      <w:r w:rsidR="00DD59D0" w:rsidRPr="00746974">
        <w:rPr>
          <w:rFonts w:ascii="Times New Roman" w:hAnsi="Times New Roman" w:cs="Times New Roman"/>
          <w:sz w:val="24"/>
          <w:szCs w:val="24"/>
        </w:rPr>
        <w:t xml:space="preserve"> v znení zákona č. 399/2015 Z. z.</w:t>
      </w:r>
      <w:r w:rsidR="00173EFA"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Pr="00746974">
        <w:rPr>
          <w:rFonts w:ascii="Times New Roman" w:hAnsi="Times New Roman" w:cs="Times New Roman"/>
          <w:sz w:val="24"/>
          <w:szCs w:val="24"/>
        </w:rPr>
        <w:t>Ministerstvo práce, sociálnych vecí a rodiny Slovenskej republiky (ďalej len ,,ministerstvo“)</w:t>
      </w:r>
      <w:r w:rsidR="006B64FC"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="00906EAD" w:rsidRPr="00746974">
        <w:rPr>
          <w:rFonts w:ascii="Times New Roman" w:hAnsi="Times New Roman" w:cs="Times New Roman"/>
          <w:sz w:val="24"/>
          <w:szCs w:val="24"/>
        </w:rPr>
        <w:t xml:space="preserve">ako ústredný orgán štátnej správy pre štátne sociálne dávky </w:t>
      </w:r>
      <w:r w:rsidRPr="00746974">
        <w:rPr>
          <w:rFonts w:ascii="Times New Roman" w:hAnsi="Times New Roman" w:cs="Times New Roman"/>
          <w:sz w:val="24"/>
          <w:szCs w:val="24"/>
        </w:rPr>
        <w:t xml:space="preserve">predkladá na rokovanie </w:t>
      </w:r>
      <w:r w:rsidR="001F4530">
        <w:rPr>
          <w:rFonts w:ascii="Times New Roman" w:hAnsi="Times New Roman" w:cs="Times New Roman"/>
          <w:sz w:val="24"/>
          <w:szCs w:val="24"/>
        </w:rPr>
        <w:t>n</w:t>
      </w:r>
      <w:r w:rsidR="00353CDD">
        <w:rPr>
          <w:rFonts w:ascii="Times New Roman" w:hAnsi="Times New Roman" w:cs="Times New Roman"/>
          <w:sz w:val="24"/>
          <w:szCs w:val="24"/>
        </w:rPr>
        <w:t>ávrh poslankyne</w:t>
      </w:r>
      <w:r w:rsidR="00696877" w:rsidRPr="00746974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353CDD">
        <w:rPr>
          <w:rFonts w:ascii="Times New Roman" w:hAnsi="Times New Roman" w:cs="Times New Roman"/>
          <w:sz w:val="24"/>
          <w:szCs w:val="24"/>
        </w:rPr>
        <w:t>Aleny NOVÁKOVEJ</w:t>
      </w:r>
      <w:r w:rsidR="00696877"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="00353CDD" w:rsidRPr="00353CDD">
        <w:rPr>
          <w:rFonts w:ascii="Times New Roman" w:hAnsi="Times New Roman" w:cs="Times New Roman"/>
          <w:sz w:val="24"/>
          <w:szCs w:val="24"/>
        </w:rPr>
        <w:t>na vydanie zákona, ktorým sa dopĺňa zákon č. 453/2003 Z. z. o orgánoch štátnej správy v oblasti sociálnych vecí, rodiny a služieb zamestnanosti a o zmene a doplnení niektorých zákonov v znení neskorších predpisov</w:t>
      </w:r>
      <w:r w:rsidR="00696877"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Pr="00746974">
        <w:rPr>
          <w:rFonts w:ascii="Times New Roman" w:hAnsi="Times New Roman" w:cs="Times New Roman"/>
          <w:sz w:val="24"/>
          <w:szCs w:val="24"/>
        </w:rPr>
        <w:t xml:space="preserve">(tlač </w:t>
      </w:r>
      <w:r w:rsidR="00353CDD">
        <w:rPr>
          <w:rFonts w:ascii="Times New Roman" w:hAnsi="Times New Roman" w:cs="Times New Roman"/>
          <w:sz w:val="24"/>
          <w:szCs w:val="24"/>
        </w:rPr>
        <w:t>415</w:t>
      </w:r>
      <w:r w:rsidRPr="00746974">
        <w:rPr>
          <w:rFonts w:ascii="Times New Roman" w:hAnsi="Times New Roman" w:cs="Times New Roman"/>
          <w:sz w:val="24"/>
          <w:szCs w:val="24"/>
        </w:rPr>
        <w:t>).</w:t>
      </w:r>
    </w:p>
    <w:p w:rsidR="006D4CA7" w:rsidRPr="00746974" w:rsidRDefault="006D4CA7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746974">
        <w:rPr>
          <w:rFonts w:ascii="Times New Roman" w:hAnsi="Times New Roman" w:cs="Times New Roman"/>
          <w:sz w:val="24"/>
          <w:szCs w:val="24"/>
        </w:rPr>
        <w:t>Ministerstvo k</w:t>
      </w:r>
      <w:r w:rsidR="006B64FC" w:rsidRPr="00746974">
        <w:rPr>
          <w:rFonts w:ascii="Times New Roman" w:hAnsi="Times New Roman" w:cs="Times New Roman"/>
          <w:sz w:val="24"/>
          <w:szCs w:val="24"/>
        </w:rPr>
        <w:t xml:space="preserve"> predloženému </w:t>
      </w:r>
      <w:r w:rsidRPr="00746974">
        <w:rPr>
          <w:rFonts w:ascii="Times New Roman" w:hAnsi="Times New Roman" w:cs="Times New Roman"/>
          <w:sz w:val="24"/>
          <w:szCs w:val="24"/>
        </w:rPr>
        <w:t>poslaneckému návrhu uvádza nasledovné:</w:t>
      </w:r>
    </w:p>
    <w:p w:rsidR="006D4CA7" w:rsidRPr="00746974" w:rsidRDefault="006D4CA7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74">
        <w:rPr>
          <w:rFonts w:ascii="Times New Roman" w:hAnsi="Times New Roman" w:cs="Times New Roman"/>
          <w:b/>
          <w:sz w:val="24"/>
          <w:szCs w:val="24"/>
        </w:rPr>
        <w:t>Všeobecne</w:t>
      </w:r>
    </w:p>
    <w:p w:rsidR="00C53FB7" w:rsidRPr="00746974" w:rsidRDefault="00C53FB7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746974">
        <w:rPr>
          <w:rFonts w:ascii="Times New Roman" w:hAnsi="Times New Roman" w:cs="Times New Roman"/>
          <w:sz w:val="24"/>
          <w:szCs w:val="24"/>
        </w:rPr>
        <w:t xml:space="preserve">Cieľom poslaneckého návrhu je </w:t>
      </w:r>
      <w:r w:rsidR="00F06606">
        <w:rPr>
          <w:rFonts w:ascii="Times New Roman" w:hAnsi="Times New Roman" w:cs="Times New Roman"/>
          <w:sz w:val="24"/>
          <w:szCs w:val="24"/>
        </w:rPr>
        <w:t>určenie územných sídiel úradov práce, sociálnych vecí a rodiny pre výkon agendy koordinácie rodinných dávok v rámci Európskej únie</w:t>
      </w:r>
      <w:r w:rsidR="00696877" w:rsidRPr="007469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32" w:rsidRPr="00746974" w:rsidRDefault="00CE7132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74">
        <w:rPr>
          <w:rFonts w:ascii="Times New Roman" w:hAnsi="Times New Roman" w:cs="Times New Roman"/>
          <w:b/>
          <w:sz w:val="24"/>
          <w:szCs w:val="24"/>
        </w:rPr>
        <w:t>Stanovisko</w:t>
      </w:r>
    </w:p>
    <w:p w:rsidR="00944CD3" w:rsidRDefault="00696877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746974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B92B25" w:rsidRPr="00746974">
        <w:rPr>
          <w:rFonts w:ascii="Times New Roman" w:hAnsi="Times New Roman" w:cs="Times New Roman"/>
          <w:sz w:val="24"/>
          <w:szCs w:val="24"/>
        </w:rPr>
        <w:t xml:space="preserve">akceptuje </w:t>
      </w:r>
      <w:r w:rsidRPr="00746974">
        <w:rPr>
          <w:rFonts w:ascii="Times New Roman" w:hAnsi="Times New Roman" w:cs="Times New Roman"/>
          <w:sz w:val="24"/>
          <w:szCs w:val="24"/>
        </w:rPr>
        <w:t xml:space="preserve">návrh </w:t>
      </w:r>
      <w:r w:rsidR="005B6D74">
        <w:rPr>
          <w:rFonts w:ascii="Times New Roman" w:hAnsi="Times New Roman" w:cs="Times New Roman"/>
          <w:sz w:val="24"/>
          <w:szCs w:val="24"/>
        </w:rPr>
        <w:t>poslankyne</w:t>
      </w:r>
      <w:r w:rsidR="005B6D74" w:rsidRPr="00746974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5B6D74">
        <w:rPr>
          <w:rFonts w:ascii="Times New Roman" w:hAnsi="Times New Roman" w:cs="Times New Roman"/>
          <w:sz w:val="24"/>
          <w:szCs w:val="24"/>
        </w:rPr>
        <w:t>Aleny NOVÁKOVEJ</w:t>
      </w:r>
      <w:r w:rsidR="005B6D74"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="005B6D74" w:rsidRPr="00353CDD">
        <w:rPr>
          <w:rFonts w:ascii="Times New Roman" w:hAnsi="Times New Roman" w:cs="Times New Roman"/>
          <w:sz w:val="24"/>
          <w:szCs w:val="24"/>
        </w:rPr>
        <w:t>na vydanie zákona, ktorým sa dopĺňa zákon č. 453/2003 Z. z. o orgánoch štátnej správy v oblasti sociálnych vecí, rodiny a služieb zamestnanosti a o zmene a doplnení niektorých zákonov v znení neskorších predpisov</w:t>
      </w:r>
      <w:r w:rsidR="005B6D74" w:rsidRPr="00746974">
        <w:rPr>
          <w:rFonts w:ascii="Times New Roman" w:hAnsi="Times New Roman" w:cs="Times New Roman"/>
          <w:sz w:val="24"/>
          <w:szCs w:val="24"/>
        </w:rPr>
        <w:t xml:space="preserve"> (tlač </w:t>
      </w:r>
      <w:r w:rsidR="005B6D74">
        <w:rPr>
          <w:rFonts w:ascii="Times New Roman" w:hAnsi="Times New Roman" w:cs="Times New Roman"/>
          <w:sz w:val="24"/>
          <w:szCs w:val="24"/>
        </w:rPr>
        <w:t>415</w:t>
      </w:r>
      <w:r w:rsidR="005B6D74" w:rsidRPr="00746974">
        <w:rPr>
          <w:rFonts w:ascii="Times New Roman" w:hAnsi="Times New Roman" w:cs="Times New Roman"/>
          <w:sz w:val="24"/>
          <w:szCs w:val="24"/>
        </w:rPr>
        <w:t>)</w:t>
      </w:r>
      <w:r w:rsidRPr="00746974">
        <w:rPr>
          <w:rFonts w:ascii="Times New Roman" w:hAnsi="Times New Roman" w:cs="Times New Roman"/>
          <w:sz w:val="24"/>
          <w:szCs w:val="24"/>
        </w:rPr>
        <w:t xml:space="preserve">, </w:t>
      </w:r>
      <w:r w:rsidR="005B6D74">
        <w:rPr>
          <w:rFonts w:ascii="Times New Roman" w:hAnsi="Times New Roman" w:cs="Times New Roman"/>
          <w:sz w:val="24"/>
          <w:szCs w:val="24"/>
        </w:rPr>
        <w:t xml:space="preserve">ktorým sa </w:t>
      </w:r>
      <w:r w:rsidR="005B6D74" w:rsidRPr="005B6D74">
        <w:rPr>
          <w:rFonts w:ascii="Times New Roman" w:hAnsi="Times New Roman" w:cs="Times New Roman"/>
          <w:sz w:val="24"/>
          <w:szCs w:val="24"/>
        </w:rPr>
        <w:t>navrhuje prechodne  upraviť miestnu príslušnosť úradov práce, sociálnych vecí a rodiny v oblasti agendy koordinácie rodinných dávok v rámci Európskej únie.</w:t>
      </w:r>
      <w:r w:rsidR="005B6D74">
        <w:rPr>
          <w:rFonts w:ascii="Times New Roman" w:hAnsi="Times New Roman" w:cs="Times New Roman"/>
          <w:sz w:val="24"/>
          <w:szCs w:val="24"/>
        </w:rPr>
        <w:t xml:space="preserve"> Predmetným návrhom sa zefektívni výkon štátnej správy v oblasti </w:t>
      </w:r>
      <w:r w:rsidR="00F06606">
        <w:rPr>
          <w:rFonts w:ascii="Times New Roman" w:hAnsi="Times New Roman" w:cs="Times New Roman"/>
          <w:sz w:val="24"/>
          <w:szCs w:val="24"/>
        </w:rPr>
        <w:t xml:space="preserve">agendy koordinácie rodinných dávok v rámci Európskej únie. </w:t>
      </w:r>
    </w:p>
    <w:p w:rsidR="00E30AD3" w:rsidRDefault="00E30AD3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AD3">
        <w:rPr>
          <w:rFonts w:ascii="Times New Roman" w:hAnsi="Times New Roman" w:cs="Times New Roman"/>
          <w:sz w:val="24"/>
          <w:szCs w:val="24"/>
        </w:rPr>
        <w:t>Ministerstvo prerokovalo svoje stanovisko k poslaneckému</w:t>
      </w:r>
      <w:r>
        <w:rPr>
          <w:rFonts w:ascii="Times New Roman" w:hAnsi="Times New Roman" w:cs="Times New Roman"/>
          <w:sz w:val="24"/>
          <w:szCs w:val="24"/>
        </w:rPr>
        <w:t xml:space="preserve"> návrhu zákona v súlade s čl. 32</w:t>
      </w:r>
      <w:r w:rsidRPr="00E30AD3">
        <w:rPr>
          <w:rFonts w:ascii="Times New Roman" w:hAnsi="Times New Roman" w:cs="Times New Roman"/>
          <w:sz w:val="24"/>
          <w:szCs w:val="24"/>
        </w:rPr>
        <w:t xml:space="preserve"> Legislatívnych pravidiel vlády Slovenskej republiky v pripomienkovom konaní. V rámci pripomienkového konania bola Ministerstvom financií Slovenskej republiky uplatnená </w:t>
      </w:r>
      <w:r w:rsidR="00EA2594" w:rsidRPr="00E30AD3">
        <w:rPr>
          <w:rFonts w:ascii="Times New Roman" w:hAnsi="Times New Roman" w:cs="Times New Roman"/>
          <w:sz w:val="24"/>
          <w:szCs w:val="24"/>
        </w:rPr>
        <w:t>n</w:t>
      </w:r>
      <w:r w:rsidR="00EA2594">
        <w:rPr>
          <w:rFonts w:ascii="Times New Roman" w:hAnsi="Times New Roman" w:cs="Times New Roman"/>
          <w:sz w:val="24"/>
          <w:szCs w:val="24"/>
        </w:rPr>
        <w:t xml:space="preserve">asledujúca </w:t>
      </w:r>
      <w:r>
        <w:rPr>
          <w:rFonts w:ascii="Times New Roman" w:hAnsi="Times New Roman" w:cs="Times New Roman"/>
          <w:sz w:val="24"/>
          <w:szCs w:val="24"/>
        </w:rPr>
        <w:t xml:space="preserve">zásadná pripomienka: </w:t>
      </w:r>
      <w:r w:rsidRPr="00852E3C">
        <w:rPr>
          <w:rFonts w:ascii="Times New Roman" w:hAnsi="Times New Roman" w:cs="Times New Roman"/>
          <w:i/>
          <w:sz w:val="24"/>
          <w:szCs w:val="24"/>
        </w:rPr>
        <w:t>„Keďže Ministerstvo práce, sociálnych vecí a rodiny SR (ďalej len „ministerstvo práce“) navrhuje vláde Slovenskej republiky vysloviť súhlas s poslaneckým návrhom zákona, žiadame, aby ministerstvo práce v predkladacej správe jednoznačne uviedlo, či z poslaneckého návrhu zákona nevyplývajú negatívne vplyvy na rozpočet kapitoly ministerstva práce v súvislosti s reorganizáciou agendy a vytvorením špecializovaných pracovísk venujúcich sa výlučne agende koordinácie rodinných dávok v rámci Európskej únie na vybraných úradoch práce, sociálnych vecí a rodiny. Upozorňujeme, že v prípade identifikovaných vplyvov na rozpočet verejnej správy musia byť všetky predpokladané vplyvy zabezpečené v rámci schválených limitov kapitoly ministerstva práce na príslušné rozpočtové roky, bez dodatočných požiadaviek na štátny rozpočet.“.</w:t>
      </w:r>
    </w:p>
    <w:p w:rsidR="00E30AD3" w:rsidRDefault="00E30AD3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E30AD3">
        <w:rPr>
          <w:rFonts w:ascii="Times New Roman" w:hAnsi="Times New Roman" w:cs="Times New Roman"/>
          <w:sz w:val="24"/>
          <w:szCs w:val="24"/>
        </w:rPr>
        <w:t>Ministerstvo k predmetnej pripomienke uvádza, že</w:t>
      </w:r>
      <w:r w:rsidR="00952AA9">
        <w:rPr>
          <w:rFonts w:ascii="Times New Roman" w:hAnsi="Times New Roman" w:cs="Times New Roman"/>
          <w:sz w:val="24"/>
          <w:szCs w:val="24"/>
        </w:rPr>
        <w:t xml:space="preserve"> </w:t>
      </w:r>
      <w:r w:rsidR="00952AA9" w:rsidRPr="00952AA9">
        <w:rPr>
          <w:rFonts w:ascii="Times New Roman" w:hAnsi="Times New Roman" w:cs="Times New Roman"/>
          <w:sz w:val="24"/>
          <w:szCs w:val="24"/>
        </w:rPr>
        <w:t>právna úprava, ktorá je predmetom poslaneckého návrhu nemá vplyv na rozpočet kapitoly ministerstva práce v súvislosti s reorganizáciou agendy a vytvorením špecializovaných pracovísk venujúcich sa výlučne agende koordinácie rodinných dávok v rámci Európskej únie na vybraných úradoch práce, sociálnych vecí a rodiny.</w:t>
      </w:r>
    </w:p>
    <w:p w:rsidR="00CE7132" w:rsidRPr="00746974" w:rsidRDefault="00CE7132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74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E30AD3" w:rsidRPr="00746974" w:rsidRDefault="004613D7" w:rsidP="00EA2594">
      <w:pPr>
        <w:spacing w:before="120" w:after="12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746974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B92B25" w:rsidRPr="00746974">
        <w:rPr>
          <w:rFonts w:ascii="Times New Roman" w:hAnsi="Times New Roman" w:cs="Times New Roman"/>
          <w:sz w:val="24"/>
          <w:szCs w:val="24"/>
        </w:rPr>
        <w:t xml:space="preserve">vyššie </w:t>
      </w:r>
      <w:r w:rsidRPr="00746974">
        <w:rPr>
          <w:rFonts w:ascii="Times New Roman" w:hAnsi="Times New Roman" w:cs="Times New Roman"/>
          <w:sz w:val="24"/>
          <w:szCs w:val="24"/>
        </w:rPr>
        <w:t>uvedené</w:t>
      </w:r>
      <w:r w:rsidR="00B92B25" w:rsidRPr="00746974">
        <w:rPr>
          <w:rFonts w:ascii="Times New Roman" w:hAnsi="Times New Roman" w:cs="Times New Roman"/>
          <w:sz w:val="24"/>
          <w:szCs w:val="24"/>
        </w:rPr>
        <w:t xml:space="preserve"> skutočnosti</w:t>
      </w:r>
      <w:r w:rsidRPr="00746974">
        <w:rPr>
          <w:rFonts w:ascii="Times New Roman" w:hAnsi="Times New Roman" w:cs="Times New Roman"/>
          <w:sz w:val="24"/>
          <w:szCs w:val="24"/>
        </w:rPr>
        <w:t>, ministerstvo odporúča vláde Slovenskej republiky vysloviť s</w:t>
      </w:r>
      <w:r w:rsidR="005272E7" w:rsidRPr="00746974">
        <w:rPr>
          <w:rFonts w:ascii="Times New Roman" w:hAnsi="Times New Roman" w:cs="Times New Roman"/>
          <w:sz w:val="24"/>
          <w:szCs w:val="24"/>
        </w:rPr>
        <w:t> </w:t>
      </w:r>
      <w:r w:rsidR="00353CDD">
        <w:rPr>
          <w:rFonts w:ascii="Times New Roman" w:hAnsi="Times New Roman" w:cs="Times New Roman"/>
          <w:sz w:val="24"/>
          <w:szCs w:val="24"/>
        </w:rPr>
        <w:t>návrhom poslankyne</w:t>
      </w:r>
      <w:r w:rsidR="00353CDD" w:rsidRPr="00746974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353CDD">
        <w:rPr>
          <w:rFonts w:ascii="Times New Roman" w:hAnsi="Times New Roman" w:cs="Times New Roman"/>
          <w:sz w:val="24"/>
          <w:szCs w:val="24"/>
        </w:rPr>
        <w:t>Aleny NOVÁKOVEJ</w:t>
      </w:r>
      <w:r w:rsidR="00353CDD"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="00353CDD" w:rsidRPr="00353CDD">
        <w:rPr>
          <w:rFonts w:ascii="Times New Roman" w:hAnsi="Times New Roman" w:cs="Times New Roman"/>
          <w:sz w:val="24"/>
          <w:szCs w:val="24"/>
        </w:rPr>
        <w:t>na vydanie zákona, ktorým sa dopĺňa zákon č. 453/2003 Z. z. o orgánoch štátnej správy v oblasti sociálnych vecí, rodiny a služieb zamestnanosti a o zmene a doplnení niektorých zákonov v znení neskorších predpisov</w:t>
      </w:r>
      <w:r w:rsidR="00353CDD" w:rsidRPr="00746974">
        <w:rPr>
          <w:rFonts w:ascii="Times New Roman" w:hAnsi="Times New Roman" w:cs="Times New Roman"/>
          <w:sz w:val="24"/>
          <w:szCs w:val="24"/>
        </w:rPr>
        <w:t xml:space="preserve"> (tlač </w:t>
      </w:r>
      <w:r w:rsidR="00353CDD">
        <w:rPr>
          <w:rFonts w:ascii="Times New Roman" w:hAnsi="Times New Roman" w:cs="Times New Roman"/>
          <w:sz w:val="24"/>
          <w:szCs w:val="24"/>
        </w:rPr>
        <w:t>415</w:t>
      </w:r>
      <w:r w:rsidR="00353CDD" w:rsidRPr="00746974">
        <w:rPr>
          <w:rFonts w:ascii="Times New Roman" w:hAnsi="Times New Roman" w:cs="Times New Roman"/>
          <w:sz w:val="24"/>
          <w:szCs w:val="24"/>
        </w:rPr>
        <w:t>)</w:t>
      </w:r>
      <w:r w:rsidRPr="00746974">
        <w:rPr>
          <w:rFonts w:ascii="Times New Roman" w:hAnsi="Times New Roman" w:cs="Times New Roman"/>
          <w:sz w:val="24"/>
          <w:szCs w:val="24"/>
        </w:rPr>
        <w:t xml:space="preserve"> </w:t>
      </w:r>
      <w:r w:rsidRPr="00746974">
        <w:rPr>
          <w:rFonts w:ascii="Times New Roman" w:hAnsi="Times New Roman" w:cs="Times New Roman"/>
          <w:b/>
          <w:sz w:val="24"/>
          <w:szCs w:val="24"/>
        </w:rPr>
        <w:t>súhlas</w:t>
      </w:r>
      <w:r w:rsidR="00353CD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30AD3" w:rsidRPr="007469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B2" w:rsidRDefault="004D19B2" w:rsidP="000A124C">
      <w:pPr>
        <w:spacing w:after="0" w:line="240" w:lineRule="auto"/>
      </w:pPr>
      <w:r>
        <w:separator/>
      </w:r>
    </w:p>
  </w:endnote>
  <w:endnote w:type="continuationSeparator" w:id="0">
    <w:p w:rsidR="004D19B2" w:rsidRDefault="004D19B2" w:rsidP="000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553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124C" w:rsidRPr="000A124C" w:rsidRDefault="000A124C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2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12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12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177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A12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124C" w:rsidRDefault="000A12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B2" w:rsidRDefault="004D19B2" w:rsidP="000A124C">
      <w:pPr>
        <w:spacing w:after="0" w:line="240" w:lineRule="auto"/>
      </w:pPr>
      <w:r>
        <w:separator/>
      </w:r>
    </w:p>
  </w:footnote>
  <w:footnote w:type="continuationSeparator" w:id="0">
    <w:p w:rsidR="004D19B2" w:rsidRDefault="004D19B2" w:rsidP="000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A06"/>
    <w:multiLevelType w:val="hybridMultilevel"/>
    <w:tmpl w:val="BD48F4C2"/>
    <w:lvl w:ilvl="0" w:tplc="8A927B04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C5D7C7F"/>
    <w:multiLevelType w:val="hybridMultilevel"/>
    <w:tmpl w:val="87B824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E3E"/>
    <w:multiLevelType w:val="hybridMultilevel"/>
    <w:tmpl w:val="75CEC50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E0526"/>
    <w:multiLevelType w:val="hybridMultilevel"/>
    <w:tmpl w:val="90741E82"/>
    <w:lvl w:ilvl="0" w:tplc="0B229A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157CA"/>
    <w:multiLevelType w:val="hybridMultilevel"/>
    <w:tmpl w:val="218C6318"/>
    <w:lvl w:ilvl="0" w:tplc="E640B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6207"/>
    <w:multiLevelType w:val="hybridMultilevel"/>
    <w:tmpl w:val="E736941E"/>
    <w:lvl w:ilvl="0" w:tplc="7458C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FA5FB1"/>
    <w:multiLevelType w:val="hybridMultilevel"/>
    <w:tmpl w:val="64E2CC2C"/>
    <w:lvl w:ilvl="0" w:tplc="337C72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EA43F0"/>
    <w:multiLevelType w:val="hybridMultilevel"/>
    <w:tmpl w:val="FEF46D2A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A07E7"/>
    <w:multiLevelType w:val="hybridMultilevel"/>
    <w:tmpl w:val="5E5AFC94"/>
    <w:lvl w:ilvl="0" w:tplc="4D202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4"/>
    <w:rsid w:val="000161BF"/>
    <w:rsid w:val="00032D06"/>
    <w:rsid w:val="0004600D"/>
    <w:rsid w:val="00046638"/>
    <w:rsid w:val="00074364"/>
    <w:rsid w:val="00081C2B"/>
    <w:rsid w:val="000821DC"/>
    <w:rsid w:val="000A124C"/>
    <w:rsid w:val="000B17FF"/>
    <w:rsid w:val="000B4479"/>
    <w:rsid w:val="000D05D4"/>
    <w:rsid w:val="00112DEE"/>
    <w:rsid w:val="0012263B"/>
    <w:rsid w:val="00173EFA"/>
    <w:rsid w:val="001808C9"/>
    <w:rsid w:val="001947D5"/>
    <w:rsid w:val="001D7288"/>
    <w:rsid w:val="001F4530"/>
    <w:rsid w:val="00244263"/>
    <w:rsid w:val="00244619"/>
    <w:rsid w:val="0024558E"/>
    <w:rsid w:val="00272230"/>
    <w:rsid w:val="00280C2B"/>
    <w:rsid w:val="002D7DC4"/>
    <w:rsid w:val="002E060E"/>
    <w:rsid w:val="002E1EE8"/>
    <w:rsid w:val="002F0453"/>
    <w:rsid w:val="003246B2"/>
    <w:rsid w:val="00346C55"/>
    <w:rsid w:val="00353CDD"/>
    <w:rsid w:val="00361F95"/>
    <w:rsid w:val="00362BE7"/>
    <w:rsid w:val="003714FC"/>
    <w:rsid w:val="003760C6"/>
    <w:rsid w:val="00383E2D"/>
    <w:rsid w:val="00387BC4"/>
    <w:rsid w:val="003947CA"/>
    <w:rsid w:val="003A2AAE"/>
    <w:rsid w:val="003C2E68"/>
    <w:rsid w:val="003F1894"/>
    <w:rsid w:val="00404CFC"/>
    <w:rsid w:val="00433950"/>
    <w:rsid w:val="004613D7"/>
    <w:rsid w:val="00494192"/>
    <w:rsid w:val="004D19B2"/>
    <w:rsid w:val="004D3C5B"/>
    <w:rsid w:val="004E7EFA"/>
    <w:rsid w:val="00502CF1"/>
    <w:rsid w:val="005066D7"/>
    <w:rsid w:val="005143FE"/>
    <w:rsid w:val="005226D0"/>
    <w:rsid w:val="005272E7"/>
    <w:rsid w:val="0053355A"/>
    <w:rsid w:val="005342FF"/>
    <w:rsid w:val="0055023E"/>
    <w:rsid w:val="0056309A"/>
    <w:rsid w:val="00596C35"/>
    <w:rsid w:val="005A177F"/>
    <w:rsid w:val="005B6D74"/>
    <w:rsid w:val="005C1D89"/>
    <w:rsid w:val="005C4A0C"/>
    <w:rsid w:val="00637694"/>
    <w:rsid w:val="006426D3"/>
    <w:rsid w:val="006524D3"/>
    <w:rsid w:val="00696877"/>
    <w:rsid w:val="006B64FC"/>
    <w:rsid w:val="006C3FF2"/>
    <w:rsid w:val="006D4CA7"/>
    <w:rsid w:val="006E1A46"/>
    <w:rsid w:val="006F53B5"/>
    <w:rsid w:val="00712C4F"/>
    <w:rsid w:val="007355F4"/>
    <w:rsid w:val="007419DE"/>
    <w:rsid w:val="00746974"/>
    <w:rsid w:val="00776FE5"/>
    <w:rsid w:val="007854A4"/>
    <w:rsid w:val="00785CBE"/>
    <w:rsid w:val="00790FC9"/>
    <w:rsid w:val="007C773E"/>
    <w:rsid w:val="00801220"/>
    <w:rsid w:val="00801732"/>
    <w:rsid w:val="00806744"/>
    <w:rsid w:val="00833D47"/>
    <w:rsid w:val="00837B8B"/>
    <w:rsid w:val="00841944"/>
    <w:rsid w:val="00852E3C"/>
    <w:rsid w:val="0086100D"/>
    <w:rsid w:val="00865D30"/>
    <w:rsid w:val="008D3595"/>
    <w:rsid w:val="008D669D"/>
    <w:rsid w:val="00906EAD"/>
    <w:rsid w:val="00914D71"/>
    <w:rsid w:val="009307B5"/>
    <w:rsid w:val="009327F2"/>
    <w:rsid w:val="00944CD3"/>
    <w:rsid w:val="00952AA9"/>
    <w:rsid w:val="00963455"/>
    <w:rsid w:val="00964885"/>
    <w:rsid w:val="00974292"/>
    <w:rsid w:val="009B3045"/>
    <w:rsid w:val="009E5798"/>
    <w:rsid w:val="00A059D4"/>
    <w:rsid w:val="00A05A7A"/>
    <w:rsid w:val="00A632D8"/>
    <w:rsid w:val="00A6670E"/>
    <w:rsid w:val="00A803D9"/>
    <w:rsid w:val="00A9723A"/>
    <w:rsid w:val="00B1705B"/>
    <w:rsid w:val="00B17418"/>
    <w:rsid w:val="00B272DD"/>
    <w:rsid w:val="00B6365B"/>
    <w:rsid w:val="00B726E7"/>
    <w:rsid w:val="00B834E4"/>
    <w:rsid w:val="00B92B25"/>
    <w:rsid w:val="00C001A7"/>
    <w:rsid w:val="00C05500"/>
    <w:rsid w:val="00C27C97"/>
    <w:rsid w:val="00C45324"/>
    <w:rsid w:val="00C53FB7"/>
    <w:rsid w:val="00C56EA5"/>
    <w:rsid w:val="00C74A15"/>
    <w:rsid w:val="00C76D1F"/>
    <w:rsid w:val="00CD1FDD"/>
    <w:rsid w:val="00CE189B"/>
    <w:rsid w:val="00CE7132"/>
    <w:rsid w:val="00CE7C00"/>
    <w:rsid w:val="00CF2F34"/>
    <w:rsid w:val="00CF4A2E"/>
    <w:rsid w:val="00D02053"/>
    <w:rsid w:val="00D223A2"/>
    <w:rsid w:val="00D22B45"/>
    <w:rsid w:val="00D33982"/>
    <w:rsid w:val="00D4081F"/>
    <w:rsid w:val="00D408BD"/>
    <w:rsid w:val="00D462AD"/>
    <w:rsid w:val="00D527CA"/>
    <w:rsid w:val="00D60D8E"/>
    <w:rsid w:val="00D63207"/>
    <w:rsid w:val="00D73165"/>
    <w:rsid w:val="00D73BE0"/>
    <w:rsid w:val="00D818CB"/>
    <w:rsid w:val="00D82C48"/>
    <w:rsid w:val="00DD59D0"/>
    <w:rsid w:val="00E30AD3"/>
    <w:rsid w:val="00E82CAB"/>
    <w:rsid w:val="00EA2594"/>
    <w:rsid w:val="00EC5E09"/>
    <w:rsid w:val="00F04C4A"/>
    <w:rsid w:val="00F06606"/>
    <w:rsid w:val="00F32BB2"/>
    <w:rsid w:val="00F40B7B"/>
    <w:rsid w:val="00F42EBB"/>
    <w:rsid w:val="00F63662"/>
    <w:rsid w:val="00FC4450"/>
    <w:rsid w:val="00FD2387"/>
    <w:rsid w:val="00FF11B0"/>
    <w:rsid w:val="1BD33BB7"/>
    <w:rsid w:val="39F97A81"/>
    <w:rsid w:val="46A72311"/>
    <w:rsid w:val="581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0B1AA-54E8-49AA-BE21-CC6DD1C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4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6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404CFC"/>
  </w:style>
  <w:style w:type="character" w:customStyle="1" w:styleId="Nadpis1Char">
    <w:name w:val="Nadpis 1 Char"/>
    <w:basedOn w:val="Predvolenpsmoodseku"/>
    <w:link w:val="Nadpis1"/>
    <w:uiPriority w:val="9"/>
    <w:rsid w:val="006D4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ekzoznamu">
    <w:name w:val="List Paragraph"/>
    <w:basedOn w:val="Normlny"/>
    <w:uiPriority w:val="99"/>
    <w:unhideWhenUsed/>
    <w:rsid w:val="00CE7C0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968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A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24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24C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A803D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9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01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7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4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33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AC938-BD33-4DCB-AC63-E645598C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Kováčiková Martina</dc:creator>
  <cp:lastModifiedBy>Uhliarová Alžbeta</cp:lastModifiedBy>
  <cp:revision>3</cp:revision>
  <cp:lastPrinted>2024-07-04T07:37:00Z</cp:lastPrinted>
  <dcterms:created xsi:type="dcterms:W3CDTF">2024-10-15T08:38:00Z</dcterms:created>
  <dcterms:modified xsi:type="dcterms:W3CDTF">2024-10-15T08:38:00Z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