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A5FA9" w14:textId="0971A7D2" w:rsidR="009D4C44" w:rsidRPr="00B627C8" w:rsidRDefault="009D4C44" w:rsidP="009D4C44">
      <w:pPr>
        <w:rPr>
          <w:rFonts w:ascii="Times New Roman" w:eastAsia="Times New Roman" w:hAnsi="Times New Roman" w:cs="Times New Roman"/>
          <w:lang w:eastAsia="en-GB"/>
        </w:rPr>
      </w:pPr>
      <w:r w:rsidRPr="00B627C8">
        <w:rPr>
          <w:rFonts w:ascii="Times New Roman" w:eastAsia="Times New Roman" w:hAnsi="Times New Roman" w:cs="Times New Roman"/>
          <w:b/>
          <w:bCs/>
          <w:color w:val="000000"/>
          <w:lang w:eastAsia="en-GB"/>
        </w:rPr>
        <w:t>B.</w:t>
      </w:r>
      <w:r w:rsidR="00B14416">
        <w:rPr>
          <w:rFonts w:ascii="Times New Roman" w:eastAsia="Times New Roman" w:hAnsi="Times New Roman" w:cs="Times New Roman"/>
          <w:b/>
          <w:bCs/>
          <w:color w:val="000000"/>
          <w:lang w:eastAsia="en-GB"/>
        </w:rPr>
        <w:t xml:space="preserve"> </w:t>
      </w:r>
      <w:r w:rsidRPr="00B627C8">
        <w:rPr>
          <w:rFonts w:ascii="Times New Roman" w:eastAsia="Times New Roman" w:hAnsi="Times New Roman" w:cs="Times New Roman"/>
          <w:b/>
          <w:bCs/>
          <w:color w:val="000000"/>
          <w:lang w:eastAsia="en-GB"/>
        </w:rPr>
        <w:t>Osobitná časť</w:t>
      </w:r>
    </w:p>
    <w:p w14:paraId="3724A871" w14:textId="77777777" w:rsidR="0000345E" w:rsidRPr="00B627C8" w:rsidRDefault="0000345E" w:rsidP="0000345E">
      <w:pPr>
        <w:rPr>
          <w:rFonts w:ascii="Times New Roman" w:eastAsia="Times New Roman" w:hAnsi="Times New Roman" w:cs="Times New Roman"/>
          <w:lang w:eastAsia="en-GB"/>
        </w:rPr>
      </w:pPr>
    </w:p>
    <w:p w14:paraId="5C0C323A" w14:textId="77777777" w:rsidR="00B627C8" w:rsidRPr="00B627C8" w:rsidRDefault="00B627C8" w:rsidP="00B627C8">
      <w:pPr>
        <w:jc w:val="both"/>
        <w:rPr>
          <w:rFonts w:ascii="Times New Roman" w:hAnsi="Times New Roman" w:cs="Times New Roman"/>
          <w:b/>
          <w:bCs/>
        </w:rPr>
      </w:pPr>
      <w:r w:rsidRPr="00B627C8">
        <w:rPr>
          <w:rFonts w:ascii="Times New Roman" w:hAnsi="Times New Roman" w:cs="Times New Roman"/>
          <w:b/>
          <w:bCs/>
        </w:rPr>
        <w:t>K čl. I </w:t>
      </w:r>
    </w:p>
    <w:p w14:paraId="5AEFB176" w14:textId="77777777" w:rsidR="00B627C8" w:rsidRPr="00B627C8" w:rsidRDefault="00B627C8" w:rsidP="00B627C8">
      <w:pPr>
        <w:jc w:val="both"/>
        <w:rPr>
          <w:rFonts w:ascii="Times New Roman" w:hAnsi="Times New Roman" w:cs="Times New Roman"/>
          <w:b/>
          <w:bCs/>
        </w:rPr>
      </w:pPr>
      <w:r w:rsidRPr="00B627C8">
        <w:rPr>
          <w:rFonts w:ascii="Times New Roman" w:hAnsi="Times New Roman" w:cs="Times New Roman"/>
          <w:b/>
          <w:bCs/>
        </w:rPr>
        <w:t>K bodu 1, 2, 13, 15, 16 a 20</w:t>
      </w:r>
    </w:p>
    <w:p w14:paraId="3877E644" w14:textId="77777777" w:rsidR="00B627C8" w:rsidRPr="00B627C8" w:rsidRDefault="00B627C8" w:rsidP="00B627C8">
      <w:pPr>
        <w:jc w:val="both"/>
        <w:rPr>
          <w:rFonts w:ascii="Times New Roman" w:hAnsi="Times New Roman" w:cs="Times New Roman"/>
          <w:iCs/>
          <w:color w:val="000000"/>
        </w:rPr>
      </w:pPr>
      <w:r w:rsidRPr="00B627C8">
        <w:rPr>
          <w:rFonts w:ascii="Times New Roman" w:hAnsi="Times New Roman" w:cs="Times New Roman"/>
          <w:iCs/>
          <w:color w:val="000000"/>
        </w:rPr>
        <w:t>V súčasnosti sú zamestnávatelia  povinní podľa § 231 ods. 1 písm. j) zákona č. 461/2003 Z. z. evidovať údaje súvisiace s pracovnoprávnym vzťahom svojich zamestnancov na účely ich dôchodkového poistenia. Túto evidenciu sú následne povinní predkladať Sociálnej poisťovni na formulári, ktorý bol vytvorený tak, aby obsahoval nevyhnutne potrebné údaje za jednotlivé kalendárne roky, teda vo formáte priamo použiteľnom na rozhodovanie o nároku na dôchodok. Ide o formulár, evidenčný list dôchodkového poistenia (ELDP), ktorý zamestnávatelia od januára 2016 môžu posielať v elektronickej forme. V súčasnosti viac ako 80 % zamestnávateľov vyhotovuje ELDP plne automatizovane, bez potreby jeho manuálneho vyplnenia.</w:t>
      </w:r>
    </w:p>
    <w:p w14:paraId="6AC995D8" w14:textId="77777777" w:rsidR="00B627C8" w:rsidRPr="00B627C8" w:rsidRDefault="00B627C8" w:rsidP="00B627C8">
      <w:pPr>
        <w:jc w:val="both"/>
        <w:rPr>
          <w:rFonts w:ascii="Times New Roman" w:hAnsi="Times New Roman" w:cs="Times New Roman"/>
          <w:iCs/>
          <w:color w:val="000000"/>
        </w:rPr>
      </w:pPr>
      <w:r w:rsidRPr="00B627C8">
        <w:rPr>
          <w:rFonts w:ascii="Times New Roman" w:hAnsi="Times New Roman" w:cs="Times New Roman"/>
          <w:iCs/>
          <w:color w:val="000000"/>
        </w:rPr>
        <w:t>S účinnosťou od 1. januára 2026 sa navrhuje ďalšia racionalizácia v tejto oblasti, a to zrušenie povinnosti zamestnávateľa viesť a predkladať na formulároch ELDP osobitnú evidenciu údajov na účely dôchodkového poistenia zamestnanca (vypustenie ustanovenia § 231 ods. 1 písm. j) zákona č. 461/2003 Z. z.).</w:t>
      </w:r>
    </w:p>
    <w:p w14:paraId="528662D3" w14:textId="77777777" w:rsidR="00B627C8" w:rsidRPr="00B627C8" w:rsidRDefault="00B627C8" w:rsidP="00B627C8">
      <w:pPr>
        <w:jc w:val="both"/>
        <w:rPr>
          <w:rFonts w:ascii="Times New Roman" w:hAnsi="Times New Roman" w:cs="Times New Roman"/>
          <w:iCs/>
          <w:color w:val="000000"/>
        </w:rPr>
      </w:pPr>
      <w:r w:rsidRPr="00B627C8">
        <w:rPr>
          <w:rFonts w:ascii="Times New Roman" w:hAnsi="Times New Roman" w:cs="Times New Roman"/>
          <w:iCs/>
          <w:color w:val="000000"/>
        </w:rPr>
        <w:t>Uvedené sa navrhuje z dôvodu, že väčšina údajov, ktoré sú zamestnávatelia povinní  evidovať na  formulároch ELDP sú údaje, ktoré zamestnávateľ Sociálnej poisťovni počas trvania dôchodkového poistenia zamestnanca už priebežne (mesačne) zaslal, a ktoré už Sociálna poisťovňa postupne eviduje aj v elektronickej podobe.</w:t>
      </w:r>
    </w:p>
    <w:p w14:paraId="088A0D1A" w14:textId="77777777" w:rsidR="00B627C8" w:rsidRPr="00B627C8" w:rsidRDefault="00B627C8" w:rsidP="00B627C8">
      <w:pPr>
        <w:jc w:val="both"/>
        <w:rPr>
          <w:rFonts w:ascii="Times New Roman" w:hAnsi="Times New Roman" w:cs="Times New Roman"/>
          <w:iCs/>
          <w:color w:val="000000"/>
        </w:rPr>
      </w:pPr>
      <w:r w:rsidRPr="00B627C8">
        <w:rPr>
          <w:rFonts w:ascii="Times New Roman" w:hAnsi="Times New Roman" w:cs="Times New Roman"/>
          <w:iCs/>
          <w:color w:val="000000"/>
        </w:rPr>
        <w:t>Ďalším dôvodom vypustenia ustanovenia § 231 ods. 1 písm. j) je jeho nadbytočnosť, nakoľko povinnosť zamestnávateľa viesť evidenciu zamestnanca na účely sociálneho poistenia a starobného dôchodkového sporenia je všeobecne ustanovená v § 232 a  povinnosť  poskytovať Sociálnej poisťovni súčinnosť je ustanovená v § 231 ods. 1 písm. g) zákona č. 461/2003 Z. z.</w:t>
      </w:r>
    </w:p>
    <w:p w14:paraId="332546C2" w14:textId="77777777" w:rsidR="00B627C8" w:rsidRPr="00B627C8" w:rsidRDefault="00B627C8" w:rsidP="00B627C8">
      <w:pPr>
        <w:jc w:val="both"/>
        <w:rPr>
          <w:rFonts w:ascii="Times New Roman" w:hAnsi="Times New Roman" w:cs="Times New Roman"/>
          <w:b/>
        </w:rPr>
      </w:pPr>
    </w:p>
    <w:p w14:paraId="38184FAD" w14:textId="77777777" w:rsidR="00B627C8" w:rsidRPr="00B627C8" w:rsidRDefault="00B627C8" w:rsidP="00B627C8">
      <w:pPr>
        <w:jc w:val="both"/>
        <w:rPr>
          <w:rFonts w:ascii="Times New Roman" w:hAnsi="Times New Roman" w:cs="Times New Roman"/>
          <w:b/>
        </w:rPr>
      </w:pPr>
      <w:r w:rsidRPr="00B627C8">
        <w:rPr>
          <w:rFonts w:ascii="Times New Roman" w:hAnsi="Times New Roman" w:cs="Times New Roman"/>
          <w:b/>
        </w:rPr>
        <w:t>K bodu 3 a 4</w:t>
      </w:r>
    </w:p>
    <w:p w14:paraId="17B57977" w14:textId="77777777" w:rsidR="00B627C8" w:rsidRPr="00B627C8" w:rsidRDefault="00B627C8" w:rsidP="00B627C8">
      <w:pPr>
        <w:jc w:val="both"/>
        <w:rPr>
          <w:rFonts w:ascii="Times New Roman" w:hAnsi="Times New Roman" w:cs="Times New Roman"/>
          <w:u w:val="single"/>
        </w:rPr>
      </w:pPr>
      <w:r w:rsidRPr="00B627C8">
        <w:rPr>
          <w:rFonts w:ascii="Times New Roman" w:hAnsi="Times New Roman" w:cs="Times New Roman"/>
        </w:rPr>
        <w:t>Z dôvodu, aby dôchodková správcovská spoločnosť mohla plniť zákonnú povinnosť ustanovenú v § 233 ods. 18 zákona č. 461/2003 Z. z., na základe ktorej je povinná na účely zostavenia dôchodkovej prognózy poskytovať Sociálnej poisťovni údaje o sporiteľovi, a to prognózu starobného dôchodku zo starobného dôchodkového sporenia a prognózu jeho predčasného starobného dôchodku zo starobného dôchodkového sporenia, sa navrhuje, aby Sociálna poisťovňa poskytovala dôchodkovým správcovským spoločnostiam zo svojho informačného systému údaje vrátane osobných údajov o predpokladanom dôchodkovom veku poistenca pre odchod do starobného dôchodku a do predčasného starobného dôchodku, a to bez súhlasu dotknutých osôb a na účel zostavenia dôchodkovej prognózy podľa § 226b zákona č. 461/2003 Z. z. Za účelom dosiahnutia konzistentnosti prognóz použije dôchodková správcovská spoločnosť údaj o predpokladanom dôchodkovom veku poistenca pre odchod do starobného dôchodku aj na účely z</w:t>
      </w:r>
      <w:bookmarkStart w:id="0" w:name="_GoBack"/>
      <w:bookmarkEnd w:id="0"/>
      <w:r w:rsidRPr="00B627C8">
        <w:rPr>
          <w:rFonts w:ascii="Times New Roman" w:hAnsi="Times New Roman" w:cs="Times New Roman"/>
        </w:rPr>
        <w:t>ostavenia prognózy dôchodku vo výpise z osobného dôchodkového účtu sporiteľa podľa zákona č. 43/2004 Z. z.</w:t>
      </w:r>
    </w:p>
    <w:p w14:paraId="28018700" w14:textId="77777777" w:rsidR="00B627C8" w:rsidRPr="00B627C8" w:rsidRDefault="00B627C8" w:rsidP="00B627C8">
      <w:pPr>
        <w:jc w:val="both"/>
        <w:rPr>
          <w:rFonts w:ascii="Times New Roman" w:hAnsi="Times New Roman" w:cs="Times New Roman"/>
        </w:rPr>
      </w:pPr>
      <w:r w:rsidRPr="00B627C8">
        <w:rPr>
          <w:rFonts w:ascii="Times New Roman" w:hAnsi="Times New Roman" w:cs="Times New Roman"/>
        </w:rPr>
        <w:t xml:space="preserve">Keďže sa navrhuje, aby od roku 2028 boli súčasťou dôchodkovej prognózy aj informácie o predpokladaných dôchodkových nárokoch z doplnkového dôchodkového sporenia a celoeurópskeho osobného dôchodkového produktu (novelizačný bod 6), je nevyhnutné zabezpečiť, aby na účely vyhotovenia dôchodkovej prognózy mohla Sociálna poisťovňa poskytovať údaje vrátane osobných údajov o predpokladanom dôchodkovom veku poistenca pre odchod do starobného dôchodku aj doplnkovej dôchodkovej spoločnosti a poskytovateľovi celoeurópskeho osobného dôchodkového produktu. Rovnako ako v prípade uvedenom vyššie použijú tieto subjekty údaj o predpokladanom dôchodkovom veku poistenca pre odchod do </w:t>
      </w:r>
      <w:r w:rsidRPr="00B627C8">
        <w:rPr>
          <w:rFonts w:ascii="Times New Roman" w:hAnsi="Times New Roman" w:cs="Times New Roman"/>
        </w:rPr>
        <w:lastRenderedPageBreak/>
        <w:t>starobného dôchodku aj na účely zostavenia prognózy dôchodku vo výpise, ktorý zasielajú na základe vlastnej sektorovej regulácie.</w:t>
      </w:r>
    </w:p>
    <w:p w14:paraId="5DA4CA63" w14:textId="77777777" w:rsidR="00B627C8" w:rsidRPr="00B627C8" w:rsidRDefault="00B627C8" w:rsidP="00B627C8">
      <w:pPr>
        <w:jc w:val="both"/>
        <w:rPr>
          <w:rFonts w:ascii="Times New Roman" w:hAnsi="Times New Roman" w:cs="Times New Roman"/>
        </w:rPr>
      </w:pPr>
      <w:r w:rsidRPr="00B627C8">
        <w:rPr>
          <w:rFonts w:ascii="Times New Roman" w:hAnsi="Times New Roman" w:cs="Times New Roman"/>
        </w:rPr>
        <w:t>Obe uvedené zmeny sa navrhujú z dôvodu, že Sociálna poisťovňa bude na účely vyhotovenia  dôchodkovej prognózy z I. piliera určovať predpokladaný dôchodkový vek poistenca, v ktorom môže byť zohľadnený aj počet detí, a súčasne aj predpokladaný vek poistenca, ku ktorému môže získať potrebné odpracované obdobie na vznik nároku na predčasný starobný dôchodok.</w:t>
      </w:r>
    </w:p>
    <w:p w14:paraId="15F52B6F" w14:textId="77777777" w:rsidR="00B627C8" w:rsidRPr="00B627C8" w:rsidRDefault="00B627C8" w:rsidP="00B627C8">
      <w:pPr>
        <w:jc w:val="both"/>
        <w:rPr>
          <w:rFonts w:ascii="Times New Roman" w:hAnsi="Times New Roman" w:cs="Times New Roman"/>
        </w:rPr>
      </w:pPr>
      <w:r w:rsidRPr="00B627C8">
        <w:rPr>
          <w:rFonts w:ascii="Times New Roman" w:hAnsi="Times New Roman" w:cs="Times New Roman"/>
        </w:rPr>
        <w:t>V záujme dosiahnutia obsahovej konzistentnosti by mali byť aj prognózy z II. piliera a dobrovoľných sporení na dôchodok zostavené k veku, ku ktorému vyhotovuje základnú prognózu z I. piliera Sociálna poisťovňa. Žiaden z dotknutých subjektov (správcov dôchodkových úspor) pritom informáciami o počte detí poistenca, resp. jeho odpracovanom období nedisponuje a v existujúcej právnej úprave chýba aj oprávnenie Sociálnej poisťovne ich týmto subjektom poskytnúť (v praxi informáciou už iba v podobe výsledného predpokladaného dôchodkového veku poistenca). Uvedené aplikačné problémy rieši navrhovaná právna úprava v bode 3 (v súvislosti so zasielaním dôchodkovej prognózy od roku 2026) a následne od roku 2028 prostredníctvom navrhovanej úpravy v bode 4.</w:t>
      </w:r>
    </w:p>
    <w:p w14:paraId="798FF146" w14:textId="77777777" w:rsidR="00B627C8" w:rsidRPr="00B627C8" w:rsidRDefault="00B627C8" w:rsidP="00B627C8">
      <w:pPr>
        <w:jc w:val="both"/>
        <w:rPr>
          <w:rFonts w:ascii="Times New Roman" w:hAnsi="Times New Roman" w:cs="Times New Roman"/>
        </w:rPr>
      </w:pPr>
    </w:p>
    <w:p w14:paraId="2228143A" w14:textId="77777777" w:rsidR="00B627C8" w:rsidRPr="00B627C8" w:rsidRDefault="00B627C8" w:rsidP="00B627C8">
      <w:pPr>
        <w:jc w:val="both"/>
        <w:rPr>
          <w:rFonts w:ascii="Times New Roman" w:hAnsi="Times New Roman" w:cs="Times New Roman"/>
          <w:b/>
        </w:rPr>
      </w:pPr>
      <w:r w:rsidRPr="00B627C8">
        <w:rPr>
          <w:rFonts w:ascii="Times New Roman" w:hAnsi="Times New Roman" w:cs="Times New Roman"/>
          <w:b/>
        </w:rPr>
        <w:t>K bodu 5</w:t>
      </w:r>
    </w:p>
    <w:p w14:paraId="769CAA0B" w14:textId="77777777" w:rsidR="00B627C8" w:rsidRPr="00B627C8" w:rsidRDefault="00B627C8" w:rsidP="00B627C8">
      <w:pPr>
        <w:jc w:val="both"/>
        <w:rPr>
          <w:rFonts w:ascii="Times New Roman" w:hAnsi="Times New Roman" w:cs="Times New Roman"/>
        </w:rPr>
      </w:pPr>
      <w:r w:rsidRPr="00B627C8">
        <w:rPr>
          <w:rFonts w:ascii="Times New Roman" w:hAnsi="Times New Roman" w:cs="Times New Roman"/>
        </w:rPr>
        <w:t>Legislatívno-technická úprava poznámky pod čiarou v nadväznosti na zmeny navrhované v bode 3.</w:t>
      </w:r>
    </w:p>
    <w:p w14:paraId="733451F1" w14:textId="77777777" w:rsidR="00B627C8" w:rsidRPr="00B627C8" w:rsidRDefault="00B627C8" w:rsidP="00B627C8">
      <w:pPr>
        <w:jc w:val="both"/>
        <w:rPr>
          <w:rFonts w:ascii="Times New Roman" w:hAnsi="Times New Roman" w:cs="Times New Roman"/>
          <w:b/>
        </w:rPr>
      </w:pPr>
    </w:p>
    <w:p w14:paraId="393884C2" w14:textId="77777777" w:rsidR="00B627C8" w:rsidRPr="00B627C8" w:rsidRDefault="00B627C8" w:rsidP="00B627C8">
      <w:pPr>
        <w:jc w:val="both"/>
        <w:rPr>
          <w:rFonts w:ascii="Times New Roman" w:hAnsi="Times New Roman" w:cs="Times New Roman"/>
          <w:b/>
        </w:rPr>
      </w:pPr>
      <w:r w:rsidRPr="00B627C8">
        <w:rPr>
          <w:rFonts w:ascii="Times New Roman" w:hAnsi="Times New Roman" w:cs="Times New Roman"/>
          <w:b/>
        </w:rPr>
        <w:t>K bodu 6</w:t>
      </w:r>
    </w:p>
    <w:p w14:paraId="4849EA35" w14:textId="77777777" w:rsidR="00B627C8" w:rsidRPr="00B627C8" w:rsidRDefault="00B627C8" w:rsidP="00B627C8">
      <w:pPr>
        <w:jc w:val="both"/>
        <w:rPr>
          <w:rFonts w:ascii="Times New Roman" w:hAnsi="Times New Roman" w:cs="Times New Roman"/>
        </w:rPr>
      </w:pPr>
      <w:r w:rsidRPr="00B627C8">
        <w:rPr>
          <w:rFonts w:ascii="Times New Roman" w:hAnsi="Times New Roman" w:cs="Times New Roman"/>
        </w:rPr>
        <w:t>Za účelom komplexného informovania poistenca o jeho predpokladaných budúcich dôchodkových nárokoch sa navrhuje, aby Sociálna poisťovňa v dôchodkovej prognóze od roku 2028 okrem informácie o predpokladaných dôchodkových nárokoch z dôchodkového poistenia a starobného dôchodkového sporenia zasielala poistencovi aj informácie o jeho predpokladaných dôchodkových nárokoch z doplnkového dôchodkového sporenia a celoeurópskeho osobného dôchodkového produktu. Takýto individualizovaný dokument by mal poistencovi čo najviac uľahčiť chápanie stavu jeho celkového dôchodkového zabezpečenia a hodnoty reálnych úspor na dôchodok a upozorniť aj na vplyv jeho vlastných rozhodnutí na výšku jeho príjmu na dôchodku.</w:t>
      </w:r>
    </w:p>
    <w:p w14:paraId="56AAC407" w14:textId="77777777" w:rsidR="00B627C8" w:rsidRPr="00B627C8" w:rsidRDefault="00B627C8" w:rsidP="00B627C8">
      <w:pPr>
        <w:jc w:val="both"/>
        <w:rPr>
          <w:rFonts w:ascii="Times New Roman" w:hAnsi="Times New Roman" w:cs="Times New Roman"/>
        </w:rPr>
      </w:pPr>
      <w:r w:rsidRPr="00B627C8">
        <w:rPr>
          <w:rFonts w:ascii="Times New Roman" w:hAnsi="Times New Roman" w:cs="Times New Roman"/>
        </w:rPr>
        <w:t>Keďže k podpore dobrovoľného sporenia na dôchodok sa Slovenská republika zaviazala aj v čl. 39 ods. 2 Ústavy Slovenskej republiky, pričom k 31. decembru 2023 bolo uzavretých približne 992 tisíc zmlúv na niektorú z foriem dobrovoľného sporenia na dôchodok s podporou štátu (doplnkové dôchodkové sporenie alebo celoeurópsky osobný dôchodkový produkt), je vhodné, aby dôchodková prognóza obsiahla aj tieto produkty.</w:t>
      </w:r>
    </w:p>
    <w:p w14:paraId="702F1309" w14:textId="77777777" w:rsidR="00B627C8" w:rsidRPr="00B627C8" w:rsidRDefault="00B627C8" w:rsidP="00B627C8">
      <w:pPr>
        <w:jc w:val="both"/>
        <w:rPr>
          <w:rFonts w:ascii="Times New Roman" w:hAnsi="Times New Roman" w:cs="Times New Roman"/>
        </w:rPr>
      </w:pPr>
      <w:r w:rsidRPr="00B627C8">
        <w:rPr>
          <w:rFonts w:ascii="Times New Roman" w:hAnsi="Times New Roman" w:cs="Times New Roman"/>
        </w:rPr>
        <w:t>Komplexné a systémové riešenie v tejto oblasti môže poskytnúť aktuálne iba štát, prostredníctvom Sociálnej poisťovne, ktorá bude všetkým poistencom zasielať dôchodkovú prognózu prvý krát už v roku 2026. Disponuje podrobnými údajmi o poistencoch, rozhoduje o výške starobných, resp. predčasných starobných dôchodkov z I. piliera a rovnako vedie aj register sporiteľov a spravuje centrálny informačný ponukový systém (dôchodky z II. piliera). Dôchodková prognóza s novými navrhovanými informáciami by mala byť koncipovaná tak, aby dokázala poistencovi sprostredkovať informáciu o tom, aký dodatočný príjem môže očakávať k dôchodku z I. piliera, resp. II. piliera, a to na základe stavu jeho aktuálneho dobrovoľného sporenia na dôchodok. V prípade mladších poistencov v čase zasielania dôchodkovej prognózy budú tieto údaje len orientačné, môžu však slúžiť na to, aby poistenec prijal vlastné (aktívne) informované rozhodnutie, ktoré by mohlo riziko jeho finančnej deprivácie v starobe znížiť.</w:t>
      </w:r>
    </w:p>
    <w:p w14:paraId="58FA3FF2" w14:textId="77777777" w:rsidR="00B627C8" w:rsidRPr="00B627C8" w:rsidRDefault="00B627C8" w:rsidP="00B627C8">
      <w:pPr>
        <w:jc w:val="both"/>
        <w:rPr>
          <w:rFonts w:ascii="Times New Roman" w:hAnsi="Times New Roman" w:cs="Times New Roman"/>
        </w:rPr>
      </w:pPr>
    </w:p>
    <w:p w14:paraId="1374148A" w14:textId="77777777" w:rsidR="00B627C8" w:rsidRPr="00B627C8" w:rsidRDefault="00B627C8" w:rsidP="00B627C8">
      <w:pPr>
        <w:keepNext/>
        <w:jc w:val="both"/>
        <w:rPr>
          <w:rFonts w:ascii="Times New Roman" w:hAnsi="Times New Roman" w:cs="Times New Roman"/>
          <w:b/>
        </w:rPr>
      </w:pPr>
      <w:r w:rsidRPr="00B627C8">
        <w:rPr>
          <w:rFonts w:ascii="Times New Roman" w:hAnsi="Times New Roman" w:cs="Times New Roman"/>
          <w:b/>
        </w:rPr>
        <w:lastRenderedPageBreak/>
        <w:t>K bodu 7, 17 a 18</w:t>
      </w:r>
    </w:p>
    <w:p w14:paraId="67449BA4" w14:textId="77777777" w:rsidR="00B627C8" w:rsidRPr="00B627C8" w:rsidRDefault="00B627C8" w:rsidP="00B627C8">
      <w:pPr>
        <w:jc w:val="both"/>
        <w:rPr>
          <w:rFonts w:ascii="Times New Roman" w:hAnsi="Times New Roman" w:cs="Times New Roman"/>
        </w:rPr>
      </w:pPr>
      <w:r w:rsidRPr="00B627C8">
        <w:rPr>
          <w:rFonts w:ascii="Times New Roman" w:hAnsi="Times New Roman" w:cs="Times New Roman"/>
        </w:rPr>
        <w:t>Navrhuje sa doplniť nová možnosť získavania kontaktných údajov poistencov na účely zasielania dôchodkovej prognózy Sociálnou poisťovňou. Nakoľko dôchodková správcovská spoločnosť, doplnková dôchodková spoločnosť a poskytovateľ celoeurópskeho osobného dôchodkového produktu prognózy príslušných dôchodkov svojim klientom už istú dobu zasielajú, pričom je predpoklad, že značná časť z nich už svojim správcom za uvedeným účelom svoje kontaktné údaje (adresy elektronickej pošty) aj poskytla, navrhuje sa využiť tieto údaje aj pri zasielaní komplexného dokumentu Sociálnou poisťovňou.</w:t>
      </w:r>
    </w:p>
    <w:p w14:paraId="4E13D48B" w14:textId="77777777" w:rsidR="00B627C8" w:rsidRPr="00B627C8" w:rsidRDefault="00B627C8" w:rsidP="00B627C8">
      <w:pPr>
        <w:jc w:val="both"/>
        <w:rPr>
          <w:rFonts w:ascii="Times New Roman" w:hAnsi="Times New Roman" w:cs="Times New Roman"/>
        </w:rPr>
      </w:pPr>
      <w:r w:rsidRPr="00B627C8">
        <w:rPr>
          <w:rFonts w:ascii="Times New Roman" w:hAnsi="Times New Roman" w:cs="Times New Roman"/>
        </w:rPr>
        <w:t>Týmto spôsobom (uložením povinnosti predmetným správcom údaje Sociálnej poisťovni poskytnúť) by bolo možné získať elektronický kontakt na veľkú časť z cieľovej skupiny poistencov, a to pred zaslaním dôchodkovej prognózy v roku 2026 od dôchodkových správcovských spoločností, resp. od roku 2028 aj od doplnkových dôchodkových spoločností a poskytovateľov celoeurópskeho osobného dôchodkového produktu (novelizačné body 17 a 18).</w:t>
      </w:r>
    </w:p>
    <w:p w14:paraId="69CDBCE6" w14:textId="77777777" w:rsidR="00B627C8" w:rsidRPr="00B627C8" w:rsidRDefault="00B627C8" w:rsidP="00B627C8">
      <w:pPr>
        <w:jc w:val="both"/>
        <w:rPr>
          <w:rFonts w:ascii="Times New Roman" w:hAnsi="Times New Roman" w:cs="Times New Roman"/>
        </w:rPr>
      </w:pPr>
      <w:r w:rsidRPr="00B627C8">
        <w:rPr>
          <w:rFonts w:ascii="Times New Roman" w:hAnsi="Times New Roman" w:cs="Times New Roman"/>
        </w:rPr>
        <w:t>V nadväznosti na uvedené sa javí vhodné upraviť aj postup pri samotnom zasielaní dôchodkovej prognózy (novelizačný bod 7), kde sa navrhuje, aby Sociálna poisťovňa, ak nedisponuje žiadosťou poistenca o sprístupnenie dokumentu výlučne cez elektronický účet poistenca, následne dokument zaslala na adresu elektronickej pošty získanú od správcu jeho dobrovoľných úspor na dôchodok, alebo na adresu elektronickej pošty, ktorú jej poistenec na tento účel oznámil. Sociálna poisťovňa teda bude zasielať dôchodkovú prognózu listinne poštou iba v prípade, ak doručenie nevie zrealizovať vyššie uvedenou cestou. Takýto spôsob sa javí optimálny aj z pohľadu dosiahnutia úspory nákladov, ktoré by musela vynaložiť pri fyzickej distribúcii dôchodkovej prognózy (tlač dokumentov, poštovné a pod.).</w:t>
      </w:r>
    </w:p>
    <w:p w14:paraId="14D4ACAF" w14:textId="77777777" w:rsidR="00B627C8" w:rsidRPr="00B627C8" w:rsidRDefault="00B627C8" w:rsidP="00B627C8">
      <w:pPr>
        <w:jc w:val="both"/>
        <w:rPr>
          <w:rFonts w:ascii="Times New Roman" w:hAnsi="Times New Roman" w:cs="Times New Roman"/>
        </w:rPr>
      </w:pPr>
      <w:r w:rsidRPr="00B627C8">
        <w:rPr>
          <w:rFonts w:ascii="Times New Roman" w:hAnsi="Times New Roman" w:cs="Times New Roman"/>
        </w:rPr>
        <w:t>Okrem vyššie uvedeného sa navrhuje doplniť § 233 ods. 18 s účinnosťou od roku 2028 aj o povinnosti správcu dôchodkových úspor zasielať prognózy o jeho klientoch Sociálnej poisťovni. V kontexte celého návrhu sa to v prípade doplnkovej dôchodkovej spoločnosti a poskytovateľa celoeurópskeho osobného dôchodkového produktu bude týkať iba základnej prognózy v základnom scenári (novelizačný bod 18).</w:t>
      </w:r>
    </w:p>
    <w:p w14:paraId="3DF162FB" w14:textId="77777777" w:rsidR="00B627C8" w:rsidRPr="00B627C8" w:rsidRDefault="00B627C8" w:rsidP="00B627C8">
      <w:pPr>
        <w:jc w:val="both"/>
        <w:rPr>
          <w:rFonts w:ascii="Times New Roman" w:hAnsi="Times New Roman" w:cs="Times New Roman"/>
          <w:b/>
        </w:rPr>
      </w:pPr>
    </w:p>
    <w:p w14:paraId="706F13DE" w14:textId="77777777" w:rsidR="00B627C8" w:rsidRPr="00B627C8" w:rsidRDefault="00B627C8" w:rsidP="00B627C8">
      <w:pPr>
        <w:jc w:val="both"/>
        <w:rPr>
          <w:rFonts w:ascii="Times New Roman" w:hAnsi="Times New Roman" w:cs="Times New Roman"/>
          <w:b/>
        </w:rPr>
      </w:pPr>
      <w:r w:rsidRPr="00B627C8">
        <w:rPr>
          <w:rFonts w:ascii="Times New Roman" w:hAnsi="Times New Roman" w:cs="Times New Roman"/>
          <w:b/>
        </w:rPr>
        <w:t>K bodu 8 a 12</w:t>
      </w:r>
    </w:p>
    <w:p w14:paraId="705A1FEF" w14:textId="77777777" w:rsidR="00B627C8" w:rsidRPr="00B627C8" w:rsidRDefault="00B627C8" w:rsidP="00B627C8">
      <w:pPr>
        <w:jc w:val="both"/>
        <w:rPr>
          <w:rFonts w:ascii="Times New Roman" w:hAnsi="Times New Roman" w:cs="Times New Roman"/>
        </w:rPr>
      </w:pPr>
      <w:r w:rsidRPr="00B627C8">
        <w:rPr>
          <w:rFonts w:ascii="Times New Roman" w:hAnsi="Times New Roman" w:cs="Times New Roman"/>
        </w:rPr>
        <w:t>Cieľom dôchodkovej prognózy je, aby poistenec dostal komplexné informácie o jeho budúcich dôchodkových nárokoch, t. j. aby boli zahrnuté všetky piliere dôchodkového zabezpečenia. Z dôvodu množstva poskytovaných informácií je však dôležité, aby dokument zostal prehľadný, zrozumiteľný a pre prijímateľa pochopiteľný, preto sa navrhuje sa, aby súčasťou dôchodkovej prognózy bola iba základná prognóza doplnkového starobného dôchodku a dôchodku alebo programového výberu z celoeurópskeho osobného dôchodkového produktu, a to pre základný (optimálny, resp. najpravdepodobnejší) scenár. Doplnkové dôchodkové sporenie prešlo od svojho vzniku (v roku 1996 ako doplnkové dôchodkové poistenie) viacerými zmenami v oblasti vecného rozsahu. Aktuálne môžeme v súvislosti s dôchodkami, resp. dávkami hovoriť o nasledovných typoch a formách – doplnkový starobný dôchodok (doživotný alebo dočasný), doplnkový výsluhový dôchodok (doživotný alebo dočasný), jednorazové vyrovnanie a predčasný výber. Ak účastník doplnkového dôchodkového sporenia uzatvoril zmluvu o doplnkovom dôchodkovom sporení pred rokom 2014 má nárok aj na dávku odstupné. Z celoeurópskeho osobného dôchodkového produktu môže jeho poskytovateľ ponúkať dávky ako dôchodok (doživotný alebo dočasný), programový výber, jednorazové vyrovnanie a rovnako aj predčasný výber.</w:t>
      </w:r>
    </w:p>
    <w:p w14:paraId="4C88106E" w14:textId="77777777" w:rsidR="00B627C8" w:rsidRPr="00B627C8" w:rsidRDefault="00B627C8" w:rsidP="00B627C8">
      <w:pPr>
        <w:jc w:val="both"/>
        <w:rPr>
          <w:rFonts w:ascii="Times New Roman" w:hAnsi="Times New Roman" w:cs="Times New Roman"/>
        </w:rPr>
      </w:pPr>
      <w:r w:rsidRPr="00B627C8">
        <w:rPr>
          <w:rFonts w:ascii="Times New Roman" w:hAnsi="Times New Roman" w:cs="Times New Roman"/>
        </w:rPr>
        <w:t xml:space="preserve">Doplnkové dôchodkové spoločnosti majú ustanovené pravidlá na určenie prognóz dôchodkových dávok v opatrení Ministerstva práce, sociálnych vecí a rodiny Slovenskej republiky č. 411/2019 Z. z., ktorým sa ustanovujú vzory výpisov z osobného účtu a výkazov v doplnkovom dôchodkovom sporení v znení opatrenia č. 353/2023 Z. z., naopak pravidlá pre </w:t>
      </w:r>
      <w:r w:rsidRPr="00B627C8">
        <w:rPr>
          <w:rFonts w:ascii="Times New Roman" w:hAnsi="Times New Roman" w:cs="Times New Roman"/>
        </w:rPr>
        <w:lastRenderedPageBreak/>
        <w:t>poskytovateľov celoeurópskeho osobného dôchodkového produktu ustanovuje DELEGOVANÉ NARIADENIE KOMISIE (EÚ) 2021/473 z 18. decembra 2020, ktorým sa dopĺňa nariadenie Európskeho parlamentu a Rady (EÚ) 2019/1238, pokiaľ ide o regulačné technické predpisy, ktorými sa bližšie určujú požiadavky na informačné dokumenty, náklady a poplatky zahrnuté do cenového stropu a techniky zmierňovania rizík pre celoeurópsky osobný dôchodkový produkt.</w:t>
      </w:r>
    </w:p>
    <w:p w14:paraId="1AEB2880" w14:textId="77777777" w:rsidR="00B627C8" w:rsidRPr="00B627C8" w:rsidRDefault="00B627C8" w:rsidP="00B627C8">
      <w:pPr>
        <w:jc w:val="both"/>
        <w:rPr>
          <w:rFonts w:ascii="Times New Roman" w:hAnsi="Times New Roman" w:cs="Times New Roman"/>
        </w:rPr>
      </w:pPr>
      <w:r w:rsidRPr="00B627C8">
        <w:rPr>
          <w:rFonts w:ascii="Times New Roman" w:hAnsi="Times New Roman" w:cs="Times New Roman"/>
        </w:rPr>
        <w:t xml:space="preserve">Spoločným menovateľom pre obe schémy sú však základné podmienky nároku na dôchodok, resp. dávku, a to vznik nároku na výplatu starobného dôchodku alebo predčasného starobného dôchodku podľa zákona č. 461/2003 Z. z. alebo dovŕšenie veku potrebného na nárok na starobný dôchodok podľa uvedeného zákona. Napriek tomu, že účastníci, ktorí uzatvorili účastnícku zmluvu pred rokom 2014 a poberatelia doplnkového výsluhového dôchodku môžu na základe ich dávkového plánu, resp. zákona, začať poberať doplnkový starobný (výsluhový) dôchodok aj skôr ako dovŕšením dôchodkového veku (veky sa rôznia, najčastejšie 50 alebo 55 rokov), navrhuje sa, aby v dôchodkovej prognóze boli zahrnuté výlučne prognózy s horizontom sporenia k dovŕšeniu dôchodkového veku. Dosiahne sa tým aj obsahová jednotnosť dokumentu (základná prognóza dôchodku z I. piliera a II. piliera sa vyhotovuje k predpokladanému dôchodkovému veku poistenca). Doplnkové dôchodkové spoločnosti navyše aktuálne takéto prognózy všetkým účastníkom, vrátane účastníkov s dávkovým plánom a možnosťou skoršieho exitu zo schémy už vyhotovujú, z tohto pohľadu teda nejde o novú prognózu, pričom táto informácia je v tomto dokumente (výpise z osobného účtu účastníka doplnkového dôchodkového sporenia) </w:t>
      </w:r>
      <w:proofErr w:type="spellStart"/>
      <w:r w:rsidRPr="00B627C8">
        <w:rPr>
          <w:rFonts w:ascii="Times New Roman" w:hAnsi="Times New Roman" w:cs="Times New Roman"/>
        </w:rPr>
        <w:t>prioritizovaná</w:t>
      </w:r>
      <w:proofErr w:type="spellEnd"/>
      <w:r w:rsidRPr="00B627C8">
        <w:rPr>
          <w:rFonts w:ascii="Times New Roman" w:hAnsi="Times New Roman" w:cs="Times New Roman"/>
        </w:rPr>
        <w:t>.</w:t>
      </w:r>
    </w:p>
    <w:p w14:paraId="4A7D767D" w14:textId="77777777" w:rsidR="00B627C8" w:rsidRPr="00B627C8" w:rsidRDefault="00B627C8" w:rsidP="00B627C8">
      <w:pPr>
        <w:jc w:val="both"/>
        <w:rPr>
          <w:rFonts w:ascii="Times New Roman" w:hAnsi="Times New Roman" w:cs="Times New Roman"/>
        </w:rPr>
      </w:pPr>
      <w:r w:rsidRPr="00B627C8">
        <w:rPr>
          <w:rFonts w:ascii="Times New Roman" w:hAnsi="Times New Roman" w:cs="Times New Roman"/>
        </w:rPr>
        <w:t>Z dôvodu potreby zachovania jednoduchosti, prehľadnosti a zrozumiteľnosti dôchodkovej prognózy sa zároveň navrhuje umožniť Sociálnej poisťovni nároky z dobrovoľných schém kumulovať a potenciálne uvádzať prognózu doplnkového starobného dôchodku, resp. dávky celoeurópskeho osobného dôchodkového produktu (dočasný dôchodok alebo programový výber) ako jedno číslo, resp. kumulatívne za sektor doplnkového dôchodkového sporenia a osobitne za celoeurópsky osobný dôchodkový produkt. Navrhuje sa, aby podrobnosti o  spôsobe potenciálnej kumulácie prognóz (novelizačný bod 12) určilo Ministerstvo práce, sociálnych vecí a rodiny Slovenskej republiky vo všeobecne záväznom právnom predpise (vyhláške).</w:t>
      </w:r>
    </w:p>
    <w:p w14:paraId="4A3777E5" w14:textId="77777777" w:rsidR="00B627C8" w:rsidRPr="00B627C8" w:rsidRDefault="00B627C8" w:rsidP="00B627C8">
      <w:pPr>
        <w:jc w:val="both"/>
        <w:rPr>
          <w:rFonts w:ascii="Times New Roman" w:hAnsi="Times New Roman" w:cs="Times New Roman"/>
        </w:rPr>
      </w:pPr>
      <w:r w:rsidRPr="00B627C8">
        <w:rPr>
          <w:rFonts w:ascii="Times New Roman" w:hAnsi="Times New Roman" w:cs="Times New Roman"/>
        </w:rPr>
        <w:t>Podrobné individualizované prognózy vo forme výpisu z osobného dôchodkového účtu a výkazu predpokladaných dôchodkových dávok a výkazu dávok celoeurópskeho osobného dôchodkového produktu budú účastníci a sporitelia dostávať aj naďalej každoročne priamo od svojich poskytovateľov.</w:t>
      </w:r>
    </w:p>
    <w:p w14:paraId="4CFF67E7" w14:textId="77777777" w:rsidR="00B627C8" w:rsidRPr="00B627C8" w:rsidRDefault="00B627C8" w:rsidP="00B627C8">
      <w:pPr>
        <w:jc w:val="both"/>
        <w:rPr>
          <w:rFonts w:ascii="Times New Roman" w:hAnsi="Times New Roman" w:cs="Times New Roman"/>
          <w:b/>
        </w:rPr>
      </w:pPr>
    </w:p>
    <w:p w14:paraId="7D41EF57" w14:textId="77777777" w:rsidR="00B627C8" w:rsidRPr="00B627C8" w:rsidRDefault="00B627C8" w:rsidP="00B627C8">
      <w:pPr>
        <w:jc w:val="both"/>
        <w:rPr>
          <w:rFonts w:ascii="Times New Roman" w:hAnsi="Times New Roman" w:cs="Times New Roman"/>
          <w:b/>
        </w:rPr>
      </w:pPr>
      <w:r w:rsidRPr="00B627C8">
        <w:rPr>
          <w:rFonts w:ascii="Times New Roman" w:hAnsi="Times New Roman" w:cs="Times New Roman"/>
          <w:b/>
        </w:rPr>
        <w:t>K bodu 9 a 10</w:t>
      </w:r>
    </w:p>
    <w:p w14:paraId="6587E86B" w14:textId="77777777" w:rsidR="00B627C8" w:rsidRPr="00B627C8" w:rsidRDefault="00B627C8" w:rsidP="00B627C8">
      <w:pPr>
        <w:jc w:val="both"/>
        <w:rPr>
          <w:rFonts w:ascii="Times New Roman" w:hAnsi="Times New Roman" w:cs="Times New Roman"/>
          <w:b/>
        </w:rPr>
      </w:pPr>
      <w:r w:rsidRPr="00B627C8">
        <w:rPr>
          <w:rFonts w:ascii="Times New Roman" w:hAnsi="Times New Roman" w:cs="Times New Roman"/>
        </w:rPr>
        <w:t>Keďže sa navrhuje, aby od roku 2028 boli súčasťou dôchodkovej prognózy aj informácie o predpokladaných dôchodkových nárokoch z doplnkového dôchodkového sporenia a celoeurópskeho osobného dôchodkového produkt (novelizačný bod 6), je nevyhnutné reflektovať tieto doplnenia aj v ustanovení o vplyve inflácie na prognózované sumy a v ustanovení o všeobecných informáciách, ktoré majú byť poistencovi poskytnuté.</w:t>
      </w:r>
    </w:p>
    <w:p w14:paraId="29EC4EFA" w14:textId="77777777" w:rsidR="00B627C8" w:rsidRPr="00B627C8" w:rsidRDefault="00B627C8" w:rsidP="00B627C8">
      <w:pPr>
        <w:jc w:val="both"/>
        <w:rPr>
          <w:rFonts w:ascii="Times New Roman" w:hAnsi="Times New Roman" w:cs="Times New Roman"/>
          <w:b/>
        </w:rPr>
      </w:pPr>
    </w:p>
    <w:p w14:paraId="699E9B31" w14:textId="77777777" w:rsidR="00B627C8" w:rsidRPr="00B627C8" w:rsidRDefault="00B627C8" w:rsidP="00B627C8">
      <w:pPr>
        <w:jc w:val="both"/>
        <w:rPr>
          <w:rFonts w:ascii="Times New Roman" w:hAnsi="Times New Roman" w:cs="Times New Roman"/>
          <w:b/>
        </w:rPr>
      </w:pPr>
      <w:r w:rsidRPr="00B627C8">
        <w:rPr>
          <w:rFonts w:ascii="Times New Roman" w:hAnsi="Times New Roman" w:cs="Times New Roman"/>
          <w:b/>
        </w:rPr>
        <w:t>K bodu 11</w:t>
      </w:r>
    </w:p>
    <w:p w14:paraId="04B4A6DB" w14:textId="77777777" w:rsidR="00B627C8" w:rsidRPr="00B627C8" w:rsidRDefault="00B627C8" w:rsidP="00B627C8">
      <w:pPr>
        <w:jc w:val="both"/>
        <w:rPr>
          <w:rFonts w:ascii="Times New Roman" w:hAnsi="Times New Roman" w:cs="Times New Roman"/>
        </w:rPr>
      </w:pPr>
      <w:r w:rsidRPr="00B627C8">
        <w:rPr>
          <w:rFonts w:ascii="Times New Roman" w:hAnsi="Times New Roman" w:cs="Times New Roman"/>
        </w:rPr>
        <w:t xml:space="preserve">Z dôvodu zachovania prehľadnosti, ale najmä pravdivosti údajov v dôchodkovej prognóze a s cieľom neposkytovať informácie, ktoré by mohli byť zavádzajúce, sa nenavrhuje zostavovanie a zasielanie informácie o alternatívnej prognóze vychádzajúcej z možnej účasti poistenca na doplnkovom dôchodkovom sporení, resp. v celoeurópskom osobnom dôchodkovom produkte. Navyše, vyhotovenie individualizovanej prognózy Sociálnou poisťovňou (obdobne ako v II. pilieri) pre vstup do dobrovoľnej schémy je limitované skutočnosťou, že u týchto produktov nie je taká silná korelácia s výškou príjmu účastníka, </w:t>
      </w:r>
      <w:r w:rsidRPr="00B627C8">
        <w:rPr>
          <w:rFonts w:ascii="Times New Roman" w:hAnsi="Times New Roman" w:cs="Times New Roman"/>
        </w:rPr>
        <w:lastRenderedPageBreak/>
        <w:t>resp. sporiteľa, je ťažké odhadnúť potenciál prispievania zamestnávateľom a výšku takéhoto príspevku, v týchto formách sporenia sa vyskytujú výpadky v sporení aj v obdobiach kedy nezaznamenávame výpadok v zamestnaní a pod. Takáto prognóza by preto mohla byť zavádzajúca a aj jej motivačný charakter by bol diskutabilný. Javí sa ako vhodnejšie poistenca upozorniť na možnosť budovania dodatočného zdroja príjmu na dôchodku aj mimo základného dôchodkového zabezpečenia.</w:t>
      </w:r>
    </w:p>
    <w:p w14:paraId="2171E34C" w14:textId="77777777" w:rsidR="00B627C8" w:rsidRPr="00B627C8" w:rsidRDefault="00B627C8" w:rsidP="00B627C8">
      <w:pPr>
        <w:jc w:val="both"/>
        <w:rPr>
          <w:rFonts w:ascii="Times New Roman" w:hAnsi="Times New Roman" w:cs="Times New Roman"/>
        </w:rPr>
      </w:pPr>
      <w:r w:rsidRPr="00B627C8">
        <w:rPr>
          <w:rFonts w:ascii="Times New Roman" w:hAnsi="Times New Roman" w:cs="Times New Roman"/>
        </w:rPr>
        <w:t>Preto sa navrhuje, aby dôchodková prognóza obsahovala vhodne zostavenú informáciu o možnosti dobrovoľného sporenia na dôchodok. Keďže podrobnosti o obsahu dôchodkovej prognózy sa určujú všeobecne záväzným právnym predpisom (vyhláška), ktorý vydá Ministerstvo práce, sociálnych vecí a rodiny Slovenskej republiky, obsah tejto informácie bude formulovaný až následne, tak aby vhodne dopĺňal celý dokument.</w:t>
      </w:r>
    </w:p>
    <w:p w14:paraId="292995E1" w14:textId="77777777" w:rsidR="00B627C8" w:rsidRPr="00B627C8" w:rsidRDefault="00B627C8" w:rsidP="00B627C8">
      <w:pPr>
        <w:jc w:val="both"/>
        <w:rPr>
          <w:rFonts w:ascii="Times New Roman" w:hAnsi="Times New Roman" w:cs="Times New Roman"/>
          <w:b/>
          <w:bCs/>
          <w:highlight w:val="magenta"/>
        </w:rPr>
      </w:pPr>
    </w:p>
    <w:p w14:paraId="3B67A637" w14:textId="77777777" w:rsidR="00B627C8" w:rsidRPr="00B627C8" w:rsidRDefault="00B627C8" w:rsidP="00B627C8">
      <w:pPr>
        <w:jc w:val="both"/>
        <w:rPr>
          <w:rFonts w:ascii="Times New Roman" w:hAnsi="Times New Roman" w:cs="Times New Roman"/>
          <w:b/>
          <w:bCs/>
        </w:rPr>
      </w:pPr>
      <w:r w:rsidRPr="00B627C8">
        <w:rPr>
          <w:rFonts w:ascii="Times New Roman" w:hAnsi="Times New Roman" w:cs="Times New Roman"/>
          <w:b/>
          <w:bCs/>
        </w:rPr>
        <w:t>K bodu 14</w:t>
      </w:r>
    </w:p>
    <w:p w14:paraId="12605EC8" w14:textId="77777777" w:rsidR="00B627C8" w:rsidRPr="00B627C8" w:rsidRDefault="00B627C8" w:rsidP="00B627C8">
      <w:pPr>
        <w:jc w:val="both"/>
        <w:rPr>
          <w:rFonts w:ascii="Times New Roman" w:hAnsi="Times New Roman" w:cs="Times New Roman"/>
        </w:rPr>
      </w:pPr>
      <w:r w:rsidRPr="00B627C8">
        <w:rPr>
          <w:rFonts w:ascii="Times New Roman" w:hAnsi="Times New Roman" w:cs="Times New Roman"/>
        </w:rPr>
        <w:t>Vypustenie povinnosti zamestnávateľa je navrhnuté v záujme znižovania administratívnej záťaže pre zamestnávateľov a zlepšovania podnikateľského prostredia. Povinnosť zamestnávateľov informovať zamestnancov formou SMS alebo iným elektronickým spôsobom o ich zverejnení v registri dlžníkov Sociálnej poisťovne vytvára pre podnikateľské subjekty dodatočnú administratívnu a finančnú záťaž a navyše na strane zamestnancov nepredstavuje adekvátny prínos. Vypustením tejto povinnosti sa dosiahne zjednodušenie administratívnych procesov. Zrušenie tejto povinnosti je zároveň  jedným z viac ako 300 opatrení, ktorých premietnutie do aplikačnej praxe je priamo naviazané na splnenie míľnika komponentu 14 Plánu obnovy a odolnosti Slovenska.</w:t>
      </w:r>
    </w:p>
    <w:p w14:paraId="1620C71F" w14:textId="77777777" w:rsidR="00B627C8" w:rsidRPr="00B627C8" w:rsidRDefault="00B627C8" w:rsidP="00B627C8">
      <w:pPr>
        <w:jc w:val="both"/>
        <w:rPr>
          <w:rFonts w:ascii="Times New Roman" w:hAnsi="Times New Roman" w:cs="Times New Roman"/>
        </w:rPr>
      </w:pPr>
    </w:p>
    <w:p w14:paraId="0283A70A" w14:textId="77777777" w:rsidR="00B627C8" w:rsidRPr="00B627C8" w:rsidRDefault="00B627C8" w:rsidP="00B627C8">
      <w:pPr>
        <w:jc w:val="both"/>
        <w:rPr>
          <w:rFonts w:ascii="Times New Roman" w:hAnsi="Times New Roman" w:cs="Times New Roman"/>
          <w:b/>
          <w:bCs/>
        </w:rPr>
      </w:pPr>
      <w:r w:rsidRPr="00B627C8">
        <w:rPr>
          <w:rFonts w:ascii="Times New Roman" w:hAnsi="Times New Roman" w:cs="Times New Roman"/>
          <w:b/>
          <w:bCs/>
        </w:rPr>
        <w:t>K bodu 19</w:t>
      </w:r>
    </w:p>
    <w:p w14:paraId="0FABD5A5" w14:textId="77777777" w:rsidR="00B627C8" w:rsidRPr="00B627C8" w:rsidRDefault="00B627C8" w:rsidP="00B627C8">
      <w:pPr>
        <w:jc w:val="both"/>
        <w:rPr>
          <w:rFonts w:ascii="Times New Roman" w:hAnsi="Times New Roman" w:cs="Times New Roman"/>
        </w:rPr>
      </w:pPr>
      <w:r w:rsidRPr="00B627C8">
        <w:rPr>
          <w:rFonts w:ascii="Times New Roman" w:hAnsi="Times New Roman" w:cs="Times New Roman"/>
        </w:rPr>
        <w:t>Navrhuje sa precizovanie ustanovenia, na základe ktorého Sociálna poisťovňa zasiela dôchodkovú prognózu prvý krát.</w:t>
      </w:r>
    </w:p>
    <w:p w14:paraId="4E2FD876" w14:textId="77777777" w:rsidR="00B627C8" w:rsidRPr="00B627C8" w:rsidRDefault="00B627C8" w:rsidP="00B627C8">
      <w:pPr>
        <w:jc w:val="both"/>
        <w:rPr>
          <w:rFonts w:ascii="Times New Roman" w:hAnsi="Times New Roman" w:cs="Times New Roman"/>
        </w:rPr>
      </w:pPr>
    </w:p>
    <w:p w14:paraId="1C8FF638" w14:textId="77777777" w:rsidR="00B627C8" w:rsidRPr="00B627C8" w:rsidRDefault="00B627C8" w:rsidP="00B627C8">
      <w:pPr>
        <w:jc w:val="both"/>
        <w:rPr>
          <w:rFonts w:ascii="Times New Roman" w:hAnsi="Times New Roman" w:cs="Times New Roman"/>
          <w:b/>
          <w:bCs/>
        </w:rPr>
      </w:pPr>
      <w:r w:rsidRPr="00B627C8">
        <w:rPr>
          <w:rFonts w:ascii="Times New Roman" w:hAnsi="Times New Roman" w:cs="Times New Roman"/>
          <w:b/>
          <w:bCs/>
        </w:rPr>
        <w:t>K bodu 20</w:t>
      </w:r>
    </w:p>
    <w:p w14:paraId="59E58388" w14:textId="77777777" w:rsidR="00B627C8" w:rsidRPr="00B627C8" w:rsidRDefault="00B627C8" w:rsidP="00B627C8">
      <w:pPr>
        <w:jc w:val="both"/>
        <w:rPr>
          <w:rFonts w:ascii="Times New Roman" w:hAnsi="Times New Roman" w:cs="Times New Roman"/>
          <w:iCs/>
          <w:color w:val="000000" w:themeColor="text1"/>
        </w:rPr>
      </w:pPr>
      <w:r w:rsidRPr="00B627C8">
        <w:rPr>
          <w:rFonts w:ascii="Times New Roman" w:hAnsi="Times New Roman" w:cs="Times New Roman"/>
          <w:iCs/>
          <w:color w:val="000000" w:themeColor="text1"/>
        </w:rPr>
        <w:t>Plná elektronizácia údajov, ktoré boli zamestnávateľmi predkladané na ELDP sa navrhuje s účinnosťou od 1. januára 2026 a bude realizovaná za obdobie po 31. decembri 2025. Je preto nevyhnutné zabezpečiť doplnenie údajov chýbajúcich za obdobie pred 1. januárom 2026. Z uvedeného dôvodu sa navrhuje, aby zamestnávateľ jednorazovo  predložil evidenciu na účely dôchodkového poistenia za obdobie pred 1. januárom 2026 v zákonom určenej lehote na formulároch, na ktorých ich predkladal pred týmto dátumom. Zamestnávateľom preto vzniká povinnosť predložiť ELDP za obdobie pred 1. januárom 2026, a to za všetkých svojich zamestnancov, ktorých zamestnanie trvá aj po 31. decembri 2025.</w:t>
      </w:r>
    </w:p>
    <w:p w14:paraId="54F3D34B" w14:textId="77777777" w:rsidR="00B627C8" w:rsidRPr="00B627C8" w:rsidRDefault="00B627C8" w:rsidP="00B627C8">
      <w:pPr>
        <w:jc w:val="both"/>
        <w:rPr>
          <w:rFonts w:ascii="Times New Roman" w:hAnsi="Times New Roman" w:cs="Times New Roman"/>
          <w:iCs/>
        </w:rPr>
      </w:pPr>
      <w:r w:rsidRPr="00B627C8">
        <w:rPr>
          <w:rFonts w:ascii="Times New Roman" w:hAnsi="Times New Roman" w:cs="Times New Roman"/>
          <w:iCs/>
          <w:color w:val="000000" w:themeColor="text1"/>
        </w:rPr>
        <w:t xml:space="preserve">Táto povinnosť sa zamestnávateľom ukladá predovšetkým z dôvodu, že Sociálna poisťovňa vo svojich informačných systémoch neeviduje všetky údaje potrebné na rozhodnutie o nároku na dôchodok a určenie jeho sumy. Ide o údaje o období poberania náhrady príjmu z vážnych prevádzkových dôvodov, pre ktoré zamestnávateľ nemôže prideľovať zamestnancovi prácu a sumu tejto náhrady. Údaje o dobe poskytovania nemocenského, o dobe poskytovania ošetrovného, o dobe poskytovania materského a o dobe poskytovania vyrovnávacej dávky kompletne eviduje Sociálna poisťovňa výlučne v elektronickej forme len od roku 2009. </w:t>
      </w:r>
      <w:r w:rsidRPr="00B627C8">
        <w:rPr>
          <w:rFonts w:ascii="Times New Roman" w:hAnsi="Times New Roman" w:cs="Times New Roman"/>
          <w:iCs/>
          <w:color w:val="000000"/>
        </w:rPr>
        <w:t xml:space="preserve">Údaje o </w:t>
      </w:r>
      <w:r w:rsidRPr="00B627C8">
        <w:rPr>
          <w:rFonts w:ascii="Times New Roman" w:hAnsi="Times New Roman" w:cs="Times New Roman"/>
          <w:iCs/>
        </w:rPr>
        <w:t>starostlivosti rodiča o dieťa do šiestich rokov veku alebo o dieťa s dlhodobo nepriaznivým zdravotným stavom do siedmich rokov, ktorému sa neposkytovala starostlivosť v zariadení sociálnych služieb eviduje v informačnom systéme až od januára 2014.</w:t>
      </w:r>
    </w:p>
    <w:p w14:paraId="28FDCAC0" w14:textId="77777777" w:rsidR="00B627C8" w:rsidRPr="00B627C8" w:rsidRDefault="00B627C8" w:rsidP="00B627C8">
      <w:pPr>
        <w:jc w:val="both"/>
        <w:rPr>
          <w:rFonts w:ascii="Times New Roman" w:hAnsi="Times New Roman" w:cs="Times New Roman"/>
        </w:rPr>
      </w:pPr>
      <w:r w:rsidRPr="00B627C8">
        <w:rPr>
          <w:rFonts w:ascii="Times New Roman" w:hAnsi="Times New Roman" w:cs="Times New Roman"/>
          <w:iCs/>
          <w:color w:val="000000" w:themeColor="text1"/>
        </w:rPr>
        <w:t>Aj keď navrhované opatrenie vyvolá jednorazovo zvýšené finančné náklady, je dôvodný predpoklad, že navrhované opatrenie v budúcnosti zníži finančné náklady zamestnávateľa, nakoľko po predložení ELDP za všetkých zamestnancov</w:t>
      </w:r>
      <w:r w:rsidRPr="00B627C8">
        <w:rPr>
          <w:rFonts w:ascii="Times New Roman" w:hAnsi="Times New Roman" w:cs="Times New Roman"/>
        </w:rPr>
        <w:t xml:space="preserve"> </w:t>
      </w:r>
      <w:r w:rsidRPr="00B627C8">
        <w:rPr>
          <w:rFonts w:ascii="Times New Roman" w:hAnsi="Times New Roman" w:cs="Times New Roman"/>
          <w:iCs/>
          <w:color w:val="000000" w:themeColor="text1"/>
        </w:rPr>
        <w:t xml:space="preserve">podľa prechodného ustanovenia, bez ohľadu na skutočnosť, či zamestnanec skončil alebo neskončil právny vzťah </w:t>
      </w:r>
      <w:r w:rsidRPr="00B627C8">
        <w:rPr>
          <w:rFonts w:ascii="Times New Roman" w:hAnsi="Times New Roman" w:cs="Times New Roman"/>
          <w:iCs/>
          <w:color w:val="000000" w:themeColor="text1"/>
        </w:rPr>
        <w:lastRenderedPageBreak/>
        <w:t xml:space="preserve">k zamestnávateľovi, nebude musieť zamestnávateľ udržiavať informačné systémy s údajmi a funkcionalitou potrebnou výlučne na ich vyhotovenie. Uvedené opatrenie bude mať prínos aj pre žiadateľa o dôchodok v tom, že za obdobie pred 1. januárom 2026 bude mať Sociálna poisťovňa konsolidované údaje potrebné na účely dôchodkového poistenia, t. j. </w:t>
      </w:r>
      <w:r w:rsidRPr="00B627C8">
        <w:rPr>
          <w:rFonts w:ascii="Times New Roman" w:hAnsi="Times New Roman" w:cs="Times New Roman"/>
        </w:rPr>
        <w:t>na rozhodovanie o nároku na dôchodok a na určenie jeho sumy</w:t>
      </w:r>
      <w:r w:rsidRPr="00B627C8">
        <w:rPr>
          <w:rFonts w:ascii="Times New Roman" w:hAnsi="Times New Roman" w:cs="Times New Roman"/>
          <w:iCs/>
          <w:color w:val="000000" w:themeColor="text1"/>
        </w:rPr>
        <w:t>.</w:t>
      </w:r>
    </w:p>
    <w:p w14:paraId="2B57EDCF" w14:textId="77777777" w:rsidR="00B627C8" w:rsidRPr="00B627C8" w:rsidRDefault="00B627C8" w:rsidP="00B627C8">
      <w:pPr>
        <w:jc w:val="both"/>
        <w:rPr>
          <w:rFonts w:ascii="Times New Roman" w:hAnsi="Times New Roman" w:cs="Times New Roman"/>
          <w:b/>
          <w:highlight w:val="lightGray"/>
        </w:rPr>
      </w:pPr>
    </w:p>
    <w:p w14:paraId="674AF1AB" w14:textId="77777777" w:rsidR="00B627C8" w:rsidRPr="00B627C8" w:rsidRDefault="00B627C8" w:rsidP="00B627C8">
      <w:pPr>
        <w:jc w:val="both"/>
        <w:rPr>
          <w:rFonts w:ascii="Times New Roman" w:hAnsi="Times New Roman" w:cs="Times New Roman"/>
          <w:b/>
          <w:bCs/>
        </w:rPr>
      </w:pPr>
      <w:r w:rsidRPr="00B627C8">
        <w:rPr>
          <w:rFonts w:ascii="Times New Roman" w:hAnsi="Times New Roman" w:cs="Times New Roman"/>
          <w:b/>
          <w:bCs/>
        </w:rPr>
        <w:t>K čl. II a III</w:t>
      </w:r>
    </w:p>
    <w:p w14:paraId="4126144C" w14:textId="77777777" w:rsidR="00B627C8" w:rsidRPr="00B627C8" w:rsidRDefault="00B627C8" w:rsidP="00B627C8">
      <w:pPr>
        <w:jc w:val="both"/>
        <w:rPr>
          <w:rFonts w:ascii="Times New Roman" w:hAnsi="Times New Roman" w:cs="Times New Roman"/>
          <w:bCs/>
        </w:rPr>
      </w:pPr>
      <w:r w:rsidRPr="00B627C8">
        <w:rPr>
          <w:rFonts w:ascii="Times New Roman" w:hAnsi="Times New Roman" w:cs="Times New Roman"/>
          <w:bCs/>
        </w:rPr>
        <w:t>Navrhuje sa posunúť začiatok novej výplatnej fázy v starobnom dôchodkovom sporení na rok 2029. Nová výplatná fáza mala v súlade s príslušnými ustanoveniami zákona č. 399/2022 Z. z., ktorým sa mení a dopĺňa zákon č. 43/2004 Z. z. o starobnom dôchodkovom sporení a o zmene a doplnení niektorých zákonov v znení neskorších predpisov a ktorým sa menia a dopĺňajú niektoré zákony pôvodne nadobudnúť účinnosť 1. januára 2024.</w:t>
      </w:r>
    </w:p>
    <w:p w14:paraId="6CE58604" w14:textId="37CF5579" w:rsidR="00B627C8" w:rsidRPr="00B627C8" w:rsidRDefault="00B627C8" w:rsidP="00B627C8">
      <w:pPr>
        <w:jc w:val="both"/>
        <w:rPr>
          <w:rFonts w:ascii="Times New Roman" w:hAnsi="Times New Roman" w:cs="Times New Roman"/>
          <w:bCs/>
        </w:rPr>
      </w:pPr>
      <w:r w:rsidRPr="00B627C8">
        <w:rPr>
          <w:rFonts w:ascii="Times New Roman" w:hAnsi="Times New Roman" w:cs="Times New Roman"/>
          <w:bCs/>
        </w:rPr>
        <w:t xml:space="preserve">V prvom polroku 2023 sa však v pléne Národnej rady Slovenskej republiky nepodarilo presadiť potrebné vecné a legislatívno-technické zmeny, ktoré boli nevyhnutné na dosiahnutie vykonateľnosti príslušných ustanovení v horizonte pôvodne navrhovanej účinnosti od roku 2024. </w:t>
      </w:r>
    </w:p>
    <w:p w14:paraId="3C534290" w14:textId="680FCD50" w:rsidR="00B627C8" w:rsidRPr="00B627C8" w:rsidRDefault="00B627C8" w:rsidP="00B627C8">
      <w:pPr>
        <w:jc w:val="both"/>
        <w:rPr>
          <w:rFonts w:ascii="Times New Roman" w:hAnsi="Times New Roman" w:cs="Times New Roman"/>
          <w:bCs/>
        </w:rPr>
      </w:pPr>
      <w:r w:rsidRPr="00B627C8">
        <w:rPr>
          <w:rFonts w:ascii="Times New Roman" w:hAnsi="Times New Roman" w:cs="Times New Roman"/>
          <w:bCs/>
        </w:rPr>
        <w:t>Z uvedených dôvodov a pri zohľadnení skutočnosti, že potrebné procesy nebolo možné zrealizovať tak, aby mali dotknuté subjekty aj dostatočnú lehotu na implementáciu novej regulácie, bola postupne dvoma novelami (zákonom č. 210/2023 Z. z, a následne zákonom č. 87/2024 Z. z.) účinnosť dotknutých ustanovení posunutá najskôr na 1. január 2025 a potom na 1. január 2026.</w:t>
      </w:r>
    </w:p>
    <w:p w14:paraId="612D5292" w14:textId="3D8D4B73" w:rsidR="00B627C8" w:rsidRPr="00B627C8" w:rsidRDefault="00B627C8" w:rsidP="00B627C8">
      <w:pPr>
        <w:jc w:val="both"/>
        <w:rPr>
          <w:rFonts w:ascii="Times New Roman" w:hAnsi="Times New Roman" w:cs="Times New Roman"/>
          <w:bCs/>
        </w:rPr>
      </w:pPr>
      <w:r w:rsidRPr="00B627C8">
        <w:rPr>
          <w:rFonts w:ascii="Times New Roman" w:hAnsi="Times New Roman" w:cs="Times New Roman"/>
          <w:bCs/>
        </w:rPr>
        <w:t xml:space="preserve">Nakoľko rezort práce, podľa vlastných vyjadrení, </w:t>
      </w:r>
      <w:r w:rsidR="00DA223A">
        <w:rPr>
          <w:rFonts w:ascii="Times New Roman" w:hAnsi="Times New Roman" w:cs="Times New Roman"/>
          <w:bCs/>
        </w:rPr>
        <w:t xml:space="preserve">analyzuje </w:t>
      </w:r>
      <w:r w:rsidRPr="00B627C8">
        <w:rPr>
          <w:rFonts w:ascii="Times New Roman" w:hAnsi="Times New Roman" w:cs="Times New Roman"/>
          <w:bCs/>
        </w:rPr>
        <w:t>cel</w:t>
      </w:r>
      <w:r w:rsidR="00DA223A">
        <w:rPr>
          <w:rFonts w:ascii="Times New Roman" w:hAnsi="Times New Roman" w:cs="Times New Roman"/>
          <w:bCs/>
        </w:rPr>
        <w:t>ý</w:t>
      </w:r>
      <w:r w:rsidRPr="00B627C8">
        <w:rPr>
          <w:rFonts w:ascii="Times New Roman" w:hAnsi="Times New Roman" w:cs="Times New Roman"/>
          <w:bCs/>
        </w:rPr>
        <w:t xml:space="preserve"> dôchodkov</w:t>
      </w:r>
      <w:r w:rsidR="00DA223A">
        <w:rPr>
          <w:rFonts w:ascii="Times New Roman" w:hAnsi="Times New Roman" w:cs="Times New Roman"/>
          <w:bCs/>
        </w:rPr>
        <w:t>ý</w:t>
      </w:r>
      <w:r w:rsidRPr="00B627C8">
        <w:rPr>
          <w:rFonts w:ascii="Times New Roman" w:hAnsi="Times New Roman" w:cs="Times New Roman"/>
          <w:bCs/>
        </w:rPr>
        <w:t xml:space="preserve"> systém, pričom potrebný časový rámec pre tieto analýzy </w:t>
      </w:r>
      <w:r w:rsidR="00DA223A" w:rsidRPr="00B627C8">
        <w:rPr>
          <w:rFonts w:ascii="Times New Roman" w:hAnsi="Times New Roman" w:cs="Times New Roman"/>
          <w:bCs/>
        </w:rPr>
        <w:t xml:space="preserve">nie je možné </w:t>
      </w:r>
      <w:r w:rsidRPr="00B627C8">
        <w:rPr>
          <w:rFonts w:ascii="Times New Roman" w:hAnsi="Times New Roman" w:cs="Times New Roman"/>
          <w:bCs/>
        </w:rPr>
        <w:t xml:space="preserve">odhadnúť, navrhuje sa posun nábehu novej výplatnej fázy o ďalšie tri kalendárne roky, t. zn. z roku 2026 na rok 2029. </w:t>
      </w:r>
    </w:p>
    <w:p w14:paraId="2BB981F7" w14:textId="77777777" w:rsidR="00B627C8" w:rsidRPr="00B627C8" w:rsidRDefault="00B627C8" w:rsidP="00B627C8">
      <w:pPr>
        <w:jc w:val="both"/>
        <w:rPr>
          <w:rFonts w:ascii="Times New Roman" w:hAnsi="Times New Roman" w:cs="Times New Roman"/>
          <w:b/>
          <w:bCs/>
        </w:rPr>
      </w:pPr>
    </w:p>
    <w:p w14:paraId="06BBBD45" w14:textId="77777777" w:rsidR="00B627C8" w:rsidRPr="00B627C8" w:rsidRDefault="00B627C8" w:rsidP="00B627C8">
      <w:pPr>
        <w:keepNext/>
        <w:jc w:val="both"/>
        <w:rPr>
          <w:rFonts w:ascii="Times New Roman" w:hAnsi="Times New Roman" w:cs="Times New Roman"/>
          <w:b/>
          <w:bCs/>
        </w:rPr>
      </w:pPr>
      <w:r w:rsidRPr="00B627C8">
        <w:rPr>
          <w:rFonts w:ascii="Times New Roman" w:hAnsi="Times New Roman" w:cs="Times New Roman"/>
          <w:b/>
          <w:bCs/>
        </w:rPr>
        <w:t>K čl. IV</w:t>
      </w:r>
    </w:p>
    <w:p w14:paraId="6B58C00E" w14:textId="77777777" w:rsidR="00B627C8" w:rsidRPr="00B627C8" w:rsidRDefault="00B627C8" w:rsidP="00B627C8">
      <w:pPr>
        <w:jc w:val="both"/>
        <w:rPr>
          <w:rFonts w:ascii="Times New Roman" w:hAnsi="Times New Roman" w:cs="Times New Roman"/>
        </w:rPr>
      </w:pPr>
      <w:r w:rsidRPr="00B627C8">
        <w:rPr>
          <w:rFonts w:ascii="Times New Roman" w:hAnsi="Times New Roman" w:cs="Times New Roman"/>
        </w:rPr>
        <w:t>Zrušenie povinnosti zamestnávateľov písomne alebo elektronickou poštou alebo krátkou textovou správou (SMS) oznámiť svojim zamestnancom, že zamestnávateľ bol zverejnený v zozname dlžníkov vedenom Sociálnou poisťovňou sa navrhuje s účinnosťou od 1. januára 2025. Ide o jedno z opatrení na zlepšenie podnikateľského prostredia k prijatiu ktorých sa zaviazala vláda Slovenskej republiky svojím uznesením, pričom k uvedenému dátumu majú nadobudnúť účinnosť opatrenia v súvislosti s naplnením míľnika komponentu 14 Plánu obnovy a odolnosti Slovenskej republiky.</w:t>
      </w:r>
    </w:p>
    <w:p w14:paraId="46CCB792" w14:textId="77777777" w:rsidR="00B627C8" w:rsidRPr="00B627C8" w:rsidRDefault="00B627C8" w:rsidP="00B627C8">
      <w:pPr>
        <w:jc w:val="both"/>
        <w:rPr>
          <w:rFonts w:ascii="Times New Roman" w:hAnsi="Times New Roman" w:cs="Times New Roman"/>
          <w:bCs/>
        </w:rPr>
      </w:pPr>
      <w:r w:rsidRPr="00B627C8">
        <w:rPr>
          <w:rFonts w:ascii="Times New Roman" w:hAnsi="Times New Roman" w:cs="Times New Roman"/>
          <w:bCs/>
        </w:rPr>
        <w:t xml:space="preserve">Po zrušení povinnosti zamestnávateľa predkladať Sociálnej poisťovni ELDP bude nevyhnutné získať potrebné údaje inými spôsobmi a následne ich spracovať na potreby dôchodkového poistenia. Uvedené si žiada úpravu informačných systémov Sociálnej poisťovne, ako aj zamestnávateľov, preto je potrebná dostatočne dlhá </w:t>
      </w:r>
      <w:proofErr w:type="spellStart"/>
      <w:r w:rsidRPr="00B627C8">
        <w:rPr>
          <w:rFonts w:ascii="Times New Roman" w:hAnsi="Times New Roman" w:cs="Times New Roman"/>
          <w:bCs/>
        </w:rPr>
        <w:t>legisvakačná</w:t>
      </w:r>
      <w:proofErr w:type="spellEnd"/>
      <w:r w:rsidRPr="00B627C8">
        <w:rPr>
          <w:rFonts w:ascii="Times New Roman" w:hAnsi="Times New Roman" w:cs="Times New Roman"/>
          <w:bCs/>
        </w:rPr>
        <w:t xml:space="preserve"> doba, aby zamestnávatelia a Sociálna poisťovňa mali dostatok času na prípravu svojich informačných systémov. Na základe vyššie uvedených skutočností sa navrhuje dátum účinnosti legislatívnej úpravy stanoviť najskôr na 1. január 2026.</w:t>
      </w:r>
    </w:p>
    <w:p w14:paraId="36AB37D4" w14:textId="77777777" w:rsidR="00B627C8" w:rsidRPr="00B627C8" w:rsidRDefault="00B627C8" w:rsidP="00B627C8">
      <w:pPr>
        <w:jc w:val="both"/>
        <w:rPr>
          <w:rFonts w:ascii="Times New Roman" w:hAnsi="Times New Roman" w:cs="Times New Roman"/>
          <w:bCs/>
        </w:rPr>
      </w:pPr>
      <w:r w:rsidRPr="00B627C8">
        <w:rPr>
          <w:rFonts w:ascii="Times New Roman" w:hAnsi="Times New Roman" w:cs="Times New Roman"/>
          <w:bCs/>
        </w:rPr>
        <w:t xml:space="preserve">Z dôvodu zabezpečenia dostatočnej </w:t>
      </w:r>
      <w:proofErr w:type="spellStart"/>
      <w:r w:rsidRPr="00B627C8">
        <w:rPr>
          <w:rFonts w:ascii="Times New Roman" w:hAnsi="Times New Roman" w:cs="Times New Roman"/>
          <w:bCs/>
        </w:rPr>
        <w:t>legisvakancie</w:t>
      </w:r>
      <w:proofErr w:type="spellEnd"/>
      <w:r w:rsidRPr="00B627C8">
        <w:rPr>
          <w:rFonts w:ascii="Times New Roman" w:hAnsi="Times New Roman" w:cs="Times New Roman"/>
          <w:bCs/>
        </w:rPr>
        <w:t xml:space="preserve"> pre dotknuté subjekty (Sociálna poisťovňa, doplnkové dôchodkové spoločnosti, poskytovatelia celoeurópskeho osobného dôchodkového produktu) na prípravu najmä informačných systémov, ale aj ostatných procesných činností (vnútorné postupy činnosti, metodika, kontrolné procesy a pod.), sa navrhuje, aby príslušné ustanovenia týkajúce sa prognóz </w:t>
      </w:r>
      <w:r w:rsidRPr="00B627C8">
        <w:rPr>
          <w:rFonts w:ascii="Times New Roman" w:hAnsi="Times New Roman" w:cs="Times New Roman"/>
        </w:rPr>
        <w:t>doplnkového starobného dôchodku z doplnkového dôchodkového sporenia a prognóz dôchodku alebo programového výberu z celoeurópskeho osobného dôchodkového produktu</w:t>
      </w:r>
      <w:r w:rsidRPr="00B627C8">
        <w:rPr>
          <w:rFonts w:ascii="Times New Roman" w:hAnsi="Times New Roman" w:cs="Times New Roman"/>
          <w:bCs/>
        </w:rPr>
        <w:t xml:space="preserve"> nadobudli účinnosť najskôr v roku 2028.</w:t>
      </w:r>
    </w:p>
    <w:p w14:paraId="602C0C68" w14:textId="77777777" w:rsidR="008E53C5" w:rsidRPr="00B627C8" w:rsidRDefault="008E53C5">
      <w:pPr>
        <w:rPr>
          <w:rFonts w:ascii="Times New Roman" w:eastAsia="Times New Roman" w:hAnsi="Times New Roman" w:cs="Times New Roman"/>
          <w:color w:val="000000"/>
          <w:lang w:eastAsia="en-GB"/>
        </w:rPr>
      </w:pPr>
    </w:p>
    <w:sectPr w:rsidR="008E53C5" w:rsidRPr="00B627C8" w:rsidSect="00D517D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B270A" w14:textId="77777777" w:rsidR="00AF1446" w:rsidRDefault="00AF1446" w:rsidP="00D517D4">
      <w:r>
        <w:separator/>
      </w:r>
    </w:p>
  </w:endnote>
  <w:endnote w:type="continuationSeparator" w:id="0">
    <w:p w14:paraId="47DF62F9" w14:textId="77777777" w:rsidR="00AF1446" w:rsidRDefault="00AF1446" w:rsidP="00D5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167591"/>
      <w:docPartObj>
        <w:docPartGallery w:val="Page Numbers (Bottom of Page)"/>
        <w:docPartUnique/>
      </w:docPartObj>
    </w:sdtPr>
    <w:sdtEndPr>
      <w:rPr>
        <w:rFonts w:ascii="Times New Roman" w:hAnsi="Times New Roman" w:cs="Times New Roman"/>
        <w:sz w:val="22"/>
        <w:szCs w:val="22"/>
      </w:rPr>
    </w:sdtEndPr>
    <w:sdtContent>
      <w:p w14:paraId="23A51D14" w14:textId="1AECD2A4" w:rsidR="00D517D4" w:rsidRPr="00D517D4" w:rsidRDefault="00D517D4">
        <w:pPr>
          <w:pStyle w:val="Pta"/>
          <w:jc w:val="center"/>
          <w:rPr>
            <w:rFonts w:ascii="Times New Roman" w:hAnsi="Times New Roman" w:cs="Times New Roman"/>
            <w:sz w:val="22"/>
            <w:szCs w:val="22"/>
          </w:rPr>
        </w:pPr>
        <w:r w:rsidRPr="00D517D4">
          <w:rPr>
            <w:rFonts w:ascii="Times New Roman" w:hAnsi="Times New Roman" w:cs="Times New Roman"/>
            <w:sz w:val="22"/>
            <w:szCs w:val="22"/>
          </w:rPr>
          <w:fldChar w:fldCharType="begin"/>
        </w:r>
        <w:r w:rsidRPr="00D517D4">
          <w:rPr>
            <w:rFonts w:ascii="Times New Roman" w:hAnsi="Times New Roman" w:cs="Times New Roman"/>
            <w:sz w:val="22"/>
            <w:szCs w:val="22"/>
          </w:rPr>
          <w:instrText>PAGE   \* MERGEFORMAT</w:instrText>
        </w:r>
        <w:r w:rsidRPr="00D517D4">
          <w:rPr>
            <w:rFonts w:ascii="Times New Roman" w:hAnsi="Times New Roman" w:cs="Times New Roman"/>
            <w:sz w:val="22"/>
            <w:szCs w:val="22"/>
          </w:rPr>
          <w:fldChar w:fldCharType="separate"/>
        </w:r>
        <w:r>
          <w:rPr>
            <w:rFonts w:ascii="Times New Roman" w:hAnsi="Times New Roman" w:cs="Times New Roman"/>
            <w:noProof/>
            <w:sz w:val="22"/>
            <w:szCs w:val="22"/>
          </w:rPr>
          <w:t>6</w:t>
        </w:r>
        <w:r w:rsidRPr="00D517D4">
          <w:rPr>
            <w:rFonts w:ascii="Times New Roman" w:hAnsi="Times New Roman" w:cs="Times New Roman"/>
            <w:sz w:val="22"/>
            <w:szCs w:val="22"/>
          </w:rPr>
          <w:fldChar w:fldCharType="end"/>
        </w:r>
      </w:p>
    </w:sdtContent>
  </w:sdt>
  <w:p w14:paraId="0E50087F" w14:textId="77777777" w:rsidR="00D517D4" w:rsidRDefault="00D517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7DE33" w14:textId="77777777" w:rsidR="00AF1446" w:rsidRDefault="00AF1446" w:rsidP="00D517D4">
      <w:r>
        <w:separator/>
      </w:r>
    </w:p>
  </w:footnote>
  <w:footnote w:type="continuationSeparator" w:id="0">
    <w:p w14:paraId="45D82111" w14:textId="77777777" w:rsidR="00AF1446" w:rsidRDefault="00AF1446" w:rsidP="00D51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5A"/>
    <w:rsid w:val="0000345E"/>
    <w:rsid w:val="00095A5E"/>
    <w:rsid w:val="000968B5"/>
    <w:rsid w:val="0011119F"/>
    <w:rsid w:val="001818B2"/>
    <w:rsid w:val="001D0220"/>
    <w:rsid w:val="002F16A5"/>
    <w:rsid w:val="00333522"/>
    <w:rsid w:val="0033634A"/>
    <w:rsid w:val="00480CBB"/>
    <w:rsid w:val="0049720B"/>
    <w:rsid w:val="004A74B2"/>
    <w:rsid w:val="00507C7B"/>
    <w:rsid w:val="00596C84"/>
    <w:rsid w:val="00597635"/>
    <w:rsid w:val="005D02E2"/>
    <w:rsid w:val="005E19CF"/>
    <w:rsid w:val="005E38B2"/>
    <w:rsid w:val="00604855"/>
    <w:rsid w:val="006B28A7"/>
    <w:rsid w:val="0072033E"/>
    <w:rsid w:val="00745D9A"/>
    <w:rsid w:val="0077658F"/>
    <w:rsid w:val="007C05D7"/>
    <w:rsid w:val="00856CEF"/>
    <w:rsid w:val="008928AF"/>
    <w:rsid w:val="008E39E2"/>
    <w:rsid w:val="008E53C5"/>
    <w:rsid w:val="008F7CBE"/>
    <w:rsid w:val="00900FA3"/>
    <w:rsid w:val="009462DF"/>
    <w:rsid w:val="00984544"/>
    <w:rsid w:val="009A3ACF"/>
    <w:rsid w:val="009C1B5B"/>
    <w:rsid w:val="009D4C44"/>
    <w:rsid w:val="009F3F15"/>
    <w:rsid w:val="00A21CAB"/>
    <w:rsid w:val="00A62EFA"/>
    <w:rsid w:val="00AF0CDD"/>
    <w:rsid w:val="00AF1446"/>
    <w:rsid w:val="00AF6B2F"/>
    <w:rsid w:val="00B14416"/>
    <w:rsid w:val="00B334C2"/>
    <w:rsid w:val="00B627C8"/>
    <w:rsid w:val="00B901A8"/>
    <w:rsid w:val="00BB715D"/>
    <w:rsid w:val="00BD6FF6"/>
    <w:rsid w:val="00C61AF6"/>
    <w:rsid w:val="00C77977"/>
    <w:rsid w:val="00CA3370"/>
    <w:rsid w:val="00D02EB6"/>
    <w:rsid w:val="00D16A57"/>
    <w:rsid w:val="00D517D4"/>
    <w:rsid w:val="00D628A2"/>
    <w:rsid w:val="00DA223A"/>
    <w:rsid w:val="00E17C2D"/>
    <w:rsid w:val="00E244A0"/>
    <w:rsid w:val="00E73E79"/>
    <w:rsid w:val="00EA50A7"/>
    <w:rsid w:val="00EB20A4"/>
    <w:rsid w:val="00EB5772"/>
    <w:rsid w:val="00EF255A"/>
    <w:rsid w:val="00F37B56"/>
    <w:rsid w:val="00F63B94"/>
    <w:rsid w:val="00F815A8"/>
    <w:rsid w:val="00FB4660"/>
    <w:rsid w:val="00FB6FC0"/>
    <w:rsid w:val="00FF478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931B"/>
  <w15:docId w15:val="{418D8432-606C-B449-A751-3C3D637E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658F"/>
  </w:style>
  <w:style w:type="paragraph" w:styleId="Nadpis2">
    <w:name w:val="heading 2"/>
    <w:basedOn w:val="Normlny"/>
    <w:link w:val="Nadpis2Char"/>
    <w:uiPriority w:val="9"/>
    <w:qFormat/>
    <w:rsid w:val="00333522"/>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EF255A"/>
  </w:style>
  <w:style w:type="paragraph" w:styleId="Revzia">
    <w:name w:val="Revision"/>
    <w:hidden/>
    <w:uiPriority w:val="99"/>
    <w:semiHidden/>
    <w:rsid w:val="00B901A8"/>
  </w:style>
  <w:style w:type="character" w:customStyle="1" w:styleId="Nadpis2Char">
    <w:name w:val="Nadpis 2 Char"/>
    <w:basedOn w:val="Predvolenpsmoodseku"/>
    <w:link w:val="Nadpis2"/>
    <w:uiPriority w:val="9"/>
    <w:rsid w:val="00333522"/>
    <w:rPr>
      <w:rFonts w:ascii="Times New Roman" w:eastAsia="Times New Roman" w:hAnsi="Times New Roman" w:cs="Times New Roman"/>
      <w:b/>
      <w:bCs/>
      <w:sz w:val="36"/>
      <w:szCs w:val="36"/>
      <w:lang w:eastAsia="en-GB"/>
    </w:rPr>
  </w:style>
  <w:style w:type="paragraph" w:styleId="Normlnywebov">
    <w:name w:val="Normal (Web)"/>
    <w:basedOn w:val="Normlny"/>
    <w:uiPriority w:val="99"/>
    <w:semiHidden/>
    <w:unhideWhenUsed/>
    <w:rsid w:val="00333522"/>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Predvolenpsmoodseku"/>
    <w:rsid w:val="00333522"/>
  </w:style>
  <w:style w:type="character" w:styleId="Siln">
    <w:name w:val="Strong"/>
    <w:basedOn w:val="Predvolenpsmoodseku"/>
    <w:uiPriority w:val="22"/>
    <w:qFormat/>
    <w:rsid w:val="00EB20A4"/>
    <w:rPr>
      <w:b/>
      <w:bCs/>
    </w:rPr>
  </w:style>
  <w:style w:type="paragraph" w:styleId="Odsekzoznamu">
    <w:name w:val="List Paragraph"/>
    <w:basedOn w:val="Normlny"/>
    <w:uiPriority w:val="34"/>
    <w:qFormat/>
    <w:rsid w:val="009D4C44"/>
    <w:pPr>
      <w:ind w:left="720"/>
      <w:contextualSpacing/>
    </w:pPr>
  </w:style>
  <w:style w:type="paragraph" w:styleId="Hlavika">
    <w:name w:val="header"/>
    <w:basedOn w:val="Normlny"/>
    <w:link w:val="HlavikaChar"/>
    <w:uiPriority w:val="99"/>
    <w:unhideWhenUsed/>
    <w:rsid w:val="00D517D4"/>
    <w:pPr>
      <w:tabs>
        <w:tab w:val="center" w:pos="4536"/>
        <w:tab w:val="right" w:pos="9072"/>
      </w:tabs>
    </w:pPr>
  </w:style>
  <w:style w:type="character" w:customStyle="1" w:styleId="HlavikaChar">
    <w:name w:val="Hlavička Char"/>
    <w:basedOn w:val="Predvolenpsmoodseku"/>
    <w:link w:val="Hlavika"/>
    <w:uiPriority w:val="99"/>
    <w:rsid w:val="00D517D4"/>
  </w:style>
  <w:style w:type="paragraph" w:styleId="Pta">
    <w:name w:val="footer"/>
    <w:basedOn w:val="Normlny"/>
    <w:link w:val="PtaChar"/>
    <w:uiPriority w:val="99"/>
    <w:unhideWhenUsed/>
    <w:rsid w:val="00D517D4"/>
    <w:pPr>
      <w:tabs>
        <w:tab w:val="center" w:pos="4536"/>
        <w:tab w:val="right" w:pos="9072"/>
      </w:tabs>
    </w:pPr>
  </w:style>
  <w:style w:type="character" w:customStyle="1" w:styleId="PtaChar">
    <w:name w:val="Päta Char"/>
    <w:basedOn w:val="Predvolenpsmoodseku"/>
    <w:link w:val="Pta"/>
    <w:uiPriority w:val="99"/>
    <w:rsid w:val="00D5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19790">
      <w:bodyDiv w:val="1"/>
      <w:marLeft w:val="0"/>
      <w:marRight w:val="0"/>
      <w:marTop w:val="0"/>
      <w:marBottom w:val="0"/>
      <w:divBdr>
        <w:top w:val="none" w:sz="0" w:space="0" w:color="auto"/>
        <w:left w:val="none" w:sz="0" w:space="0" w:color="auto"/>
        <w:bottom w:val="none" w:sz="0" w:space="0" w:color="auto"/>
        <w:right w:val="none" w:sz="0" w:space="0" w:color="auto"/>
      </w:divBdr>
    </w:div>
    <w:div w:id="401484268">
      <w:bodyDiv w:val="1"/>
      <w:marLeft w:val="0"/>
      <w:marRight w:val="0"/>
      <w:marTop w:val="0"/>
      <w:marBottom w:val="0"/>
      <w:divBdr>
        <w:top w:val="none" w:sz="0" w:space="0" w:color="auto"/>
        <w:left w:val="none" w:sz="0" w:space="0" w:color="auto"/>
        <w:bottom w:val="none" w:sz="0" w:space="0" w:color="auto"/>
        <w:right w:val="none" w:sz="0" w:space="0" w:color="auto"/>
      </w:divBdr>
      <w:divsChild>
        <w:div w:id="1152941148">
          <w:marLeft w:val="0"/>
          <w:marRight w:val="0"/>
          <w:marTop w:val="200"/>
          <w:marBottom w:val="200"/>
          <w:divBdr>
            <w:top w:val="single" w:sz="8" w:space="0" w:color="000000"/>
            <w:left w:val="single" w:sz="8" w:space="0" w:color="000000"/>
            <w:bottom w:val="single" w:sz="8" w:space="0" w:color="000000"/>
            <w:right w:val="single" w:sz="8" w:space="0" w:color="000000"/>
          </w:divBdr>
          <w:divsChild>
            <w:div w:id="912081801">
              <w:marLeft w:val="0"/>
              <w:marRight w:val="0"/>
              <w:marTop w:val="0"/>
              <w:marBottom w:val="0"/>
              <w:divBdr>
                <w:top w:val="none" w:sz="0" w:space="0" w:color="auto"/>
                <w:left w:val="none" w:sz="0" w:space="0" w:color="auto"/>
                <w:bottom w:val="none" w:sz="0" w:space="0" w:color="auto"/>
                <w:right w:val="none" w:sz="0" w:space="0" w:color="auto"/>
              </w:divBdr>
            </w:div>
            <w:div w:id="1371104425">
              <w:marLeft w:val="0"/>
              <w:marRight w:val="0"/>
              <w:marTop w:val="0"/>
              <w:marBottom w:val="0"/>
              <w:divBdr>
                <w:top w:val="none" w:sz="0" w:space="0" w:color="auto"/>
                <w:left w:val="none" w:sz="0" w:space="0" w:color="auto"/>
                <w:bottom w:val="none" w:sz="0" w:space="0" w:color="auto"/>
                <w:right w:val="none" w:sz="0" w:space="0" w:color="auto"/>
              </w:divBdr>
              <w:divsChild>
                <w:div w:id="39745208">
                  <w:marLeft w:val="0"/>
                  <w:marRight w:val="0"/>
                  <w:marTop w:val="0"/>
                  <w:marBottom w:val="0"/>
                  <w:divBdr>
                    <w:top w:val="none" w:sz="0" w:space="0" w:color="auto"/>
                    <w:left w:val="none" w:sz="0" w:space="0" w:color="auto"/>
                    <w:bottom w:val="none" w:sz="0" w:space="0" w:color="auto"/>
                    <w:right w:val="none" w:sz="0" w:space="0" w:color="auto"/>
                  </w:divBdr>
                </w:div>
                <w:div w:id="516043358">
                  <w:marLeft w:val="0"/>
                  <w:marRight w:val="0"/>
                  <w:marTop w:val="0"/>
                  <w:marBottom w:val="0"/>
                  <w:divBdr>
                    <w:top w:val="none" w:sz="0" w:space="0" w:color="auto"/>
                    <w:left w:val="none" w:sz="0" w:space="0" w:color="auto"/>
                    <w:bottom w:val="none" w:sz="0" w:space="0" w:color="auto"/>
                    <w:right w:val="none" w:sz="0" w:space="0" w:color="auto"/>
                  </w:divBdr>
                </w:div>
                <w:div w:id="1600287173">
                  <w:marLeft w:val="0"/>
                  <w:marRight w:val="0"/>
                  <w:marTop w:val="0"/>
                  <w:marBottom w:val="0"/>
                  <w:divBdr>
                    <w:top w:val="none" w:sz="0" w:space="0" w:color="auto"/>
                    <w:left w:val="none" w:sz="0" w:space="0" w:color="auto"/>
                    <w:bottom w:val="none" w:sz="0" w:space="0" w:color="auto"/>
                    <w:right w:val="none" w:sz="0" w:space="0" w:color="auto"/>
                  </w:divBdr>
                </w:div>
                <w:div w:id="972515107">
                  <w:marLeft w:val="0"/>
                  <w:marRight w:val="0"/>
                  <w:marTop w:val="0"/>
                  <w:marBottom w:val="0"/>
                  <w:divBdr>
                    <w:top w:val="none" w:sz="0" w:space="0" w:color="auto"/>
                    <w:left w:val="none" w:sz="0" w:space="0" w:color="auto"/>
                    <w:bottom w:val="none" w:sz="0" w:space="0" w:color="auto"/>
                    <w:right w:val="none" w:sz="0" w:space="0" w:color="auto"/>
                  </w:divBdr>
                </w:div>
                <w:div w:id="1473132879">
                  <w:marLeft w:val="0"/>
                  <w:marRight w:val="0"/>
                  <w:marTop w:val="0"/>
                  <w:marBottom w:val="0"/>
                  <w:divBdr>
                    <w:top w:val="none" w:sz="0" w:space="0" w:color="auto"/>
                    <w:left w:val="none" w:sz="0" w:space="0" w:color="auto"/>
                    <w:bottom w:val="none" w:sz="0" w:space="0" w:color="auto"/>
                    <w:right w:val="none" w:sz="0" w:space="0" w:color="auto"/>
                  </w:divBdr>
                </w:div>
                <w:div w:id="391463260">
                  <w:marLeft w:val="0"/>
                  <w:marRight w:val="0"/>
                  <w:marTop w:val="0"/>
                  <w:marBottom w:val="0"/>
                  <w:divBdr>
                    <w:top w:val="none" w:sz="0" w:space="0" w:color="auto"/>
                    <w:left w:val="none" w:sz="0" w:space="0" w:color="auto"/>
                    <w:bottom w:val="none" w:sz="0" w:space="0" w:color="auto"/>
                    <w:right w:val="none" w:sz="0" w:space="0" w:color="auto"/>
                  </w:divBdr>
                </w:div>
                <w:div w:id="244917796">
                  <w:marLeft w:val="0"/>
                  <w:marRight w:val="0"/>
                  <w:marTop w:val="0"/>
                  <w:marBottom w:val="0"/>
                  <w:divBdr>
                    <w:top w:val="none" w:sz="0" w:space="0" w:color="auto"/>
                    <w:left w:val="none" w:sz="0" w:space="0" w:color="auto"/>
                    <w:bottom w:val="none" w:sz="0" w:space="0" w:color="auto"/>
                    <w:right w:val="none" w:sz="0" w:space="0" w:color="auto"/>
                  </w:divBdr>
                </w:div>
                <w:div w:id="1024938958">
                  <w:marLeft w:val="0"/>
                  <w:marRight w:val="0"/>
                  <w:marTop w:val="0"/>
                  <w:marBottom w:val="0"/>
                  <w:divBdr>
                    <w:top w:val="none" w:sz="0" w:space="0" w:color="auto"/>
                    <w:left w:val="none" w:sz="0" w:space="0" w:color="auto"/>
                    <w:bottom w:val="none" w:sz="0" w:space="0" w:color="auto"/>
                    <w:right w:val="none" w:sz="0" w:space="0" w:color="auto"/>
                  </w:divBdr>
                </w:div>
                <w:div w:id="845704548">
                  <w:marLeft w:val="0"/>
                  <w:marRight w:val="0"/>
                  <w:marTop w:val="0"/>
                  <w:marBottom w:val="0"/>
                  <w:divBdr>
                    <w:top w:val="none" w:sz="0" w:space="0" w:color="auto"/>
                    <w:left w:val="none" w:sz="0" w:space="0" w:color="auto"/>
                    <w:bottom w:val="none" w:sz="0" w:space="0" w:color="auto"/>
                    <w:right w:val="none" w:sz="0" w:space="0" w:color="auto"/>
                  </w:divBdr>
                </w:div>
                <w:div w:id="1335379302">
                  <w:marLeft w:val="0"/>
                  <w:marRight w:val="0"/>
                  <w:marTop w:val="0"/>
                  <w:marBottom w:val="0"/>
                  <w:divBdr>
                    <w:top w:val="none" w:sz="0" w:space="0" w:color="auto"/>
                    <w:left w:val="none" w:sz="0" w:space="0" w:color="auto"/>
                    <w:bottom w:val="none" w:sz="0" w:space="0" w:color="auto"/>
                    <w:right w:val="none" w:sz="0" w:space="0" w:color="auto"/>
                  </w:divBdr>
                </w:div>
                <w:div w:id="18963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8040">
          <w:marLeft w:val="0"/>
          <w:marRight w:val="0"/>
          <w:marTop w:val="200"/>
          <w:marBottom w:val="200"/>
          <w:divBdr>
            <w:top w:val="single" w:sz="8" w:space="0" w:color="000000"/>
            <w:left w:val="single" w:sz="8" w:space="0" w:color="000000"/>
            <w:bottom w:val="single" w:sz="8" w:space="0" w:color="000000"/>
            <w:right w:val="single" w:sz="8" w:space="0" w:color="000000"/>
          </w:divBdr>
          <w:divsChild>
            <w:div w:id="314073414">
              <w:marLeft w:val="0"/>
              <w:marRight w:val="0"/>
              <w:marTop w:val="0"/>
              <w:marBottom w:val="0"/>
              <w:divBdr>
                <w:top w:val="none" w:sz="0" w:space="0" w:color="auto"/>
                <w:left w:val="none" w:sz="0" w:space="0" w:color="auto"/>
                <w:bottom w:val="none" w:sz="0" w:space="0" w:color="auto"/>
                <w:right w:val="none" w:sz="0" w:space="0" w:color="auto"/>
              </w:divBdr>
            </w:div>
            <w:div w:id="2060736469">
              <w:marLeft w:val="0"/>
              <w:marRight w:val="0"/>
              <w:marTop w:val="0"/>
              <w:marBottom w:val="0"/>
              <w:divBdr>
                <w:top w:val="none" w:sz="0" w:space="0" w:color="auto"/>
                <w:left w:val="none" w:sz="0" w:space="0" w:color="auto"/>
                <w:bottom w:val="none" w:sz="0" w:space="0" w:color="auto"/>
                <w:right w:val="none" w:sz="0" w:space="0" w:color="auto"/>
              </w:divBdr>
              <w:divsChild>
                <w:div w:id="1884901085">
                  <w:marLeft w:val="0"/>
                  <w:marRight w:val="0"/>
                  <w:marTop w:val="0"/>
                  <w:marBottom w:val="0"/>
                  <w:divBdr>
                    <w:top w:val="none" w:sz="0" w:space="0" w:color="auto"/>
                    <w:left w:val="none" w:sz="0" w:space="0" w:color="auto"/>
                    <w:bottom w:val="none" w:sz="0" w:space="0" w:color="auto"/>
                    <w:right w:val="none" w:sz="0" w:space="0" w:color="auto"/>
                  </w:divBdr>
                </w:div>
                <w:div w:id="2868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61115">
      <w:bodyDiv w:val="1"/>
      <w:marLeft w:val="0"/>
      <w:marRight w:val="0"/>
      <w:marTop w:val="0"/>
      <w:marBottom w:val="0"/>
      <w:divBdr>
        <w:top w:val="none" w:sz="0" w:space="0" w:color="auto"/>
        <w:left w:val="none" w:sz="0" w:space="0" w:color="auto"/>
        <w:bottom w:val="none" w:sz="0" w:space="0" w:color="auto"/>
        <w:right w:val="none" w:sz="0" w:space="0" w:color="auto"/>
      </w:divBdr>
      <w:divsChild>
        <w:div w:id="445007674">
          <w:marLeft w:val="0"/>
          <w:marRight w:val="0"/>
          <w:marTop w:val="0"/>
          <w:marBottom w:val="0"/>
          <w:divBdr>
            <w:top w:val="none" w:sz="0" w:space="0" w:color="auto"/>
            <w:left w:val="none" w:sz="0" w:space="0" w:color="auto"/>
            <w:bottom w:val="none" w:sz="0" w:space="0" w:color="auto"/>
            <w:right w:val="none" w:sz="0" w:space="0" w:color="auto"/>
          </w:divBdr>
          <w:divsChild>
            <w:div w:id="1308825642">
              <w:marLeft w:val="0"/>
              <w:marRight w:val="0"/>
              <w:marTop w:val="0"/>
              <w:marBottom w:val="0"/>
              <w:divBdr>
                <w:top w:val="none" w:sz="0" w:space="0" w:color="auto"/>
                <w:left w:val="none" w:sz="0" w:space="0" w:color="auto"/>
                <w:bottom w:val="none" w:sz="0" w:space="0" w:color="auto"/>
                <w:right w:val="none" w:sz="0" w:space="0" w:color="auto"/>
              </w:divBdr>
              <w:divsChild>
                <w:div w:id="5693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89952">
      <w:bodyDiv w:val="1"/>
      <w:marLeft w:val="0"/>
      <w:marRight w:val="0"/>
      <w:marTop w:val="0"/>
      <w:marBottom w:val="0"/>
      <w:divBdr>
        <w:top w:val="none" w:sz="0" w:space="0" w:color="auto"/>
        <w:left w:val="none" w:sz="0" w:space="0" w:color="auto"/>
        <w:bottom w:val="none" w:sz="0" w:space="0" w:color="auto"/>
        <w:right w:val="none" w:sz="0" w:space="0" w:color="auto"/>
      </w:divBdr>
    </w:div>
    <w:div w:id="472454533">
      <w:bodyDiv w:val="1"/>
      <w:marLeft w:val="0"/>
      <w:marRight w:val="0"/>
      <w:marTop w:val="0"/>
      <w:marBottom w:val="0"/>
      <w:divBdr>
        <w:top w:val="none" w:sz="0" w:space="0" w:color="auto"/>
        <w:left w:val="none" w:sz="0" w:space="0" w:color="auto"/>
        <w:bottom w:val="none" w:sz="0" w:space="0" w:color="auto"/>
        <w:right w:val="none" w:sz="0" w:space="0" w:color="auto"/>
      </w:divBdr>
    </w:div>
    <w:div w:id="518008836">
      <w:bodyDiv w:val="1"/>
      <w:marLeft w:val="0"/>
      <w:marRight w:val="0"/>
      <w:marTop w:val="0"/>
      <w:marBottom w:val="0"/>
      <w:divBdr>
        <w:top w:val="none" w:sz="0" w:space="0" w:color="auto"/>
        <w:left w:val="none" w:sz="0" w:space="0" w:color="auto"/>
        <w:bottom w:val="none" w:sz="0" w:space="0" w:color="auto"/>
        <w:right w:val="none" w:sz="0" w:space="0" w:color="auto"/>
      </w:divBdr>
    </w:div>
    <w:div w:id="642541832">
      <w:bodyDiv w:val="1"/>
      <w:marLeft w:val="0"/>
      <w:marRight w:val="0"/>
      <w:marTop w:val="0"/>
      <w:marBottom w:val="0"/>
      <w:divBdr>
        <w:top w:val="none" w:sz="0" w:space="0" w:color="auto"/>
        <w:left w:val="none" w:sz="0" w:space="0" w:color="auto"/>
        <w:bottom w:val="none" w:sz="0" w:space="0" w:color="auto"/>
        <w:right w:val="none" w:sz="0" w:space="0" w:color="auto"/>
      </w:divBdr>
      <w:divsChild>
        <w:div w:id="910046357">
          <w:marLeft w:val="0"/>
          <w:marRight w:val="0"/>
          <w:marTop w:val="0"/>
          <w:marBottom w:val="0"/>
          <w:divBdr>
            <w:top w:val="none" w:sz="0" w:space="0" w:color="auto"/>
            <w:left w:val="none" w:sz="0" w:space="0" w:color="auto"/>
            <w:bottom w:val="none" w:sz="0" w:space="0" w:color="auto"/>
            <w:right w:val="none" w:sz="0" w:space="0" w:color="auto"/>
          </w:divBdr>
        </w:div>
        <w:div w:id="2132241797">
          <w:marLeft w:val="0"/>
          <w:marRight w:val="0"/>
          <w:marTop w:val="0"/>
          <w:marBottom w:val="0"/>
          <w:divBdr>
            <w:top w:val="none" w:sz="0" w:space="0" w:color="auto"/>
            <w:left w:val="none" w:sz="0" w:space="0" w:color="auto"/>
            <w:bottom w:val="none" w:sz="0" w:space="0" w:color="auto"/>
            <w:right w:val="none" w:sz="0" w:space="0" w:color="auto"/>
          </w:divBdr>
          <w:divsChild>
            <w:div w:id="1118522843">
              <w:marLeft w:val="0"/>
              <w:marRight w:val="0"/>
              <w:marTop w:val="0"/>
              <w:marBottom w:val="0"/>
              <w:divBdr>
                <w:top w:val="none" w:sz="0" w:space="0" w:color="auto"/>
                <w:left w:val="none" w:sz="0" w:space="0" w:color="auto"/>
                <w:bottom w:val="none" w:sz="0" w:space="0" w:color="auto"/>
                <w:right w:val="none" w:sz="0" w:space="0" w:color="auto"/>
              </w:divBdr>
            </w:div>
            <w:div w:id="1726875606">
              <w:marLeft w:val="0"/>
              <w:marRight w:val="0"/>
              <w:marTop w:val="0"/>
              <w:marBottom w:val="0"/>
              <w:divBdr>
                <w:top w:val="none" w:sz="0" w:space="0" w:color="auto"/>
                <w:left w:val="none" w:sz="0" w:space="0" w:color="auto"/>
                <w:bottom w:val="none" w:sz="0" w:space="0" w:color="auto"/>
                <w:right w:val="none" w:sz="0" w:space="0" w:color="auto"/>
              </w:divBdr>
            </w:div>
            <w:div w:id="5321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96650">
      <w:bodyDiv w:val="1"/>
      <w:marLeft w:val="0"/>
      <w:marRight w:val="0"/>
      <w:marTop w:val="0"/>
      <w:marBottom w:val="0"/>
      <w:divBdr>
        <w:top w:val="none" w:sz="0" w:space="0" w:color="auto"/>
        <w:left w:val="none" w:sz="0" w:space="0" w:color="auto"/>
        <w:bottom w:val="none" w:sz="0" w:space="0" w:color="auto"/>
        <w:right w:val="none" w:sz="0" w:space="0" w:color="auto"/>
      </w:divBdr>
    </w:div>
    <w:div w:id="809978719">
      <w:bodyDiv w:val="1"/>
      <w:marLeft w:val="0"/>
      <w:marRight w:val="0"/>
      <w:marTop w:val="0"/>
      <w:marBottom w:val="0"/>
      <w:divBdr>
        <w:top w:val="none" w:sz="0" w:space="0" w:color="auto"/>
        <w:left w:val="none" w:sz="0" w:space="0" w:color="auto"/>
        <w:bottom w:val="none" w:sz="0" w:space="0" w:color="auto"/>
        <w:right w:val="none" w:sz="0" w:space="0" w:color="auto"/>
      </w:divBdr>
    </w:div>
    <w:div w:id="817266022">
      <w:bodyDiv w:val="1"/>
      <w:marLeft w:val="0"/>
      <w:marRight w:val="0"/>
      <w:marTop w:val="0"/>
      <w:marBottom w:val="0"/>
      <w:divBdr>
        <w:top w:val="none" w:sz="0" w:space="0" w:color="auto"/>
        <w:left w:val="none" w:sz="0" w:space="0" w:color="auto"/>
        <w:bottom w:val="none" w:sz="0" w:space="0" w:color="auto"/>
        <w:right w:val="none" w:sz="0" w:space="0" w:color="auto"/>
      </w:divBdr>
    </w:div>
    <w:div w:id="826825341">
      <w:bodyDiv w:val="1"/>
      <w:marLeft w:val="0"/>
      <w:marRight w:val="0"/>
      <w:marTop w:val="0"/>
      <w:marBottom w:val="0"/>
      <w:divBdr>
        <w:top w:val="none" w:sz="0" w:space="0" w:color="auto"/>
        <w:left w:val="none" w:sz="0" w:space="0" w:color="auto"/>
        <w:bottom w:val="none" w:sz="0" w:space="0" w:color="auto"/>
        <w:right w:val="none" w:sz="0" w:space="0" w:color="auto"/>
      </w:divBdr>
    </w:div>
    <w:div w:id="988287892">
      <w:bodyDiv w:val="1"/>
      <w:marLeft w:val="0"/>
      <w:marRight w:val="0"/>
      <w:marTop w:val="0"/>
      <w:marBottom w:val="0"/>
      <w:divBdr>
        <w:top w:val="none" w:sz="0" w:space="0" w:color="auto"/>
        <w:left w:val="none" w:sz="0" w:space="0" w:color="auto"/>
        <w:bottom w:val="none" w:sz="0" w:space="0" w:color="auto"/>
        <w:right w:val="none" w:sz="0" w:space="0" w:color="auto"/>
      </w:divBdr>
    </w:div>
    <w:div w:id="998271965">
      <w:bodyDiv w:val="1"/>
      <w:marLeft w:val="0"/>
      <w:marRight w:val="0"/>
      <w:marTop w:val="0"/>
      <w:marBottom w:val="0"/>
      <w:divBdr>
        <w:top w:val="none" w:sz="0" w:space="0" w:color="auto"/>
        <w:left w:val="none" w:sz="0" w:space="0" w:color="auto"/>
        <w:bottom w:val="none" w:sz="0" w:space="0" w:color="auto"/>
        <w:right w:val="none" w:sz="0" w:space="0" w:color="auto"/>
      </w:divBdr>
    </w:div>
    <w:div w:id="1027677664">
      <w:bodyDiv w:val="1"/>
      <w:marLeft w:val="0"/>
      <w:marRight w:val="0"/>
      <w:marTop w:val="0"/>
      <w:marBottom w:val="0"/>
      <w:divBdr>
        <w:top w:val="none" w:sz="0" w:space="0" w:color="auto"/>
        <w:left w:val="none" w:sz="0" w:space="0" w:color="auto"/>
        <w:bottom w:val="none" w:sz="0" w:space="0" w:color="auto"/>
        <w:right w:val="none" w:sz="0" w:space="0" w:color="auto"/>
      </w:divBdr>
    </w:div>
    <w:div w:id="1032615017">
      <w:bodyDiv w:val="1"/>
      <w:marLeft w:val="0"/>
      <w:marRight w:val="0"/>
      <w:marTop w:val="0"/>
      <w:marBottom w:val="0"/>
      <w:divBdr>
        <w:top w:val="none" w:sz="0" w:space="0" w:color="auto"/>
        <w:left w:val="none" w:sz="0" w:space="0" w:color="auto"/>
        <w:bottom w:val="none" w:sz="0" w:space="0" w:color="auto"/>
        <w:right w:val="none" w:sz="0" w:space="0" w:color="auto"/>
      </w:divBdr>
      <w:divsChild>
        <w:div w:id="2050572945">
          <w:marLeft w:val="0"/>
          <w:marRight w:val="0"/>
          <w:marTop w:val="0"/>
          <w:marBottom w:val="0"/>
          <w:divBdr>
            <w:top w:val="none" w:sz="0" w:space="0" w:color="auto"/>
            <w:left w:val="none" w:sz="0" w:space="0" w:color="auto"/>
            <w:bottom w:val="none" w:sz="0" w:space="0" w:color="auto"/>
            <w:right w:val="none" w:sz="0" w:space="0" w:color="auto"/>
          </w:divBdr>
          <w:divsChild>
            <w:div w:id="592782532">
              <w:marLeft w:val="0"/>
              <w:marRight w:val="0"/>
              <w:marTop w:val="0"/>
              <w:marBottom w:val="0"/>
              <w:divBdr>
                <w:top w:val="none" w:sz="0" w:space="0" w:color="auto"/>
                <w:left w:val="none" w:sz="0" w:space="0" w:color="auto"/>
                <w:bottom w:val="none" w:sz="0" w:space="0" w:color="auto"/>
                <w:right w:val="none" w:sz="0" w:space="0" w:color="auto"/>
              </w:divBdr>
              <w:divsChild>
                <w:div w:id="8372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86085">
      <w:bodyDiv w:val="1"/>
      <w:marLeft w:val="0"/>
      <w:marRight w:val="0"/>
      <w:marTop w:val="0"/>
      <w:marBottom w:val="0"/>
      <w:divBdr>
        <w:top w:val="none" w:sz="0" w:space="0" w:color="auto"/>
        <w:left w:val="none" w:sz="0" w:space="0" w:color="auto"/>
        <w:bottom w:val="none" w:sz="0" w:space="0" w:color="auto"/>
        <w:right w:val="none" w:sz="0" w:space="0" w:color="auto"/>
      </w:divBdr>
    </w:div>
    <w:div w:id="1112289386">
      <w:bodyDiv w:val="1"/>
      <w:marLeft w:val="0"/>
      <w:marRight w:val="0"/>
      <w:marTop w:val="0"/>
      <w:marBottom w:val="0"/>
      <w:divBdr>
        <w:top w:val="none" w:sz="0" w:space="0" w:color="auto"/>
        <w:left w:val="none" w:sz="0" w:space="0" w:color="auto"/>
        <w:bottom w:val="none" w:sz="0" w:space="0" w:color="auto"/>
        <w:right w:val="none" w:sz="0" w:space="0" w:color="auto"/>
      </w:divBdr>
      <w:divsChild>
        <w:div w:id="805582900">
          <w:marLeft w:val="0"/>
          <w:marRight w:val="0"/>
          <w:marTop w:val="0"/>
          <w:marBottom w:val="0"/>
          <w:divBdr>
            <w:top w:val="none" w:sz="0" w:space="0" w:color="auto"/>
            <w:left w:val="none" w:sz="0" w:space="0" w:color="auto"/>
            <w:bottom w:val="none" w:sz="0" w:space="0" w:color="auto"/>
            <w:right w:val="none" w:sz="0" w:space="0" w:color="auto"/>
          </w:divBdr>
        </w:div>
        <w:div w:id="1667131231">
          <w:marLeft w:val="0"/>
          <w:marRight w:val="0"/>
          <w:marTop w:val="0"/>
          <w:marBottom w:val="0"/>
          <w:divBdr>
            <w:top w:val="none" w:sz="0" w:space="0" w:color="auto"/>
            <w:left w:val="none" w:sz="0" w:space="0" w:color="auto"/>
            <w:bottom w:val="none" w:sz="0" w:space="0" w:color="auto"/>
            <w:right w:val="none" w:sz="0" w:space="0" w:color="auto"/>
          </w:divBdr>
          <w:divsChild>
            <w:div w:id="822896921">
              <w:marLeft w:val="0"/>
              <w:marRight w:val="0"/>
              <w:marTop w:val="0"/>
              <w:marBottom w:val="0"/>
              <w:divBdr>
                <w:top w:val="none" w:sz="0" w:space="0" w:color="auto"/>
                <w:left w:val="none" w:sz="0" w:space="0" w:color="auto"/>
                <w:bottom w:val="none" w:sz="0" w:space="0" w:color="auto"/>
                <w:right w:val="none" w:sz="0" w:space="0" w:color="auto"/>
              </w:divBdr>
            </w:div>
            <w:div w:id="1482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29928">
      <w:bodyDiv w:val="1"/>
      <w:marLeft w:val="0"/>
      <w:marRight w:val="0"/>
      <w:marTop w:val="0"/>
      <w:marBottom w:val="0"/>
      <w:divBdr>
        <w:top w:val="none" w:sz="0" w:space="0" w:color="auto"/>
        <w:left w:val="none" w:sz="0" w:space="0" w:color="auto"/>
        <w:bottom w:val="none" w:sz="0" w:space="0" w:color="auto"/>
        <w:right w:val="none" w:sz="0" w:space="0" w:color="auto"/>
      </w:divBdr>
    </w:div>
    <w:div w:id="1253516711">
      <w:bodyDiv w:val="1"/>
      <w:marLeft w:val="0"/>
      <w:marRight w:val="0"/>
      <w:marTop w:val="0"/>
      <w:marBottom w:val="0"/>
      <w:divBdr>
        <w:top w:val="none" w:sz="0" w:space="0" w:color="auto"/>
        <w:left w:val="none" w:sz="0" w:space="0" w:color="auto"/>
        <w:bottom w:val="none" w:sz="0" w:space="0" w:color="auto"/>
        <w:right w:val="none" w:sz="0" w:space="0" w:color="auto"/>
      </w:divBdr>
    </w:div>
    <w:div w:id="1362432677">
      <w:bodyDiv w:val="1"/>
      <w:marLeft w:val="0"/>
      <w:marRight w:val="0"/>
      <w:marTop w:val="0"/>
      <w:marBottom w:val="0"/>
      <w:divBdr>
        <w:top w:val="none" w:sz="0" w:space="0" w:color="auto"/>
        <w:left w:val="none" w:sz="0" w:space="0" w:color="auto"/>
        <w:bottom w:val="none" w:sz="0" w:space="0" w:color="auto"/>
        <w:right w:val="none" w:sz="0" w:space="0" w:color="auto"/>
      </w:divBdr>
    </w:div>
    <w:div w:id="1552308635">
      <w:bodyDiv w:val="1"/>
      <w:marLeft w:val="0"/>
      <w:marRight w:val="0"/>
      <w:marTop w:val="0"/>
      <w:marBottom w:val="0"/>
      <w:divBdr>
        <w:top w:val="none" w:sz="0" w:space="0" w:color="auto"/>
        <w:left w:val="none" w:sz="0" w:space="0" w:color="auto"/>
        <w:bottom w:val="none" w:sz="0" w:space="0" w:color="auto"/>
        <w:right w:val="none" w:sz="0" w:space="0" w:color="auto"/>
      </w:divBdr>
    </w:div>
    <w:div w:id="1583485345">
      <w:bodyDiv w:val="1"/>
      <w:marLeft w:val="0"/>
      <w:marRight w:val="0"/>
      <w:marTop w:val="0"/>
      <w:marBottom w:val="0"/>
      <w:divBdr>
        <w:top w:val="none" w:sz="0" w:space="0" w:color="auto"/>
        <w:left w:val="none" w:sz="0" w:space="0" w:color="auto"/>
        <w:bottom w:val="none" w:sz="0" w:space="0" w:color="auto"/>
        <w:right w:val="none" w:sz="0" w:space="0" w:color="auto"/>
      </w:divBdr>
    </w:div>
    <w:div w:id="1728802571">
      <w:bodyDiv w:val="1"/>
      <w:marLeft w:val="0"/>
      <w:marRight w:val="0"/>
      <w:marTop w:val="0"/>
      <w:marBottom w:val="0"/>
      <w:divBdr>
        <w:top w:val="none" w:sz="0" w:space="0" w:color="auto"/>
        <w:left w:val="none" w:sz="0" w:space="0" w:color="auto"/>
        <w:bottom w:val="none" w:sz="0" w:space="0" w:color="auto"/>
        <w:right w:val="none" w:sz="0" w:space="0" w:color="auto"/>
      </w:divBdr>
      <w:divsChild>
        <w:div w:id="287053855">
          <w:marLeft w:val="0"/>
          <w:marRight w:val="0"/>
          <w:marTop w:val="0"/>
          <w:marBottom w:val="0"/>
          <w:divBdr>
            <w:top w:val="none" w:sz="0" w:space="0" w:color="auto"/>
            <w:left w:val="none" w:sz="0" w:space="0" w:color="auto"/>
            <w:bottom w:val="none" w:sz="0" w:space="0" w:color="auto"/>
            <w:right w:val="none" w:sz="0" w:space="0" w:color="auto"/>
          </w:divBdr>
          <w:divsChild>
            <w:div w:id="2141535607">
              <w:marLeft w:val="0"/>
              <w:marRight w:val="0"/>
              <w:marTop w:val="0"/>
              <w:marBottom w:val="0"/>
              <w:divBdr>
                <w:top w:val="none" w:sz="0" w:space="0" w:color="auto"/>
                <w:left w:val="none" w:sz="0" w:space="0" w:color="auto"/>
                <w:bottom w:val="none" w:sz="0" w:space="0" w:color="auto"/>
                <w:right w:val="none" w:sz="0" w:space="0" w:color="auto"/>
              </w:divBdr>
              <w:divsChild>
                <w:div w:id="10404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95992">
      <w:bodyDiv w:val="1"/>
      <w:marLeft w:val="0"/>
      <w:marRight w:val="0"/>
      <w:marTop w:val="0"/>
      <w:marBottom w:val="0"/>
      <w:divBdr>
        <w:top w:val="none" w:sz="0" w:space="0" w:color="auto"/>
        <w:left w:val="none" w:sz="0" w:space="0" w:color="auto"/>
        <w:bottom w:val="none" w:sz="0" w:space="0" w:color="auto"/>
        <w:right w:val="none" w:sz="0" w:space="0" w:color="auto"/>
      </w:divBdr>
      <w:divsChild>
        <w:div w:id="1314023681">
          <w:marLeft w:val="0"/>
          <w:marRight w:val="0"/>
          <w:marTop w:val="0"/>
          <w:marBottom w:val="0"/>
          <w:divBdr>
            <w:top w:val="none" w:sz="0" w:space="0" w:color="auto"/>
            <w:left w:val="none" w:sz="0" w:space="0" w:color="auto"/>
            <w:bottom w:val="none" w:sz="0" w:space="0" w:color="auto"/>
            <w:right w:val="none" w:sz="0" w:space="0" w:color="auto"/>
          </w:divBdr>
          <w:divsChild>
            <w:div w:id="1981036273">
              <w:marLeft w:val="0"/>
              <w:marRight w:val="0"/>
              <w:marTop w:val="0"/>
              <w:marBottom w:val="0"/>
              <w:divBdr>
                <w:top w:val="none" w:sz="0" w:space="0" w:color="auto"/>
                <w:left w:val="none" w:sz="0" w:space="0" w:color="auto"/>
                <w:bottom w:val="none" w:sz="0" w:space="0" w:color="auto"/>
                <w:right w:val="none" w:sz="0" w:space="0" w:color="auto"/>
              </w:divBdr>
              <w:divsChild>
                <w:div w:id="7022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27520">
      <w:bodyDiv w:val="1"/>
      <w:marLeft w:val="0"/>
      <w:marRight w:val="0"/>
      <w:marTop w:val="0"/>
      <w:marBottom w:val="0"/>
      <w:divBdr>
        <w:top w:val="none" w:sz="0" w:space="0" w:color="auto"/>
        <w:left w:val="none" w:sz="0" w:space="0" w:color="auto"/>
        <w:bottom w:val="none" w:sz="0" w:space="0" w:color="auto"/>
        <w:right w:val="none" w:sz="0" w:space="0" w:color="auto"/>
      </w:divBdr>
    </w:div>
    <w:div w:id="1895388305">
      <w:bodyDiv w:val="1"/>
      <w:marLeft w:val="0"/>
      <w:marRight w:val="0"/>
      <w:marTop w:val="0"/>
      <w:marBottom w:val="0"/>
      <w:divBdr>
        <w:top w:val="none" w:sz="0" w:space="0" w:color="auto"/>
        <w:left w:val="none" w:sz="0" w:space="0" w:color="auto"/>
        <w:bottom w:val="none" w:sz="0" w:space="0" w:color="auto"/>
        <w:right w:val="none" w:sz="0" w:space="0" w:color="auto"/>
      </w:divBdr>
    </w:div>
    <w:div w:id="210017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3227</Words>
  <Characters>18399</Characters>
  <Application>Microsoft Office Word</Application>
  <DocSecurity>0</DocSecurity>
  <Lines>153</Lines>
  <Paragraphs>43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Fujdová Slavka</dc:creator>
  <cp:lastModifiedBy>Hertelová Karin</cp:lastModifiedBy>
  <cp:revision>3</cp:revision>
  <cp:lastPrinted>2023-04-14T11:29:00Z</cp:lastPrinted>
  <dcterms:created xsi:type="dcterms:W3CDTF">2024-08-20T12:34:00Z</dcterms:created>
  <dcterms:modified xsi:type="dcterms:W3CDTF">2024-08-20T12:43:00Z</dcterms:modified>
</cp:coreProperties>
</file>