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DB" w:rsidRPr="00B6099B" w:rsidRDefault="00DA10DB" w:rsidP="00DA10DB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B6099B">
        <w:rPr>
          <w:rFonts w:ascii="Times New Roman" w:hAnsi="Times New Roman"/>
          <w:b/>
          <w:caps/>
          <w:spacing w:val="30"/>
          <w:kern w:val="0"/>
          <w:sz w:val="24"/>
          <w:szCs w:val="24"/>
        </w:rPr>
        <w:t>Predkladacia správa</w:t>
      </w:r>
    </w:p>
    <w:p w:rsidR="00DA10DB" w:rsidRPr="00B6099B" w:rsidRDefault="00DA10DB" w:rsidP="00DA10DB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A10DB" w:rsidRPr="00B6099B" w:rsidRDefault="00DA10DB" w:rsidP="00DA10DB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99B">
        <w:rPr>
          <w:rFonts w:ascii="Times New Roman" w:hAnsi="Times New Roman"/>
          <w:sz w:val="24"/>
          <w:szCs w:val="24"/>
          <w:lang w:eastAsia="en-US"/>
        </w:rPr>
        <w:t xml:space="preserve">Na základe § 70 ods. 2 zákona Národnej rady Slovenskej republiky č. 350/1996 Z. z. o rokovacom poriadku Národnej rady Slovenskej republiky Ministerstvo práce, sociálnych vecí a rodiny Slovenskej republiky (ďalej len „ministerstvo“) ako ústredný orgán štátnej správy pre </w:t>
      </w:r>
      <w:r w:rsidR="00BD5148" w:rsidRPr="00B6099B">
        <w:rPr>
          <w:rFonts w:ascii="Times New Roman" w:hAnsi="Times New Roman"/>
          <w:sz w:val="24"/>
          <w:szCs w:val="24"/>
          <w:lang w:eastAsia="en-US"/>
        </w:rPr>
        <w:t xml:space="preserve">sociálne poistenie, starobné dôchodkové sporenie, </w:t>
      </w:r>
      <w:r w:rsidR="00EF26BE" w:rsidRPr="00B6099B">
        <w:rPr>
          <w:rFonts w:ascii="Times New Roman" w:hAnsi="Times New Roman"/>
          <w:sz w:val="24"/>
          <w:szCs w:val="24"/>
          <w:lang w:eastAsia="en-US"/>
        </w:rPr>
        <w:t>doplnkové dôchodkové sporenie</w:t>
      </w:r>
      <w:r w:rsidR="00BD5148" w:rsidRPr="00B6099B">
        <w:rPr>
          <w:rFonts w:ascii="Times New Roman" w:hAnsi="Times New Roman"/>
          <w:sz w:val="24"/>
          <w:szCs w:val="24"/>
          <w:lang w:eastAsia="en-US"/>
        </w:rPr>
        <w:t xml:space="preserve"> a celoeurópsky osobný dôchodkový produkt</w:t>
      </w:r>
      <w:r w:rsidRPr="00B6099B">
        <w:rPr>
          <w:rFonts w:ascii="Times New Roman" w:hAnsi="Times New Roman"/>
          <w:sz w:val="24"/>
          <w:szCs w:val="24"/>
          <w:lang w:eastAsia="en-US"/>
        </w:rPr>
        <w:t xml:space="preserve"> predkladá na rokovanie vlády Slovenskej republiky návrh </w:t>
      </w:r>
      <w:r w:rsidR="00BD5148" w:rsidRPr="00B6099B">
        <w:rPr>
          <w:rFonts w:ascii="Times New Roman" w:hAnsi="Times New Roman"/>
          <w:sz w:val="24"/>
          <w:szCs w:val="24"/>
          <w:lang w:eastAsia="en-US"/>
        </w:rPr>
        <w:t>poslankyne Národnej rady Slovenskej republiky Ľubice LAŠŠÁKOVEJ na vydanie zákona, ktorým sa mení a dopĺňa zákon č. 461/2003 Z. z. o sociálnom poistení v znení neskorších predpisov a ktorým sa menia niektoré zákony</w:t>
      </w:r>
      <w:r w:rsidRPr="00B6099B">
        <w:rPr>
          <w:rFonts w:ascii="Times New Roman" w:hAnsi="Times New Roman"/>
          <w:sz w:val="24"/>
          <w:szCs w:val="24"/>
          <w:lang w:eastAsia="en-US"/>
        </w:rPr>
        <w:t xml:space="preserve"> (tlač </w:t>
      </w:r>
      <w:r w:rsidR="00BD5148" w:rsidRPr="00B6099B">
        <w:rPr>
          <w:rFonts w:ascii="Times New Roman" w:hAnsi="Times New Roman"/>
          <w:sz w:val="24"/>
          <w:szCs w:val="24"/>
          <w:lang w:eastAsia="en-US"/>
        </w:rPr>
        <w:t>399</w:t>
      </w:r>
      <w:r w:rsidRPr="00B6099B">
        <w:rPr>
          <w:rFonts w:ascii="Times New Roman" w:hAnsi="Times New Roman"/>
          <w:sz w:val="24"/>
          <w:szCs w:val="24"/>
          <w:lang w:eastAsia="en-US"/>
        </w:rPr>
        <w:t>) (ďalej len „poslanecký návrh“).</w:t>
      </w:r>
    </w:p>
    <w:p w:rsidR="00DA10DB" w:rsidRPr="00B6099B" w:rsidRDefault="00DA10DB" w:rsidP="00DA10DB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A10DB" w:rsidRPr="00B6099B" w:rsidRDefault="00DA10DB" w:rsidP="00DA10DB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99B">
        <w:rPr>
          <w:rFonts w:ascii="Times New Roman" w:hAnsi="Times New Roman"/>
          <w:sz w:val="24"/>
          <w:szCs w:val="24"/>
          <w:lang w:eastAsia="en-US"/>
        </w:rPr>
        <w:t>Ministerstvo k predloženému poslaneckému návrhu uvádza:</w:t>
      </w:r>
    </w:p>
    <w:p w:rsidR="00DA10DB" w:rsidRPr="00B6099B" w:rsidRDefault="00DA10DB" w:rsidP="00DA10DB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A10DB" w:rsidRPr="00B6099B" w:rsidRDefault="00DA10DB" w:rsidP="00DA10DB">
      <w:pPr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6099B">
        <w:rPr>
          <w:rFonts w:ascii="Times New Roman" w:hAnsi="Times New Roman"/>
          <w:b/>
          <w:sz w:val="24"/>
          <w:szCs w:val="24"/>
          <w:lang w:eastAsia="en-US"/>
        </w:rPr>
        <w:t>Všeobecne</w:t>
      </w:r>
    </w:p>
    <w:p w:rsidR="00DA10DB" w:rsidRPr="00B6099B" w:rsidRDefault="00DA10DB" w:rsidP="00DA10DB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A5CE9" w:rsidRPr="00B6099B" w:rsidRDefault="00DA10DB" w:rsidP="004A5CE9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99B">
        <w:rPr>
          <w:rFonts w:ascii="Times New Roman" w:hAnsi="Times New Roman"/>
          <w:sz w:val="24"/>
          <w:szCs w:val="24"/>
          <w:lang w:eastAsia="en-US"/>
        </w:rPr>
        <w:t xml:space="preserve">Poslanecký návrh sa predkladá </w:t>
      </w:r>
      <w:r w:rsidR="004A5CE9" w:rsidRPr="00B6099B">
        <w:rPr>
          <w:rFonts w:ascii="Times New Roman" w:hAnsi="Times New Roman"/>
          <w:sz w:val="24"/>
          <w:szCs w:val="24"/>
          <w:lang w:eastAsia="en-US"/>
        </w:rPr>
        <w:t xml:space="preserve">primárne </w:t>
      </w:r>
      <w:r w:rsidR="00EF26BE" w:rsidRPr="00B6099B">
        <w:rPr>
          <w:rFonts w:ascii="Times New Roman" w:hAnsi="Times New Roman"/>
          <w:sz w:val="24"/>
          <w:szCs w:val="24"/>
          <w:lang w:eastAsia="en-US"/>
        </w:rPr>
        <w:t xml:space="preserve">s cieľom </w:t>
      </w:r>
      <w:r w:rsidR="004A5CE9" w:rsidRPr="00B6099B">
        <w:rPr>
          <w:rFonts w:ascii="Times New Roman" w:hAnsi="Times New Roman"/>
          <w:sz w:val="24"/>
          <w:szCs w:val="24"/>
          <w:lang w:eastAsia="en-US"/>
        </w:rPr>
        <w:t xml:space="preserve">doplniť platný a účinný právny rámec pre zostavovanie dôchodkovej prognózy podľa zákona č. 461/2003 Z. z. o sociálnom poistení v znení neskorších predpisov (ďalej len „zákon č. 461/2003 Z. z.“) o </w:t>
      </w:r>
      <w:r w:rsidR="003F4475" w:rsidRPr="00B6099B">
        <w:rPr>
          <w:rFonts w:ascii="Times New Roman" w:hAnsi="Times New Roman"/>
          <w:sz w:val="24"/>
          <w:szCs w:val="24"/>
          <w:lang w:eastAsia="en-US"/>
        </w:rPr>
        <w:t>dobrovoľné</w:t>
      </w:r>
      <w:r w:rsidR="004A5CE9" w:rsidRPr="00B6099B">
        <w:rPr>
          <w:rFonts w:ascii="Times New Roman" w:hAnsi="Times New Roman"/>
          <w:sz w:val="24"/>
          <w:szCs w:val="24"/>
          <w:lang w:eastAsia="en-US"/>
        </w:rPr>
        <w:t xml:space="preserve"> dôchodkové schémy. Podľa poslaneckého návrhu by sa mal poistenec dozvedieť o predpokladanej budúcej úrovni svojho celkového dôchodkového zabezpečenia v jednom komplexnom dokumente, </w:t>
      </w:r>
      <w:r w:rsidR="003F4475" w:rsidRPr="00B6099B">
        <w:rPr>
          <w:rFonts w:ascii="Times New Roman" w:hAnsi="Times New Roman"/>
          <w:sz w:val="24"/>
          <w:szCs w:val="24"/>
          <w:lang w:eastAsia="en-US"/>
        </w:rPr>
        <w:t>a preto sa</w:t>
      </w:r>
      <w:r w:rsidR="004A5CE9" w:rsidRPr="00B6099B">
        <w:rPr>
          <w:rFonts w:ascii="Times New Roman" w:hAnsi="Times New Roman"/>
          <w:sz w:val="24"/>
          <w:szCs w:val="24"/>
          <w:lang w:eastAsia="en-US"/>
        </w:rPr>
        <w:t xml:space="preserve"> navrhuje od roku 2028 </w:t>
      </w:r>
      <w:r w:rsidR="003F4475" w:rsidRPr="00B6099B">
        <w:rPr>
          <w:rFonts w:ascii="Times New Roman" w:hAnsi="Times New Roman"/>
          <w:sz w:val="24"/>
          <w:szCs w:val="24"/>
          <w:lang w:eastAsia="en-US"/>
        </w:rPr>
        <w:t xml:space="preserve">do dôchodkovej prognózy doplniť </w:t>
      </w:r>
      <w:r w:rsidR="004A5CE9" w:rsidRPr="00B6099B">
        <w:rPr>
          <w:rFonts w:ascii="Times New Roman" w:hAnsi="Times New Roman"/>
          <w:sz w:val="24"/>
          <w:szCs w:val="24"/>
          <w:lang w:eastAsia="en-US"/>
        </w:rPr>
        <w:t>aj informácie o prognóze doplnkového starobného dôchodku z doplnkového dôchodkového sporenia a prognóze dôchodku alebo programového výberu z celoeurópskeho osobného dôchodkového produktu.</w:t>
      </w:r>
    </w:p>
    <w:p w:rsidR="00917FB8" w:rsidRPr="00B6099B" w:rsidRDefault="00917FB8" w:rsidP="00DA10DB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A5CE9" w:rsidRPr="00B6099B" w:rsidRDefault="004A5CE9" w:rsidP="00DA10DB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99B">
        <w:rPr>
          <w:rFonts w:ascii="Times New Roman" w:hAnsi="Times New Roman"/>
          <w:sz w:val="24"/>
          <w:szCs w:val="24"/>
          <w:lang w:eastAsia="en-US"/>
        </w:rPr>
        <w:t xml:space="preserve">So zámerom presadiť čo najväčší počet opatrení na zlepšenie podnikateľského prostredia a splnenie míľnika z Plánu obnovy a odolnosti Slovenskej republiky </w:t>
      </w:r>
      <w:r w:rsidR="00B27998" w:rsidRPr="00B6099B">
        <w:rPr>
          <w:rFonts w:ascii="Times New Roman" w:hAnsi="Times New Roman"/>
          <w:sz w:val="24"/>
          <w:szCs w:val="24"/>
          <w:lang w:eastAsia="en-US"/>
        </w:rPr>
        <w:t xml:space="preserve">predkladateľka </w:t>
      </w:r>
      <w:r w:rsidRPr="00B6099B">
        <w:rPr>
          <w:rFonts w:ascii="Times New Roman" w:hAnsi="Times New Roman"/>
          <w:sz w:val="24"/>
          <w:szCs w:val="24"/>
          <w:lang w:eastAsia="en-US"/>
        </w:rPr>
        <w:t>s</w:t>
      </w:r>
      <w:r w:rsidR="00F47CFB" w:rsidRPr="00B6099B">
        <w:rPr>
          <w:rFonts w:ascii="Times New Roman" w:hAnsi="Times New Roman"/>
          <w:sz w:val="24"/>
          <w:szCs w:val="24"/>
          <w:lang w:eastAsia="en-US"/>
        </w:rPr>
        <w:t> </w:t>
      </w:r>
      <w:r w:rsidRPr="00B6099B">
        <w:rPr>
          <w:rFonts w:ascii="Times New Roman" w:hAnsi="Times New Roman"/>
          <w:sz w:val="24"/>
          <w:szCs w:val="24"/>
          <w:lang w:eastAsia="en-US"/>
        </w:rPr>
        <w:t>účinnosťou od roku 2025</w:t>
      </w:r>
      <w:r w:rsidR="00620E24" w:rsidRPr="00B6099B">
        <w:rPr>
          <w:rFonts w:ascii="Times New Roman" w:hAnsi="Times New Roman"/>
          <w:sz w:val="24"/>
          <w:szCs w:val="24"/>
          <w:lang w:eastAsia="en-US"/>
        </w:rPr>
        <w:t xml:space="preserve"> ďalej</w:t>
      </w:r>
      <w:r w:rsidRPr="00B6099B">
        <w:rPr>
          <w:rFonts w:ascii="Times New Roman" w:hAnsi="Times New Roman"/>
          <w:sz w:val="24"/>
          <w:szCs w:val="24"/>
          <w:lang w:eastAsia="en-US"/>
        </w:rPr>
        <w:t xml:space="preserve"> navrhuje zrušenie povinnosti zamestnávateľa oznámiť svojim zamestnancom, že zamestnávateľ bol zverejnený v zozname dlžníkov vedenom Sociálnou poisťovňou (informácie sú dostupné buď z verejne dostupných informácií Sociálnej poisťovne alebo prostredníctvom individuálneho účtu) a s účinnosťou od roku 2026 </w:t>
      </w:r>
      <w:r w:rsidR="00620E24" w:rsidRPr="00B6099B">
        <w:rPr>
          <w:rFonts w:ascii="Times New Roman" w:hAnsi="Times New Roman"/>
          <w:sz w:val="24"/>
          <w:szCs w:val="24"/>
          <w:lang w:eastAsia="en-US"/>
        </w:rPr>
        <w:t xml:space="preserve">aj </w:t>
      </w:r>
      <w:r w:rsidRPr="00B6099B">
        <w:rPr>
          <w:rFonts w:ascii="Times New Roman" w:hAnsi="Times New Roman"/>
          <w:sz w:val="24"/>
          <w:szCs w:val="24"/>
          <w:lang w:eastAsia="en-US"/>
        </w:rPr>
        <w:t>zrušenie povinnosti predkladania údajov potrebných na rozhodovanie o nároku na dôchodok na evidenčnom liste dôchodkového poistenia (po rozšírení údajov mesačne zasielaných zamestnávateľmi na účely platenia poistného by Sociálna poisťovňa použila takto vytvorenú databázu aj na rozhodovanie o nároku na dôchodok a na určenie sumy dôchodku).</w:t>
      </w:r>
    </w:p>
    <w:p w:rsidR="00917FB8" w:rsidRPr="00B6099B" w:rsidRDefault="00917FB8" w:rsidP="004A5CE9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A5CE9" w:rsidRPr="00B6099B" w:rsidRDefault="004A5CE9" w:rsidP="004A5CE9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99B">
        <w:rPr>
          <w:rFonts w:ascii="Times New Roman" w:hAnsi="Times New Roman"/>
          <w:sz w:val="24"/>
          <w:szCs w:val="24"/>
          <w:lang w:eastAsia="en-US"/>
        </w:rPr>
        <w:t>Predkladateľka poslaneckého návrhu tiež navrhuje posunúť začiatok novej výplatnej fázy v starobnom dôchodkovom sporení z roku 2026 na rok 2029.</w:t>
      </w:r>
    </w:p>
    <w:p w:rsidR="00084362" w:rsidRPr="00B6099B" w:rsidRDefault="00084362" w:rsidP="00917FB8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766B8" w:rsidRPr="00B6099B" w:rsidRDefault="00E766B8" w:rsidP="00917FB8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099B">
        <w:rPr>
          <w:rFonts w:ascii="Times New Roman" w:hAnsi="Times New Roman"/>
          <w:sz w:val="24"/>
          <w:szCs w:val="24"/>
          <w:lang w:eastAsia="en-US"/>
        </w:rPr>
        <w:t>Predkladateľka poslaneckého návrhu v doložke vybraných vplyvov označila, že návrh zákona má negatívne vplyvy na rozpočet verejnej správy, pozitívne a negatívne vplyvy na podnikateľské prostredie a pozitívne vplyvy na informatizáciu spoločnosti. Návrh zákona nezakladá sociálne vplyvy, vplyvy na služby verejnej správy pre občana ani vplyvy na manželstvo, rodičovstvo a rodinu.</w:t>
      </w:r>
    </w:p>
    <w:p w:rsidR="007B2041" w:rsidRPr="00B6099B" w:rsidRDefault="007B2041" w:rsidP="00DA10DB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A10DB" w:rsidRPr="00B6099B" w:rsidRDefault="00DA10DB" w:rsidP="00DA10DB">
      <w:pPr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6099B">
        <w:rPr>
          <w:rFonts w:ascii="Times New Roman" w:hAnsi="Times New Roman"/>
          <w:b/>
          <w:sz w:val="24"/>
          <w:szCs w:val="24"/>
          <w:lang w:eastAsia="en-US"/>
        </w:rPr>
        <w:t>Stanovisko</w:t>
      </w:r>
    </w:p>
    <w:p w:rsidR="00DA10DB" w:rsidRPr="00B6099B" w:rsidRDefault="00DA10DB" w:rsidP="00DA10DB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84362" w:rsidRPr="00B6099B" w:rsidRDefault="001467D4" w:rsidP="009449A7">
      <w:pPr>
        <w:adjustRightInd w:val="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099B">
        <w:rPr>
          <w:rFonts w:ascii="Times New Roman" w:hAnsi="Times New Roman"/>
          <w:bCs/>
          <w:color w:val="000000"/>
          <w:sz w:val="24"/>
          <w:szCs w:val="24"/>
        </w:rPr>
        <w:t xml:space="preserve">Ministerstvo </w:t>
      </w:r>
      <w:r w:rsidR="006E402E" w:rsidRPr="00B6099B">
        <w:rPr>
          <w:rFonts w:ascii="Times New Roman" w:hAnsi="Times New Roman"/>
          <w:bCs/>
          <w:color w:val="000000"/>
          <w:sz w:val="24"/>
          <w:szCs w:val="24"/>
        </w:rPr>
        <w:t xml:space="preserve">dlhodobo </w:t>
      </w:r>
      <w:r w:rsidR="005B3903" w:rsidRPr="00B6099B">
        <w:rPr>
          <w:rFonts w:ascii="Times New Roman" w:hAnsi="Times New Roman"/>
          <w:bCs/>
          <w:color w:val="000000"/>
          <w:sz w:val="24"/>
          <w:szCs w:val="24"/>
        </w:rPr>
        <w:t>aktívne pracuje na zvyšovaní</w:t>
      </w:r>
      <w:r w:rsidRPr="00B6099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86EA9" w:rsidRPr="00B6099B">
        <w:rPr>
          <w:rFonts w:ascii="Times New Roman" w:hAnsi="Times New Roman"/>
          <w:bCs/>
          <w:color w:val="000000"/>
          <w:sz w:val="24"/>
          <w:szCs w:val="24"/>
        </w:rPr>
        <w:t>informovanosti v dôchodkovom zabezpečení a</w:t>
      </w:r>
      <w:r w:rsidR="00E766B8" w:rsidRPr="00B6099B">
        <w:rPr>
          <w:rFonts w:ascii="Times New Roman" w:hAnsi="Times New Roman"/>
          <w:bCs/>
          <w:color w:val="000000"/>
          <w:sz w:val="24"/>
          <w:szCs w:val="24"/>
        </w:rPr>
        <w:t xml:space="preserve"> súhlasí </w:t>
      </w:r>
      <w:r w:rsidR="00C86EA9" w:rsidRPr="00B6099B">
        <w:rPr>
          <w:rFonts w:ascii="Times New Roman" w:hAnsi="Times New Roman"/>
          <w:bCs/>
          <w:color w:val="000000"/>
          <w:sz w:val="24"/>
          <w:szCs w:val="24"/>
        </w:rPr>
        <w:t>s</w:t>
      </w:r>
      <w:r w:rsidR="00084362" w:rsidRPr="00B6099B">
        <w:rPr>
          <w:rFonts w:ascii="Times New Roman" w:hAnsi="Times New Roman"/>
          <w:bCs/>
          <w:color w:val="000000"/>
          <w:sz w:val="24"/>
          <w:szCs w:val="24"/>
        </w:rPr>
        <w:t> </w:t>
      </w:r>
      <w:r w:rsidR="00E766B8" w:rsidRPr="00B6099B">
        <w:rPr>
          <w:rFonts w:ascii="Times New Roman" w:hAnsi="Times New Roman"/>
          <w:bCs/>
          <w:color w:val="000000"/>
          <w:sz w:val="24"/>
          <w:szCs w:val="24"/>
        </w:rPr>
        <w:t xml:space="preserve">tvrdením </w:t>
      </w:r>
      <w:r w:rsidR="006E6A30" w:rsidRPr="00B6099B">
        <w:rPr>
          <w:rFonts w:ascii="Times New Roman" w:hAnsi="Times New Roman"/>
          <w:bCs/>
          <w:color w:val="000000"/>
          <w:sz w:val="24"/>
          <w:szCs w:val="24"/>
        </w:rPr>
        <w:t>predkladateľ</w:t>
      </w:r>
      <w:r w:rsidR="00084362" w:rsidRPr="00B6099B">
        <w:rPr>
          <w:rFonts w:ascii="Times New Roman" w:hAnsi="Times New Roman"/>
          <w:bCs/>
          <w:color w:val="000000"/>
          <w:sz w:val="24"/>
          <w:szCs w:val="24"/>
        </w:rPr>
        <w:t>k</w:t>
      </w:r>
      <w:r w:rsidR="00E766B8" w:rsidRPr="00B6099B">
        <w:rPr>
          <w:rFonts w:ascii="Times New Roman" w:hAnsi="Times New Roman"/>
          <w:bCs/>
          <w:color w:val="000000"/>
          <w:sz w:val="24"/>
          <w:szCs w:val="24"/>
        </w:rPr>
        <w:t>y</w:t>
      </w:r>
      <w:r w:rsidR="00084362" w:rsidRPr="00B6099B">
        <w:rPr>
          <w:rFonts w:ascii="Times New Roman" w:hAnsi="Times New Roman"/>
          <w:bCs/>
          <w:color w:val="000000"/>
          <w:sz w:val="24"/>
          <w:szCs w:val="24"/>
        </w:rPr>
        <w:t xml:space="preserve"> poslaneckého návrhu</w:t>
      </w:r>
      <w:r w:rsidR="006E6A30" w:rsidRPr="00B6099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C86EA9" w:rsidRPr="00B6099B">
        <w:rPr>
          <w:rFonts w:ascii="Times New Roman" w:hAnsi="Times New Roman"/>
          <w:bCs/>
          <w:color w:val="000000"/>
          <w:sz w:val="24"/>
          <w:szCs w:val="24"/>
        </w:rPr>
        <w:t xml:space="preserve">že občania nemajú relevantné informácie o ich celkovom budúcom zabezpečení na dôchodok, ak sa o ne </w:t>
      </w:r>
      <w:r w:rsidR="00C86EA9" w:rsidRPr="00B6099B">
        <w:rPr>
          <w:rFonts w:ascii="Times New Roman" w:hAnsi="Times New Roman"/>
          <w:bCs/>
          <w:color w:val="000000"/>
          <w:sz w:val="24"/>
          <w:szCs w:val="24"/>
        </w:rPr>
        <w:lastRenderedPageBreak/>
        <w:t>nezaujímajú a aktívne ich nevyhľadávajú</w:t>
      </w:r>
      <w:r w:rsidR="006E6A30" w:rsidRPr="00B6099B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084362" w:rsidRPr="00B6099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B3903" w:rsidRPr="00B6099B">
        <w:rPr>
          <w:rFonts w:ascii="Times New Roman" w:hAnsi="Times New Roman"/>
          <w:bCs/>
          <w:color w:val="000000"/>
          <w:sz w:val="24"/>
          <w:szCs w:val="24"/>
        </w:rPr>
        <w:t xml:space="preserve">Poslaneckú iniciatívu smerujúcu k </w:t>
      </w:r>
      <w:r w:rsidR="003F4475" w:rsidRPr="00B6099B">
        <w:rPr>
          <w:rFonts w:ascii="Times New Roman" w:hAnsi="Times New Roman"/>
          <w:sz w:val="24"/>
          <w:szCs w:val="24"/>
          <w:lang w:eastAsia="en-US"/>
        </w:rPr>
        <w:t>podpor</w:t>
      </w:r>
      <w:r w:rsidR="005B3903" w:rsidRPr="00B6099B">
        <w:rPr>
          <w:rFonts w:ascii="Times New Roman" w:hAnsi="Times New Roman"/>
          <w:sz w:val="24"/>
          <w:szCs w:val="24"/>
          <w:lang w:eastAsia="en-US"/>
        </w:rPr>
        <w:t>e</w:t>
      </w:r>
      <w:r w:rsidR="003F4475" w:rsidRPr="00B6099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E402E" w:rsidRPr="00B6099B">
        <w:rPr>
          <w:rFonts w:ascii="Times New Roman" w:hAnsi="Times New Roman"/>
          <w:sz w:val="24"/>
          <w:szCs w:val="24"/>
          <w:lang w:eastAsia="en-US"/>
        </w:rPr>
        <w:t xml:space="preserve">finančného </w:t>
      </w:r>
      <w:r w:rsidR="003F4475" w:rsidRPr="00B6099B">
        <w:rPr>
          <w:rFonts w:ascii="Times New Roman" w:hAnsi="Times New Roman"/>
          <w:sz w:val="24"/>
          <w:szCs w:val="24"/>
          <w:lang w:eastAsia="en-US"/>
        </w:rPr>
        <w:t>plánovani</w:t>
      </w:r>
      <w:r w:rsidR="005B3903" w:rsidRPr="00B6099B">
        <w:rPr>
          <w:rFonts w:ascii="Times New Roman" w:hAnsi="Times New Roman"/>
          <w:sz w:val="24"/>
          <w:szCs w:val="24"/>
          <w:lang w:eastAsia="en-US"/>
        </w:rPr>
        <w:t>a obyvateľstva</w:t>
      </w:r>
      <w:r w:rsidR="003F4475" w:rsidRPr="00B6099B">
        <w:rPr>
          <w:rFonts w:ascii="Times New Roman" w:hAnsi="Times New Roman"/>
          <w:sz w:val="24"/>
          <w:szCs w:val="24"/>
          <w:lang w:eastAsia="en-US"/>
        </w:rPr>
        <w:t xml:space="preserve"> v súvislosti s odchodom do dôchodku</w:t>
      </w:r>
      <w:r w:rsidR="006E402E" w:rsidRPr="00B6099B">
        <w:rPr>
          <w:rFonts w:ascii="Times New Roman" w:hAnsi="Times New Roman"/>
          <w:sz w:val="24"/>
          <w:szCs w:val="24"/>
          <w:lang w:eastAsia="en-US"/>
        </w:rPr>
        <w:t xml:space="preserve"> v</w:t>
      </w:r>
      <w:r w:rsidR="00620E24" w:rsidRPr="00B6099B">
        <w:rPr>
          <w:rFonts w:ascii="Times New Roman" w:hAnsi="Times New Roman"/>
          <w:sz w:val="24"/>
          <w:szCs w:val="24"/>
          <w:lang w:eastAsia="en-US"/>
        </w:rPr>
        <w:t xml:space="preserve"> poslankyňou </w:t>
      </w:r>
      <w:r w:rsidR="006E402E" w:rsidRPr="00B6099B">
        <w:rPr>
          <w:rFonts w:ascii="Times New Roman" w:hAnsi="Times New Roman"/>
          <w:sz w:val="24"/>
          <w:szCs w:val="24"/>
          <w:lang w:eastAsia="en-US"/>
        </w:rPr>
        <w:t xml:space="preserve">navrhovanom rozsahu preto </w:t>
      </w:r>
      <w:r w:rsidR="00620E24" w:rsidRPr="00B6099B">
        <w:rPr>
          <w:rFonts w:ascii="Times New Roman" w:hAnsi="Times New Roman"/>
          <w:sz w:val="24"/>
          <w:szCs w:val="24"/>
          <w:lang w:eastAsia="en-US"/>
        </w:rPr>
        <w:t xml:space="preserve">ministerstvo </w:t>
      </w:r>
      <w:r w:rsidR="006E402E" w:rsidRPr="00B6099B">
        <w:rPr>
          <w:rFonts w:ascii="Times New Roman" w:hAnsi="Times New Roman"/>
          <w:sz w:val="24"/>
          <w:szCs w:val="24"/>
          <w:lang w:eastAsia="en-US"/>
        </w:rPr>
        <w:t>vníma pozitívne.</w:t>
      </w:r>
    </w:p>
    <w:p w:rsidR="00917FB8" w:rsidRPr="00B6099B" w:rsidRDefault="00917FB8" w:rsidP="009449A7">
      <w:pPr>
        <w:adjustRightInd w:val="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20E24" w:rsidRPr="00B6099B" w:rsidRDefault="006E402E" w:rsidP="009449A7">
      <w:pPr>
        <w:adjustRightInd w:val="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099B">
        <w:rPr>
          <w:rFonts w:ascii="Times New Roman" w:hAnsi="Times New Roman"/>
          <w:bCs/>
          <w:color w:val="000000"/>
          <w:sz w:val="24"/>
          <w:szCs w:val="24"/>
        </w:rPr>
        <w:t xml:space="preserve">Rovnako </w:t>
      </w:r>
      <w:r w:rsidR="00387E45" w:rsidRPr="00B6099B">
        <w:rPr>
          <w:rFonts w:ascii="Times New Roman" w:hAnsi="Times New Roman"/>
          <w:bCs/>
          <w:color w:val="000000"/>
          <w:sz w:val="24"/>
          <w:szCs w:val="24"/>
        </w:rPr>
        <w:t>kladne</w:t>
      </w:r>
      <w:r w:rsidRPr="00B6099B">
        <w:rPr>
          <w:rFonts w:ascii="Times New Roman" w:hAnsi="Times New Roman"/>
          <w:bCs/>
          <w:color w:val="000000"/>
          <w:sz w:val="24"/>
          <w:szCs w:val="24"/>
        </w:rPr>
        <w:t xml:space="preserve"> vníma ministerstvo aj navrhované opatrenia na zníženie administratívnej záťaže podnikateľov</w:t>
      </w:r>
      <w:r w:rsidR="00620E24" w:rsidRPr="00B6099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17FB8" w:rsidRPr="00B6099B" w:rsidRDefault="00917FB8" w:rsidP="009D0F04">
      <w:pPr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66B8" w:rsidRPr="00B6099B" w:rsidRDefault="00E766B8" w:rsidP="009D0F04">
      <w:pPr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B6099B">
        <w:rPr>
          <w:rFonts w:ascii="Times New Roman" w:hAnsi="Times New Roman"/>
          <w:sz w:val="24"/>
          <w:szCs w:val="24"/>
        </w:rPr>
        <w:t>Súhlasíme aj s </w:t>
      </w:r>
      <w:r w:rsidR="00BE3A22" w:rsidRPr="00B6099B">
        <w:rPr>
          <w:rFonts w:ascii="Times New Roman" w:hAnsi="Times New Roman"/>
          <w:sz w:val="24"/>
          <w:szCs w:val="24"/>
        </w:rPr>
        <w:t xml:space="preserve">posúdenými a </w:t>
      </w:r>
      <w:r w:rsidRPr="00B6099B">
        <w:rPr>
          <w:rFonts w:ascii="Times New Roman" w:hAnsi="Times New Roman"/>
          <w:sz w:val="24"/>
          <w:szCs w:val="24"/>
        </w:rPr>
        <w:t>kvantifikovanými vplyvmi predkladateľ</w:t>
      </w:r>
      <w:r w:rsidR="009D0F04" w:rsidRPr="00B6099B">
        <w:rPr>
          <w:rFonts w:ascii="Times New Roman" w:hAnsi="Times New Roman"/>
          <w:sz w:val="24"/>
          <w:szCs w:val="24"/>
        </w:rPr>
        <w:t>ky</w:t>
      </w:r>
      <w:r w:rsidRPr="00B6099B">
        <w:rPr>
          <w:rFonts w:ascii="Times New Roman" w:hAnsi="Times New Roman"/>
          <w:sz w:val="24"/>
          <w:szCs w:val="24"/>
        </w:rPr>
        <w:t xml:space="preserve"> </w:t>
      </w:r>
      <w:r w:rsidRPr="00B6099B">
        <w:rPr>
          <w:rFonts w:ascii="Times New Roman" w:hAnsi="Times New Roman"/>
          <w:sz w:val="24"/>
          <w:szCs w:val="24"/>
        </w:rPr>
        <w:t>a navrhovaným spôsobom financovania zvýšených výdavkov Sociálnej poisťovne.</w:t>
      </w:r>
    </w:p>
    <w:p w:rsidR="00917FB8" w:rsidRPr="00B6099B" w:rsidRDefault="00917FB8" w:rsidP="009449A7">
      <w:pPr>
        <w:adjustRightInd w:val="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67D4" w:rsidRDefault="00620E24" w:rsidP="009449A7">
      <w:pPr>
        <w:adjustRightInd w:val="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099B">
        <w:rPr>
          <w:rFonts w:ascii="Times New Roman" w:hAnsi="Times New Roman"/>
          <w:bCs/>
          <w:color w:val="000000"/>
          <w:sz w:val="24"/>
          <w:szCs w:val="24"/>
        </w:rPr>
        <w:t>Z vyššie uvedených dôvod</w:t>
      </w:r>
      <w:bookmarkStart w:id="0" w:name="_GoBack"/>
      <w:bookmarkEnd w:id="0"/>
      <w:r w:rsidRPr="00B6099B">
        <w:rPr>
          <w:rFonts w:ascii="Times New Roman" w:hAnsi="Times New Roman"/>
          <w:bCs/>
          <w:color w:val="000000"/>
          <w:sz w:val="24"/>
          <w:szCs w:val="24"/>
        </w:rPr>
        <w:t>ov</w:t>
      </w:r>
      <w:r w:rsidR="00084362" w:rsidRPr="00B6099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6099B">
        <w:rPr>
          <w:rFonts w:ascii="Times New Roman" w:hAnsi="Times New Roman"/>
          <w:bCs/>
          <w:color w:val="000000"/>
          <w:sz w:val="24"/>
          <w:szCs w:val="24"/>
        </w:rPr>
        <w:t xml:space="preserve">preto </w:t>
      </w:r>
      <w:r w:rsidR="001C13B0" w:rsidRPr="00B6099B">
        <w:rPr>
          <w:rFonts w:ascii="Times New Roman" w:hAnsi="Times New Roman"/>
          <w:bCs/>
          <w:color w:val="000000"/>
          <w:sz w:val="24"/>
          <w:szCs w:val="24"/>
        </w:rPr>
        <w:t>ministerstvo s</w:t>
      </w:r>
      <w:r w:rsidRPr="00B6099B">
        <w:rPr>
          <w:rFonts w:ascii="Times New Roman" w:hAnsi="Times New Roman"/>
          <w:bCs/>
          <w:color w:val="000000"/>
          <w:sz w:val="24"/>
          <w:szCs w:val="24"/>
        </w:rPr>
        <w:t> predloženým</w:t>
      </w:r>
      <w:r w:rsidR="001C13B0" w:rsidRPr="00B6099B">
        <w:rPr>
          <w:rFonts w:ascii="Times New Roman" w:hAnsi="Times New Roman"/>
          <w:bCs/>
          <w:color w:val="000000"/>
          <w:sz w:val="24"/>
          <w:szCs w:val="24"/>
        </w:rPr>
        <w:t xml:space="preserve"> poslaneckým návrhom </w:t>
      </w:r>
      <w:r w:rsidRPr="00B6099B">
        <w:rPr>
          <w:rFonts w:ascii="Times New Roman" w:hAnsi="Times New Roman"/>
          <w:bCs/>
          <w:color w:val="000000"/>
          <w:sz w:val="24"/>
          <w:szCs w:val="24"/>
        </w:rPr>
        <w:t xml:space="preserve">ako celkom </w:t>
      </w:r>
      <w:r w:rsidR="001C13B0" w:rsidRPr="00B6099B">
        <w:rPr>
          <w:rFonts w:ascii="Times New Roman" w:hAnsi="Times New Roman"/>
          <w:bCs/>
          <w:color w:val="000000"/>
          <w:sz w:val="24"/>
          <w:szCs w:val="24"/>
        </w:rPr>
        <w:t>súhlasí.</w:t>
      </w:r>
    </w:p>
    <w:p w:rsidR="00B6099B" w:rsidRPr="00B6099B" w:rsidRDefault="00B6099B" w:rsidP="00B6099B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1FD4" w:rsidRPr="00B6099B" w:rsidRDefault="003D1FD4" w:rsidP="00074EBA">
      <w:pPr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6099B">
        <w:rPr>
          <w:rFonts w:ascii="Times New Roman" w:hAnsi="Times New Roman"/>
          <w:b/>
          <w:sz w:val="24"/>
          <w:szCs w:val="24"/>
          <w:lang w:eastAsia="en-US"/>
        </w:rPr>
        <w:t xml:space="preserve">Medzirezortné </w:t>
      </w:r>
      <w:r w:rsidRPr="00B6099B">
        <w:rPr>
          <w:rFonts w:ascii="Times New Roman" w:hAnsi="Times New Roman"/>
          <w:b/>
          <w:sz w:val="24"/>
          <w:szCs w:val="24"/>
          <w:lang w:eastAsia="en-US"/>
        </w:rPr>
        <w:t>pripomienkové konanie</w:t>
      </w:r>
    </w:p>
    <w:p w:rsidR="003D1FD4" w:rsidRPr="00B6099B" w:rsidRDefault="003D1FD4" w:rsidP="003D1FD4">
      <w:pPr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3D1FD4" w:rsidRDefault="003D1FD4" w:rsidP="00A34DA6">
      <w:pPr>
        <w:jc w:val="both"/>
        <w:rPr>
          <w:rFonts w:ascii="Times" w:hAnsi="Times" w:cs="Times"/>
          <w:sz w:val="24"/>
          <w:szCs w:val="24"/>
        </w:rPr>
      </w:pPr>
      <w:r w:rsidRPr="00B6099B">
        <w:rPr>
          <w:rFonts w:ascii="Times New Roman" w:hAnsi="Times New Roman"/>
          <w:b/>
          <w:sz w:val="24"/>
          <w:szCs w:val="24"/>
          <w:lang w:eastAsia="en-US"/>
        </w:rPr>
        <w:t>Ministerstvo financií Slovenskej republiky</w:t>
      </w:r>
      <w:r w:rsidRPr="00B6099B">
        <w:rPr>
          <w:rFonts w:ascii="Times New Roman" w:hAnsi="Times New Roman"/>
          <w:sz w:val="24"/>
          <w:szCs w:val="24"/>
          <w:lang w:eastAsia="en-US"/>
        </w:rPr>
        <w:t xml:space="preserve"> žiada upraviť čl. I</w:t>
      </w:r>
      <w:r w:rsidR="00CE3A6E" w:rsidRPr="00B6099B">
        <w:rPr>
          <w:rFonts w:ascii="Times New Roman" w:hAnsi="Times New Roman"/>
          <w:sz w:val="24"/>
          <w:szCs w:val="24"/>
          <w:lang w:eastAsia="en-US"/>
        </w:rPr>
        <w:t xml:space="preserve"> bod 7. </w:t>
      </w:r>
      <w:r w:rsidR="00CE3A6E" w:rsidRPr="00B6099B">
        <w:rPr>
          <w:rFonts w:ascii="Times" w:hAnsi="Times" w:cs="Times"/>
          <w:sz w:val="24"/>
          <w:szCs w:val="24"/>
        </w:rPr>
        <w:t>poslaneckého návrhu</w:t>
      </w:r>
      <w:r w:rsidR="00CE3A6E" w:rsidRPr="00B6099B">
        <w:rPr>
          <w:rFonts w:ascii="Times New Roman" w:hAnsi="Times New Roman"/>
          <w:sz w:val="24"/>
          <w:szCs w:val="24"/>
          <w:lang w:eastAsia="en-US"/>
        </w:rPr>
        <w:t xml:space="preserve"> (</w:t>
      </w:r>
      <w:r w:rsidRPr="00B6099B">
        <w:rPr>
          <w:rFonts w:ascii="Times" w:hAnsi="Times" w:cs="Times"/>
          <w:sz w:val="24"/>
          <w:szCs w:val="24"/>
        </w:rPr>
        <w:t>§</w:t>
      </w:r>
      <w:r w:rsidR="00B6099B">
        <w:rPr>
          <w:rFonts w:ascii="Times" w:hAnsi="Times" w:cs="Times"/>
          <w:sz w:val="24"/>
          <w:szCs w:val="24"/>
        </w:rPr>
        <w:t> </w:t>
      </w:r>
      <w:r w:rsidRPr="00B6099B">
        <w:rPr>
          <w:rFonts w:ascii="Times" w:hAnsi="Times" w:cs="Times"/>
          <w:sz w:val="24"/>
          <w:szCs w:val="24"/>
        </w:rPr>
        <w:t>226b ods. 2 druh</w:t>
      </w:r>
      <w:r w:rsidR="00CE3A6E" w:rsidRPr="00B6099B">
        <w:rPr>
          <w:rFonts w:ascii="Times" w:hAnsi="Times" w:cs="Times"/>
          <w:sz w:val="24"/>
          <w:szCs w:val="24"/>
        </w:rPr>
        <w:t>á</w:t>
      </w:r>
      <w:r w:rsidRPr="00B6099B">
        <w:rPr>
          <w:rFonts w:ascii="Times" w:hAnsi="Times" w:cs="Times"/>
          <w:sz w:val="24"/>
          <w:szCs w:val="24"/>
        </w:rPr>
        <w:t xml:space="preserve"> vet</w:t>
      </w:r>
      <w:r w:rsidR="00CE3A6E" w:rsidRPr="00B6099B">
        <w:rPr>
          <w:rFonts w:ascii="Times" w:hAnsi="Times" w:cs="Times"/>
          <w:sz w:val="24"/>
          <w:szCs w:val="24"/>
        </w:rPr>
        <w:t>a)</w:t>
      </w:r>
      <w:r w:rsidRPr="00B6099B">
        <w:rPr>
          <w:rFonts w:ascii="Times" w:hAnsi="Times" w:cs="Times"/>
          <w:sz w:val="24"/>
          <w:szCs w:val="24"/>
        </w:rPr>
        <w:t>, nakoľko n</w:t>
      </w:r>
      <w:r w:rsidRPr="00B6099B">
        <w:rPr>
          <w:rFonts w:ascii="Times New Roman" w:hAnsi="Times New Roman"/>
          <w:sz w:val="24"/>
          <w:szCs w:val="24"/>
          <w:lang w:eastAsia="en-US"/>
        </w:rPr>
        <w:t xml:space="preserve">avrhované znenie priorizuje komunikáciu Sociálnej poisťovne smerom k poistencom ohľadom dôchodkovej prognózy prostredníctvom elektronickej pošty na úkor listinnej podoby a neberie do úvahy preferencie poistenca, čím mu </w:t>
      </w:r>
      <w:r w:rsidR="00A34DA6" w:rsidRPr="00B6099B">
        <w:rPr>
          <w:rFonts w:ascii="Times New Roman" w:hAnsi="Times New Roman"/>
          <w:sz w:val="24"/>
          <w:szCs w:val="24"/>
          <w:lang w:eastAsia="en-US"/>
        </w:rPr>
        <w:t xml:space="preserve">berie </w:t>
      </w:r>
      <w:r w:rsidRPr="00B6099B">
        <w:rPr>
          <w:rFonts w:ascii="Times New Roman" w:hAnsi="Times New Roman"/>
          <w:sz w:val="24"/>
          <w:szCs w:val="24"/>
          <w:lang w:eastAsia="en-US"/>
        </w:rPr>
        <w:t xml:space="preserve">možnosť zvoliť si jemu najvhodnejšiu formu zasielania dôchodkových prognóz. </w:t>
      </w:r>
      <w:r w:rsidR="00A34DA6" w:rsidRPr="00B6099B">
        <w:rPr>
          <w:rFonts w:ascii="Times New Roman" w:hAnsi="Times New Roman"/>
          <w:sz w:val="24"/>
          <w:szCs w:val="24"/>
          <w:lang w:eastAsia="en-US"/>
        </w:rPr>
        <w:t>Ministerstvo financií Slovenskej republiky má</w:t>
      </w:r>
      <w:r w:rsidRPr="00B6099B">
        <w:rPr>
          <w:rFonts w:ascii="Times New Roman" w:hAnsi="Times New Roman"/>
          <w:sz w:val="24"/>
          <w:szCs w:val="24"/>
          <w:lang w:eastAsia="en-US"/>
        </w:rPr>
        <w:t xml:space="preserve"> za to, že zasielanie dôchodkových prognóz Sociálnou poisťovňou prioritne na adresu elektronickej pošty bez predchádzajúceho súhlasu poistenca (a bez potvrdenia správnosti adresy elektronickej pošty) môže spôsobiť stav, že k určitej skupine poistencov sa </w:t>
      </w:r>
      <w:r w:rsidR="00A34DA6" w:rsidRPr="00B6099B">
        <w:rPr>
          <w:rFonts w:ascii="Times New Roman" w:hAnsi="Times New Roman"/>
          <w:sz w:val="24"/>
          <w:szCs w:val="24"/>
          <w:lang w:eastAsia="en-US"/>
        </w:rPr>
        <w:t>dôchodková</w:t>
      </w:r>
      <w:r w:rsidRPr="00B6099B">
        <w:rPr>
          <w:rFonts w:ascii="Times New Roman" w:hAnsi="Times New Roman"/>
          <w:sz w:val="24"/>
          <w:szCs w:val="24"/>
          <w:lang w:eastAsia="en-US"/>
        </w:rPr>
        <w:t xml:space="preserve"> prognóza nemusí dostať, čo ide proti účelu zákona</w:t>
      </w:r>
      <w:r w:rsidR="00A34DA6" w:rsidRPr="00B6099B">
        <w:rPr>
          <w:rFonts w:ascii="Times New Roman" w:hAnsi="Times New Roman"/>
          <w:sz w:val="24"/>
          <w:szCs w:val="24"/>
          <w:lang w:eastAsia="en-US"/>
        </w:rPr>
        <w:t xml:space="preserve"> č. 461/2003 Z. z.</w:t>
      </w:r>
      <w:r w:rsidRPr="00B6099B">
        <w:rPr>
          <w:rFonts w:ascii="Times New Roman" w:hAnsi="Times New Roman"/>
          <w:sz w:val="24"/>
          <w:szCs w:val="24"/>
          <w:lang w:eastAsia="en-US"/>
        </w:rPr>
        <w:t>, ktorým je zlepšiť informovanosť občanov o ich celkovom budúcom zabezpečení na dôchodok.</w:t>
      </w:r>
      <w:r w:rsidR="00A34DA6" w:rsidRPr="00B6099B">
        <w:rPr>
          <w:rFonts w:ascii="Times" w:hAnsi="Times" w:cs="Times"/>
          <w:sz w:val="24"/>
          <w:szCs w:val="24"/>
        </w:rPr>
        <w:t xml:space="preserve"> Z uvedených dôvodov navrhuje, aby bola dôchodková prognóza zasielaná na elektronickú adresu poistenca výlučne vtedy, ak Sociálna poisťovňa vopred na tento účel získa jeho predchádzajúci súhlas.</w:t>
      </w:r>
    </w:p>
    <w:p w:rsidR="00C02720" w:rsidRPr="00B6099B" w:rsidRDefault="00C02720" w:rsidP="00A34DA6">
      <w:pPr>
        <w:jc w:val="both"/>
        <w:rPr>
          <w:rFonts w:ascii="Times" w:hAnsi="Times" w:cs="Times"/>
          <w:sz w:val="24"/>
          <w:szCs w:val="24"/>
        </w:rPr>
      </w:pPr>
    </w:p>
    <w:p w:rsidR="00A34DA6" w:rsidRPr="00B6099B" w:rsidRDefault="00A34DA6" w:rsidP="001B532C">
      <w:pPr>
        <w:jc w:val="both"/>
        <w:rPr>
          <w:rFonts w:ascii="Times" w:hAnsi="Times" w:cs="Times"/>
          <w:sz w:val="24"/>
          <w:szCs w:val="24"/>
        </w:rPr>
      </w:pPr>
      <w:r w:rsidRPr="00C02720">
        <w:rPr>
          <w:rFonts w:ascii="Times" w:hAnsi="Times" w:cs="Times"/>
          <w:b/>
          <w:sz w:val="24"/>
          <w:szCs w:val="24"/>
        </w:rPr>
        <w:t>Ministerstvo financií Slovenskej republiky</w:t>
      </w:r>
      <w:r w:rsidRPr="00B6099B">
        <w:rPr>
          <w:rFonts w:ascii="Times" w:hAnsi="Times" w:cs="Times"/>
          <w:sz w:val="24"/>
          <w:szCs w:val="24"/>
        </w:rPr>
        <w:t xml:space="preserve"> žiada</w:t>
      </w:r>
      <w:r w:rsidR="001B532C" w:rsidRPr="00B6099B">
        <w:rPr>
          <w:rFonts w:ascii="Times" w:hAnsi="Times" w:cs="Times"/>
          <w:sz w:val="24"/>
          <w:szCs w:val="24"/>
        </w:rPr>
        <w:t xml:space="preserve"> </w:t>
      </w:r>
      <w:r w:rsidR="00C02720">
        <w:rPr>
          <w:rFonts w:ascii="Times" w:hAnsi="Times" w:cs="Times"/>
          <w:sz w:val="24"/>
          <w:szCs w:val="24"/>
        </w:rPr>
        <w:t xml:space="preserve">tiež </w:t>
      </w:r>
      <w:r w:rsidR="001B532C" w:rsidRPr="00B6099B">
        <w:rPr>
          <w:rFonts w:ascii="Times" w:hAnsi="Times" w:cs="Times"/>
          <w:sz w:val="24"/>
          <w:szCs w:val="24"/>
        </w:rPr>
        <w:t>vypustiť články II a III, keďže sa v nich navrhuje posunutie zavedenia výplatnej fázy v starobnom dôchodkovom sporení o tri roky, pričom v minulosti bola už účinnosť výplatnej fázy posúvaná najprv na 1. január 2025 a následne na 1. január 2026. Má za to, že výplatná fáza je kľúčovou súčasťou reformy II. piliera prijatej v roku 2022, ktorá mala zvýšiť adekvátnosť dôchodkového príjmu prostredníctvom predĺženia sporiacej fázy, pričom jej ďalší odklad o tri roky by znamenal, že značná časť dôchodcov by prišla o možnosť participovať na predĺženej sporiacej fáze s potenciálnym negatívnym vplyvom na adekvátnosť ich dôchodkového príjmu.</w:t>
      </w:r>
    </w:p>
    <w:p w:rsidR="008814ED" w:rsidRPr="00B6099B" w:rsidRDefault="008814ED" w:rsidP="001B532C">
      <w:pPr>
        <w:jc w:val="both"/>
        <w:rPr>
          <w:rFonts w:ascii="Times" w:hAnsi="Times" w:cs="Times"/>
          <w:sz w:val="24"/>
          <w:szCs w:val="24"/>
        </w:rPr>
      </w:pPr>
    </w:p>
    <w:p w:rsidR="009D527B" w:rsidRPr="00B6099B" w:rsidRDefault="009D527B" w:rsidP="009D527B">
      <w:pPr>
        <w:jc w:val="both"/>
        <w:rPr>
          <w:rFonts w:ascii="Times" w:hAnsi="Times" w:cs="Times"/>
          <w:b/>
          <w:bCs/>
          <w:sz w:val="24"/>
          <w:szCs w:val="24"/>
        </w:rPr>
      </w:pPr>
      <w:r w:rsidRPr="00B6099B">
        <w:rPr>
          <w:rFonts w:ascii="Times" w:hAnsi="Times" w:cs="Times"/>
          <w:b/>
          <w:bCs/>
          <w:sz w:val="24"/>
          <w:szCs w:val="24"/>
        </w:rPr>
        <w:t xml:space="preserve">Kancelária Rady pre rozpočtovú zodpovednosť </w:t>
      </w:r>
      <w:r w:rsidR="00141E9D" w:rsidRPr="00141E9D">
        <w:rPr>
          <w:rFonts w:ascii="Times" w:hAnsi="Times" w:cs="Times"/>
          <w:bCs/>
          <w:sz w:val="24"/>
          <w:szCs w:val="24"/>
        </w:rPr>
        <w:t>rovnako</w:t>
      </w:r>
      <w:r w:rsidR="00141E9D">
        <w:rPr>
          <w:rFonts w:ascii="Times" w:hAnsi="Times" w:cs="Times"/>
          <w:b/>
          <w:bCs/>
          <w:sz w:val="24"/>
          <w:szCs w:val="24"/>
        </w:rPr>
        <w:t xml:space="preserve"> </w:t>
      </w:r>
      <w:r w:rsidRPr="00B6099B">
        <w:rPr>
          <w:rFonts w:ascii="Times" w:hAnsi="Times" w:cs="Times"/>
          <w:sz w:val="24"/>
          <w:szCs w:val="24"/>
        </w:rPr>
        <w:t>žiada vypustiť čl. II a III poslaneckého návrhu, ktorými sa navrhuje opätovný posun účinnosti ustanovení týkajúcich sa výplatnej fázy starobného dôchodkového sporenia, prijatých v roku 2022, keďže tieto by reálne nadobudli účinnosť viac ako 6 rokov od schválenia zákona č. 399/2022 Z. z. Kancelária Rady pre rozpočtovú zodpovednosť považuje zdôvodnenie potreby v poradí tretieho posunu účinnosti týchto ustanovení za nedostatočné, keďže ide o dôležitú súčasť reformy II. piliera, ktorá nadväzuje na zmeny v sporiacej fáze, ktoré už vstúpili do účinnosti. Argumentuje aj tým, že odkladanie účinnosti zmien vo výplatnej fáze môže mať negatívny vplyv na dôchodky z II.</w:t>
      </w:r>
      <w:r w:rsidR="00B6099B">
        <w:rPr>
          <w:rFonts w:ascii="Times" w:hAnsi="Times" w:cs="Times"/>
          <w:sz w:val="24"/>
          <w:szCs w:val="24"/>
        </w:rPr>
        <w:t> </w:t>
      </w:r>
      <w:r w:rsidRPr="00B6099B">
        <w:rPr>
          <w:rFonts w:ascii="Times" w:hAnsi="Times" w:cs="Times"/>
          <w:sz w:val="24"/>
          <w:szCs w:val="24"/>
        </w:rPr>
        <w:t xml:space="preserve">piliera, pretože zvyšuje citlivosť dôchodkových úspor na volatilitu akciových trhov v období blízko dôchodkového veku (u časti sporiteľov) a schválené zmeny výplatnej fázy ho majú minimalizovať. Podľa pripomienkujúceho subjektu </w:t>
      </w:r>
      <w:r w:rsidR="005C28DA" w:rsidRPr="00B6099B">
        <w:rPr>
          <w:rFonts w:ascii="Times" w:hAnsi="Times" w:cs="Times"/>
          <w:sz w:val="24"/>
          <w:szCs w:val="24"/>
        </w:rPr>
        <w:t>ďalší odklad</w:t>
      </w:r>
      <w:r w:rsidRPr="00B6099B">
        <w:rPr>
          <w:rFonts w:ascii="Times" w:hAnsi="Times" w:cs="Times"/>
          <w:sz w:val="24"/>
          <w:szCs w:val="24"/>
        </w:rPr>
        <w:t xml:space="preserve"> </w:t>
      </w:r>
      <w:r w:rsidR="005C28DA" w:rsidRPr="00B6099B">
        <w:rPr>
          <w:rFonts w:ascii="Times" w:hAnsi="Times" w:cs="Times"/>
          <w:sz w:val="24"/>
          <w:szCs w:val="24"/>
        </w:rPr>
        <w:t xml:space="preserve">vytvára </w:t>
      </w:r>
      <w:r w:rsidRPr="00B6099B">
        <w:rPr>
          <w:rFonts w:ascii="Times" w:hAnsi="Times" w:cs="Times"/>
          <w:sz w:val="24"/>
          <w:szCs w:val="24"/>
        </w:rPr>
        <w:t>najmä riziko, že už schválené opatrenia nebudú v budúcnosti implementované vôbec,</w:t>
      </w:r>
      <w:r w:rsidR="008814ED" w:rsidRPr="00B6099B">
        <w:rPr>
          <w:rFonts w:ascii="Times" w:hAnsi="Times" w:cs="Times"/>
          <w:sz w:val="24"/>
          <w:szCs w:val="24"/>
        </w:rPr>
        <w:t xml:space="preserve"> resp. budú opätovne </w:t>
      </w:r>
      <w:r w:rsidR="008814ED" w:rsidRPr="00B6099B">
        <w:rPr>
          <w:rFonts w:ascii="Times" w:hAnsi="Times" w:cs="Times"/>
          <w:sz w:val="24"/>
          <w:szCs w:val="24"/>
        </w:rPr>
        <w:lastRenderedPageBreak/>
        <w:t xml:space="preserve">odkladané a </w:t>
      </w:r>
      <w:r w:rsidRPr="00B6099B">
        <w:rPr>
          <w:rFonts w:ascii="Times" w:hAnsi="Times" w:cs="Times"/>
          <w:sz w:val="24"/>
          <w:szCs w:val="24"/>
        </w:rPr>
        <w:t>pripomína, že zákon č. 399/2022 Z.</w:t>
      </w:r>
      <w:r w:rsidR="008814ED" w:rsidRPr="00B6099B">
        <w:rPr>
          <w:rFonts w:ascii="Times" w:hAnsi="Times" w:cs="Times"/>
          <w:sz w:val="24"/>
          <w:szCs w:val="24"/>
        </w:rPr>
        <w:t xml:space="preserve"> </w:t>
      </w:r>
      <w:r w:rsidRPr="00B6099B">
        <w:rPr>
          <w:rFonts w:ascii="Times" w:hAnsi="Times" w:cs="Times"/>
          <w:sz w:val="24"/>
          <w:szCs w:val="24"/>
        </w:rPr>
        <w:t>z. bol schválený štandardným legislatívnym procesom</w:t>
      </w:r>
      <w:r w:rsidR="008814ED" w:rsidRPr="00B6099B">
        <w:rPr>
          <w:rFonts w:ascii="Times" w:hAnsi="Times" w:cs="Times"/>
          <w:sz w:val="24"/>
          <w:szCs w:val="24"/>
        </w:rPr>
        <w:t>,</w:t>
      </w:r>
      <w:r w:rsidRPr="00B6099B">
        <w:rPr>
          <w:rFonts w:ascii="Times" w:hAnsi="Times" w:cs="Times"/>
          <w:sz w:val="24"/>
          <w:szCs w:val="24"/>
        </w:rPr>
        <w:t xml:space="preserve"> vrátane </w:t>
      </w:r>
      <w:r w:rsidR="008814ED" w:rsidRPr="00B6099B">
        <w:rPr>
          <w:rFonts w:ascii="Times" w:hAnsi="Times" w:cs="Times"/>
          <w:sz w:val="24"/>
          <w:szCs w:val="24"/>
        </w:rPr>
        <w:t>medzirezortného pripomienkového konania</w:t>
      </w:r>
      <w:r w:rsidRPr="00B6099B">
        <w:rPr>
          <w:rFonts w:ascii="Times" w:hAnsi="Times" w:cs="Times"/>
          <w:sz w:val="24"/>
          <w:szCs w:val="24"/>
        </w:rPr>
        <w:t xml:space="preserve"> a uskutočnenia analýz vplyvov nových ustanovení.</w:t>
      </w:r>
      <w:r w:rsidR="008814ED" w:rsidRPr="00B6099B">
        <w:rPr>
          <w:rFonts w:ascii="Times" w:hAnsi="Times" w:cs="Times"/>
          <w:sz w:val="24"/>
          <w:szCs w:val="24"/>
        </w:rPr>
        <w:t xml:space="preserve"> Na záver pripomienky konštatuje, že nie je zrejm</w:t>
      </w:r>
      <w:r w:rsidRPr="00B6099B">
        <w:rPr>
          <w:rFonts w:ascii="Times" w:hAnsi="Times" w:cs="Times"/>
          <w:sz w:val="24"/>
          <w:szCs w:val="24"/>
        </w:rPr>
        <w:t xml:space="preserve">é, prečo je potrebné vykonanie ďalšej analýzy, ktorej časový rámec podľa predkladateľky „nie je možné odhadnúť“, a odložiť kvôli tomu do ďalšieho volebného obdobia implementáciu dôležitých opatrení schválených </w:t>
      </w:r>
      <w:r w:rsidR="008814ED" w:rsidRPr="00B6099B">
        <w:rPr>
          <w:rFonts w:ascii="Times" w:hAnsi="Times" w:cs="Times"/>
          <w:sz w:val="24"/>
          <w:szCs w:val="24"/>
        </w:rPr>
        <w:t>Národnou radou Slovenskej republiky</w:t>
      </w:r>
      <w:r w:rsidRPr="00B6099B">
        <w:rPr>
          <w:rFonts w:ascii="Times" w:hAnsi="Times" w:cs="Times"/>
          <w:sz w:val="24"/>
          <w:szCs w:val="24"/>
        </w:rPr>
        <w:t>, ktoré majú dopĺňať už účinné opatrenia prijaté v roku 2022.</w:t>
      </w:r>
    </w:p>
    <w:p w:rsidR="009D527B" w:rsidRPr="00B6099B" w:rsidRDefault="009D527B" w:rsidP="001B532C">
      <w:pPr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02720" w:rsidRPr="00C02720" w:rsidRDefault="00C02720" w:rsidP="00C02720">
      <w:pPr>
        <w:jc w:val="both"/>
        <w:rPr>
          <w:rFonts w:ascii="Times" w:hAnsi="Times" w:cs="Times"/>
          <w:sz w:val="24"/>
          <w:szCs w:val="24"/>
        </w:rPr>
      </w:pPr>
      <w:r w:rsidRPr="00C02720">
        <w:rPr>
          <w:rFonts w:ascii="Times" w:hAnsi="Times" w:cs="Times"/>
          <w:b/>
          <w:sz w:val="24"/>
          <w:szCs w:val="24"/>
        </w:rPr>
        <w:t>Ministerstvo financií Slovenskej republiky</w:t>
      </w:r>
      <w:r w:rsidRPr="00C02720"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 xml:space="preserve">ďalej </w:t>
      </w:r>
      <w:r w:rsidRPr="00C02720">
        <w:rPr>
          <w:rFonts w:ascii="Times" w:hAnsi="Times" w:cs="Times"/>
          <w:sz w:val="24"/>
          <w:szCs w:val="24"/>
        </w:rPr>
        <w:t xml:space="preserve">uplatnilo </w:t>
      </w:r>
      <w:r w:rsidR="001E6F82">
        <w:rPr>
          <w:rFonts w:ascii="Times" w:hAnsi="Times" w:cs="Times"/>
          <w:sz w:val="24"/>
          <w:szCs w:val="24"/>
        </w:rPr>
        <w:t xml:space="preserve">zásadné </w:t>
      </w:r>
      <w:r w:rsidRPr="00C02720">
        <w:rPr>
          <w:rFonts w:ascii="Times" w:hAnsi="Times" w:cs="Times"/>
          <w:sz w:val="24"/>
          <w:szCs w:val="24"/>
        </w:rPr>
        <w:t>pripomienky</w:t>
      </w:r>
      <w:r>
        <w:rPr>
          <w:rFonts w:ascii="Times" w:hAnsi="Times" w:cs="Times"/>
          <w:sz w:val="24"/>
          <w:szCs w:val="24"/>
        </w:rPr>
        <w:t xml:space="preserve"> aj k finančným vplyvom poslaneckého návrhu</w:t>
      </w:r>
      <w:r w:rsidR="001E6F82">
        <w:rPr>
          <w:rFonts w:ascii="Times" w:hAnsi="Times" w:cs="Times"/>
          <w:sz w:val="24"/>
          <w:szCs w:val="24"/>
        </w:rPr>
        <w:t xml:space="preserve"> a uvádza, že</w:t>
      </w:r>
      <w:r w:rsidRPr="00C02720">
        <w:rPr>
          <w:rFonts w:ascii="Times" w:hAnsi="Times" w:cs="Times"/>
          <w:sz w:val="24"/>
          <w:szCs w:val="24"/>
        </w:rPr>
        <w:t>:</w:t>
      </w:r>
    </w:p>
    <w:p w:rsidR="00C02720" w:rsidRPr="00C02720" w:rsidRDefault="00C02720" w:rsidP="00C02720">
      <w:pPr>
        <w:pStyle w:val="Odsekzoznamu"/>
        <w:numPr>
          <w:ilvl w:val="0"/>
          <w:numId w:val="6"/>
        </w:numPr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</w:t>
      </w:r>
      <w:r w:rsidRPr="00C02720">
        <w:rPr>
          <w:rFonts w:ascii="Times" w:hAnsi="Times" w:cs="Times"/>
          <w:sz w:val="24"/>
          <w:szCs w:val="24"/>
        </w:rPr>
        <w:t xml:space="preserve"> predpokladanými výdavkami sa v návrhu rozpočtu Sociálnej poisťovne na rok 2025 neuvažuje, čo by v prípade prijatia návrhu zákona znamenalo dodatočný negatívny, rozpočtovo nekrytý vpl</w:t>
      </w:r>
      <w:r w:rsidR="001E6F82">
        <w:rPr>
          <w:rFonts w:ascii="Times" w:hAnsi="Times" w:cs="Times"/>
          <w:sz w:val="24"/>
          <w:szCs w:val="24"/>
        </w:rPr>
        <w:t>yv na rozpočet verejnej správy, pričom v</w:t>
      </w:r>
      <w:r w:rsidRPr="00C02720">
        <w:rPr>
          <w:rFonts w:ascii="Times" w:hAnsi="Times" w:cs="Times"/>
          <w:sz w:val="24"/>
          <w:szCs w:val="24"/>
        </w:rPr>
        <w:t xml:space="preserve"> súlade s § 33 ods.</w:t>
      </w:r>
      <w:r w:rsidR="001E6F82">
        <w:rPr>
          <w:rFonts w:ascii="Times" w:hAnsi="Times" w:cs="Times"/>
          <w:sz w:val="24"/>
          <w:szCs w:val="24"/>
        </w:rPr>
        <w:t> </w:t>
      </w:r>
      <w:r w:rsidRPr="00C02720">
        <w:rPr>
          <w:rFonts w:ascii="Times" w:hAnsi="Times" w:cs="Times"/>
          <w:sz w:val="24"/>
          <w:szCs w:val="24"/>
        </w:rPr>
        <w:t>1 zákona č.</w:t>
      </w:r>
      <w:r>
        <w:rPr>
          <w:rFonts w:ascii="Times" w:hAnsi="Times" w:cs="Times"/>
          <w:sz w:val="24"/>
          <w:szCs w:val="24"/>
        </w:rPr>
        <w:t> </w:t>
      </w:r>
      <w:r w:rsidRPr="00C02720">
        <w:rPr>
          <w:rFonts w:ascii="Times" w:hAnsi="Times" w:cs="Times"/>
          <w:sz w:val="24"/>
          <w:szCs w:val="24"/>
        </w:rPr>
        <w:t>523/2004 Z. z. o rozpočtových pravidlách verejnej správy a o zmene a doplnení niektorých zákonov v znení neskorších predpisov je potrebné doplniť do predkladacej správy relevantný návrh na úhradu</w:t>
      </w:r>
      <w:r w:rsidR="001E6F82">
        <w:rPr>
          <w:rFonts w:ascii="Times" w:hAnsi="Times" w:cs="Times"/>
          <w:sz w:val="24"/>
          <w:szCs w:val="24"/>
        </w:rPr>
        <w:t xml:space="preserve"> zvýšených výdavkov v roku 2025,</w:t>
      </w:r>
    </w:p>
    <w:p w:rsidR="00C02720" w:rsidRPr="00C02720" w:rsidRDefault="00C02720" w:rsidP="00C02720">
      <w:pPr>
        <w:pStyle w:val="Odsekzoznamu"/>
        <w:numPr>
          <w:ilvl w:val="0"/>
          <w:numId w:val="6"/>
        </w:numPr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v</w:t>
      </w:r>
      <w:r w:rsidRPr="00C02720">
        <w:rPr>
          <w:rFonts w:ascii="Times" w:hAnsi="Times" w:cs="Times"/>
          <w:sz w:val="24"/>
          <w:szCs w:val="24"/>
        </w:rPr>
        <w:t xml:space="preserve"> prípade prijatia návrhu zákona je potrebné finančné krytie návrhu zabezpečiť v rámci schválených limitov výdavkov Sociálnej poisťovne na príslušný rozpočtový rok, bez dodatočných požiadaviek na štátny rozpočet.</w:t>
      </w:r>
    </w:p>
    <w:p w:rsidR="00C02720" w:rsidRPr="00C02720" w:rsidRDefault="00C02720" w:rsidP="00C02720">
      <w:pPr>
        <w:jc w:val="both"/>
        <w:rPr>
          <w:rFonts w:ascii="Times" w:hAnsi="Times" w:cs="Times"/>
          <w:sz w:val="24"/>
          <w:szCs w:val="24"/>
        </w:rPr>
      </w:pPr>
    </w:p>
    <w:p w:rsidR="003D1FD4" w:rsidRPr="00B6099B" w:rsidRDefault="003D1FD4" w:rsidP="00074EBA">
      <w:pPr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3D1FD4" w:rsidRPr="00B6099B" w:rsidRDefault="001B532C" w:rsidP="001B532C">
      <w:pPr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6099B">
        <w:rPr>
          <w:rFonts w:ascii="Times New Roman" w:hAnsi="Times New Roman"/>
          <w:b/>
          <w:sz w:val="24"/>
          <w:szCs w:val="24"/>
          <w:lang w:eastAsia="en-US"/>
        </w:rPr>
        <w:t>Ministerstvo k predloženým pripomienkam uvádza nasledovné.</w:t>
      </w:r>
    </w:p>
    <w:p w:rsidR="00633901" w:rsidRPr="00633901" w:rsidRDefault="00633901" w:rsidP="00633901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633901">
        <w:rPr>
          <w:rFonts w:ascii="Times New Roman" w:hAnsi="Times New Roman"/>
          <w:sz w:val="24"/>
          <w:szCs w:val="24"/>
          <w:lang w:eastAsia="en-US"/>
        </w:rPr>
        <w:t>Ministerstvo nesúhlasí s návrhom Ministerstva financií Slovenskej republiky k čl. I bodu 7</w:t>
      </w:r>
      <w:r>
        <w:rPr>
          <w:rFonts w:ascii="Times New Roman" w:hAnsi="Times New Roman"/>
          <w:sz w:val="24"/>
          <w:szCs w:val="24"/>
          <w:lang w:eastAsia="en-US"/>
        </w:rPr>
        <w:t xml:space="preserve"> – </w:t>
      </w:r>
      <w:r w:rsidRPr="00633901">
        <w:rPr>
          <w:rFonts w:ascii="Times New Roman" w:hAnsi="Times New Roman"/>
          <w:sz w:val="24"/>
          <w:szCs w:val="24"/>
          <w:lang w:eastAsia="en-US"/>
        </w:rPr>
        <w:t>podmieniť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33901">
        <w:rPr>
          <w:rFonts w:ascii="Times New Roman" w:hAnsi="Times New Roman"/>
          <w:sz w:val="24"/>
          <w:szCs w:val="24"/>
          <w:lang w:eastAsia="en-US"/>
        </w:rPr>
        <w:t xml:space="preserve">zasielanie dôchodkovej prognózy prostredníctvom elektronickej pošty predchádzajúcim súhlasom </w:t>
      </w:r>
      <w:r>
        <w:rPr>
          <w:rFonts w:ascii="Times New Roman" w:hAnsi="Times New Roman"/>
          <w:sz w:val="24"/>
          <w:szCs w:val="24"/>
          <w:lang w:eastAsia="en-US"/>
        </w:rPr>
        <w:t>poistenca</w:t>
      </w:r>
      <w:r w:rsidRPr="00633901">
        <w:rPr>
          <w:rFonts w:ascii="Times New Roman" w:hAnsi="Times New Roman"/>
          <w:sz w:val="24"/>
          <w:szCs w:val="24"/>
          <w:lang w:eastAsia="en-US"/>
        </w:rPr>
        <w:t>. Ministerstvo podporuje poslanecký návrh, ktorý zohľadňuje nielen efektívnosť, ale aj hospodárnosť nakladania s finančnými prostriedkami Sociálnej poisťovne. Elektronická forma komunikácie by podľa odhadov mohla prispieť k významným úsporám, konkrétne sa predpokladá, že v roku 2026 by mohlo dôjsť k zníženiu výdavkov až o 2,2 milióna eur. Tento spôsob zasielania informácií nielenže znižuje náklady, ale zároveň zjednodušuje a zrýchľuje prístup poistencov k dôležitým údajom o ich dôchodkoch.</w:t>
      </w:r>
    </w:p>
    <w:p w:rsidR="00633901" w:rsidRDefault="00633901" w:rsidP="00633901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633901">
        <w:rPr>
          <w:rFonts w:ascii="Times New Roman" w:hAnsi="Times New Roman"/>
          <w:sz w:val="24"/>
          <w:szCs w:val="24"/>
          <w:lang w:eastAsia="en-US"/>
        </w:rPr>
        <w:t>Dôchodková prognóza má pritom ambíciu nielen zlepšiť, ale aj rozšíriť informovanosť poistencov (sporiteľov) o ich celkových dôchodkových príjmoch, bez ohľadu na to, z ktorého piliera budú tieto príjmy vyplácané. Tento prístup pomôže zabezpečiť komplexnejší prehľad o dôchodkových nárokoch, čím prispeje k lepšiemu finančnému plánovaniu a informovaným rozhodnutiam poistencov.</w:t>
      </w:r>
    </w:p>
    <w:p w:rsidR="00633901" w:rsidRDefault="00633901" w:rsidP="00633901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D1FD4" w:rsidRPr="003923D4" w:rsidRDefault="00B83E57" w:rsidP="00633901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B6099B">
        <w:rPr>
          <w:rFonts w:ascii="Times New Roman" w:hAnsi="Times New Roman"/>
          <w:sz w:val="24"/>
          <w:szCs w:val="24"/>
          <w:lang w:eastAsia="en-US"/>
        </w:rPr>
        <w:t xml:space="preserve">V súvislosti so zásadnými pripomienkami Ministerstva financií Slovenskej republiky a Kancelárie Rady pre rozpočtovú zodpovednosť k posunu nábehu novej výplatnej fázy v starobnom dôchodkovom sporení ministerstvo uvádza, že pokračuje v analyzovaní celého dôchodkového systému, pričom potrebný časový rámec pre tieto analýzy skutočne nie je možné v tejto chvíli odhadnúť. Z tohto dôvodu s predmetným návrhom na vypustenie čl. II a III </w:t>
      </w:r>
      <w:r w:rsidR="004F43C2">
        <w:rPr>
          <w:rFonts w:ascii="Times New Roman" w:hAnsi="Times New Roman"/>
          <w:sz w:val="24"/>
          <w:szCs w:val="24"/>
          <w:lang w:eastAsia="en-US"/>
        </w:rPr>
        <w:t xml:space="preserve">ministerstvo </w:t>
      </w:r>
      <w:r w:rsidR="00B6099B" w:rsidRPr="002C4210">
        <w:rPr>
          <w:rFonts w:ascii="Times New Roman" w:hAnsi="Times New Roman"/>
          <w:sz w:val="24"/>
          <w:szCs w:val="24"/>
          <w:lang w:eastAsia="en-US"/>
        </w:rPr>
        <w:t>nesúhlasí</w:t>
      </w:r>
      <w:r w:rsidRPr="002C4210">
        <w:rPr>
          <w:rFonts w:ascii="Times New Roman" w:hAnsi="Times New Roman"/>
          <w:sz w:val="24"/>
          <w:szCs w:val="24"/>
          <w:lang w:eastAsia="en-US"/>
        </w:rPr>
        <w:t>.</w:t>
      </w:r>
    </w:p>
    <w:p w:rsidR="001B532C" w:rsidRPr="00B6099B" w:rsidRDefault="001B532C" w:rsidP="001B532C">
      <w:pPr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02720" w:rsidRDefault="00C02720" w:rsidP="00C02720">
      <w:pPr>
        <w:jc w:val="both"/>
        <w:rPr>
          <w:rFonts w:ascii="Times" w:hAnsi="Times" w:cs="Times"/>
          <w:sz w:val="24"/>
          <w:szCs w:val="24"/>
        </w:rPr>
      </w:pPr>
      <w:r w:rsidRPr="00C02720">
        <w:rPr>
          <w:rFonts w:ascii="Times" w:hAnsi="Times" w:cs="Times"/>
          <w:sz w:val="24"/>
          <w:szCs w:val="24"/>
        </w:rPr>
        <w:t xml:space="preserve">Ministerstvo </w:t>
      </w:r>
      <w:r>
        <w:rPr>
          <w:rFonts w:ascii="Times" w:hAnsi="Times" w:cs="Times"/>
          <w:sz w:val="24"/>
          <w:szCs w:val="24"/>
        </w:rPr>
        <w:t>sa stotožnilo s pripomienkami</w:t>
      </w:r>
      <w:r w:rsidRPr="00C02720">
        <w:rPr>
          <w:rFonts w:ascii="Times" w:hAnsi="Times" w:cs="Times"/>
          <w:sz w:val="24"/>
          <w:szCs w:val="24"/>
        </w:rPr>
        <w:t xml:space="preserve"> Ministerstva financií Slovenskej republiky</w:t>
      </w:r>
      <w:r>
        <w:rPr>
          <w:rFonts w:ascii="Times" w:hAnsi="Times" w:cs="Times"/>
          <w:sz w:val="24"/>
          <w:szCs w:val="24"/>
        </w:rPr>
        <w:t xml:space="preserve"> k finančným vplyvom</w:t>
      </w:r>
      <w:r w:rsidRPr="00C02720">
        <w:rPr>
          <w:rFonts w:ascii="Times" w:hAnsi="Times" w:cs="Times"/>
          <w:sz w:val="24"/>
          <w:szCs w:val="24"/>
        </w:rPr>
        <w:t xml:space="preserve">. V prípade schválenia poslaneckého návrhu </w:t>
      </w:r>
      <w:r>
        <w:rPr>
          <w:rFonts w:ascii="Times" w:hAnsi="Times" w:cs="Times"/>
          <w:sz w:val="24"/>
          <w:szCs w:val="24"/>
        </w:rPr>
        <w:t>ministerstvo navrhuje</w:t>
      </w:r>
      <w:r w:rsidRPr="00C02720">
        <w:rPr>
          <w:rFonts w:ascii="Times" w:hAnsi="Times" w:cs="Times"/>
          <w:sz w:val="24"/>
          <w:szCs w:val="24"/>
        </w:rPr>
        <w:t xml:space="preserve"> finančné krytie zvýšených výdavkov v roku 2025 zabezpečiť v rámci  aktuálneho limitu výdavkov stanoveného pre Sociálnu poisťovňu v návrhu rozpočtu Sociálnej poisťovne na rok 2025 a rozpočtového výhľadu na roky 2026 a 2027, ktorý bude predložený na rokovanie vlády Slovenskej republiky do 15. októbra 2024.</w:t>
      </w:r>
    </w:p>
    <w:p w:rsidR="00C02720" w:rsidRDefault="00C02720" w:rsidP="00C02720">
      <w:pPr>
        <w:jc w:val="both"/>
        <w:rPr>
          <w:rFonts w:ascii="Times" w:hAnsi="Times" w:cs="Times"/>
          <w:sz w:val="24"/>
          <w:szCs w:val="24"/>
        </w:rPr>
      </w:pPr>
    </w:p>
    <w:p w:rsidR="00DA10DB" w:rsidRPr="00B6099B" w:rsidRDefault="00DA10DB" w:rsidP="00074EBA">
      <w:pPr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6099B">
        <w:rPr>
          <w:rFonts w:ascii="Times New Roman" w:hAnsi="Times New Roman"/>
          <w:b/>
          <w:sz w:val="24"/>
          <w:szCs w:val="24"/>
          <w:lang w:eastAsia="en-US"/>
        </w:rPr>
        <w:lastRenderedPageBreak/>
        <w:t>Záver</w:t>
      </w:r>
    </w:p>
    <w:p w:rsidR="00DA10DB" w:rsidRPr="00B6099B" w:rsidRDefault="00DA10DB" w:rsidP="00DA10DB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A10DB" w:rsidRPr="00B6099B" w:rsidRDefault="00DA10DB" w:rsidP="00DA10DB">
      <w:pPr>
        <w:pStyle w:val="Odsekzoznamu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6099B">
        <w:rPr>
          <w:rFonts w:ascii="Times New Roman" w:hAnsi="Times New Roman"/>
          <w:sz w:val="24"/>
          <w:szCs w:val="24"/>
        </w:rPr>
        <w:t>Vzhľadom na uvedené ministerstvo odporúča vláde Slovenskej republiky</w:t>
      </w:r>
      <w:r w:rsidR="005C042B" w:rsidRPr="00B6099B">
        <w:rPr>
          <w:rFonts w:ascii="Times New Roman" w:hAnsi="Times New Roman"/>
          <w:sz w:val="24"/>
          <w:szCs w:val="24"/>
        </w:rPr>
        <w:t xml:space="preserve"> vysloviť s</w:t>
      </w:r>
      <w:r w:rsidR="00F47CFB" w:rsidRPr="00B6099B">
        <w:rPr>
          <w:rFonts w:ascii="Times New Roman" w:hAnsi="Times New Roman"/>
          <w:sz w:val="24"/>
          <w:szCs w:val="24"/>
        </w:rPr>
        <w:t> </w:t>
      </w:r>
      <w:r w:rsidRPr="00B6099B">
        <w:rPr>
          <w:rFonts w:ascii="Times New Roman" w:hAnsi="Times New Roman"/>
          <w:sz w:val="24"/>
          <w:szCs w:val="24"/>
        </w:rPr>
        <w:t>návrh</w:t>
      </w:r>
      <w:r w:rsidR="005C042B" w:rsidRPr="00B6099B">
        <w:rPr>
          <w:rFonts w:ascii="Times New Roman" w:hAnsi="Times New Roman"/>
          <w:sz w:val="24"/>
          <w:szCs w:val="24"/>
        </w:rPr>
        <w:t>om</w:t>
      </w:r>
      <w:r w:rsidRPr="00B6099B">
        <w:rPr>
          <w:rFonts w:ascii="Times New Roman" w:hAnsi="Times New Roman"/>
          <w:sz w:val="24"/>
          <w:szCs w:val="24"/>
        </w:rPr>
        <w:t xml:space="preserve"> </w:t>
      </w:r>
      <w:r w:rsidR="00C86EA9" w:rsidRPr="00B6099B">
        <w:rPr>
          <w:rFonts w:ascii="Times New Roman" w:hAnsi="Times New Roman"/>
          <w:kern w:val="0"/>
          <w:sz w:val="24"/>
          <w:szCs w:val="24"/>
        </w:rPr>
        <w:t>poslankyne</w:t>
      </w:r>
      <w:r w:rsidRPr="00B6099B">
        <w:rPr>
          <w:rFonts w:ascii="Times New Roman" w:hAnsi="Times New Roman"/>
          <w:kern w:val="0"/>
          <w:sz w:val="24"/>
          <w:szCs w:val="24"/>
        </w:rPr>
        <w:t xml:space="preserve"> Národnej rady Slovenskej republiky </w:t>
      </w:r>
      <w:r w:rsidR="00C86EA9" w:rsidRPr="00B6099B">
        <w:rPr>
          <w:rFonts w:ascii="Times New Roman" w:hAnsi="Times New Roman"/>
          <w:sz w:val="24"/>
          <w:szCs w:val="24"/>
          <w:lang w:eastAsia="en-US"/>
        </w:rPr>
        <w:t xml:space="preserve">na vydanie zákona, ktorým sa mení a dopĺňa zákon č. 461/2003 Z. z. o sociálnom poistení v znení neskorších predpisov a ktorým sa menia niektoré zákony </w:t>
      </w:r>
      <w:r w:rsidRPr="00B6099B">
        <w:rPr>
          <w:rFonts w:ascii="Times New Roman" w:hAnsi="Times New Roman"/>
          <w:sz w:val="24"/>
          <w:szCs w:val="24"/>
          <w:lang w:eastAsia="en-US"/>
        </w:rPr>
        <w:t xml:space="preserve">(tlač </w:t>
      </w:r>
      <w:r w:rsidR="00C86EA9" w:rsidRPr="00B6099B">
        <w:rPr>
          <w:rFonts w:ascii="Times New Roman" w:hAnsi="Times New Roman"/>
          <w:sz w:val="24"/>
          <w:szCs w:val="24"/>
          <w:lang w:eastAsia="en-US"/>
        </w:rPr>
        <w:t>399</w:t>
      </w:r>
      <w:r w:rsidRPr="00B6099B">
        <w:rPr>
          <w:rFonts w:ascii="Times New Roman" w:hAnsi="Times New Roman"/>
          <w:sz w:val="24"/>
          <w:szCs w:val="24"/>
          <w:lang w:eastAsia="en-US"/>
        </w:rPr>
        <w:t>)</w:t>
      </w:r>
      <w:r w:rsidRPr="00B6099B">
        <w:rPr>
          <w:rFonts w:ascii="Times New Roman" w:hAnsi="Times New Roman"/>
          <w:sz w:val="24"/>
          <w:szCs w:val="24"/>
        </w:rPr>
        <w:t xml:space="preserve"> </w:t>
      </w:r>
      <w:r w:rsidR="005C042B" w:rsidRPr="00B6099B">
        <w:rPr>
          <w:rFonts w:ascii="Times New Roman" w:hAnsi="Times New Roman"/>
          <w:b/>
          <w:sz w:val="24"/>
          <w:szCs w:val="24"/>
        </w:rPr>
        <w:t>súhlas.</w:t>
      </w:r>
    </w:p>
    <w:sectPr w:rsidR="00DA10DB" w:rsidRPr="00B6099B" w:rsidSect="00DA10DB">
      <w:footerReference w:type="default" r:id="rId8"/>
      <w:pgSz w:w="11906" w:h="16838"/>
      <w:pgMar w:top="1417" w:right="1417" w:bottom="1417" w:left="1417" w:header="737" w:footer="42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86F" w:rsidRDefault="005C586F">
      <w:r>
        <w:separator/>
      </w:r>
    </w:p>
  </w:endnote>
  <w:endnote w:type="continuationSeparator" w:id="0">
    <w:p w:rsidR="005C586F" w:rsidRDefault="005C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83751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17FB8" w:rsidRPr="00917FB8" w:rsidRDefault="00917FB8">
        <w:pPr>
          <w:pStyle w:val="Pta"/>
          <w:jc w:val="center"/>
          <w:rPr>
            <w:rFonts w:ascii="Times New Roman" w:hAnsi="Times New Roman"/>
            <w:sz w:val="20"/>
            <w:szCs w:val="20"/>
          </w:rPr>
        </w:pPr>
        <w:r w:rsidRPr="00917FB8">
          <w:rPr>
            <w:rFonts w:ascii="Times New Roman" w:hAnsi="Times New Roman"/>
            <w:sz w:val="20"/>
            <w:szCs w:val="20"/>
          </w:rPr>
          <w:fldChar w:fldCharType="begin"/>
        </w:r>
        <w:r w:rsidRPr="00917FB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17FB8">
          <w:rPr>
            <w:rFonts w:ascii="Times New Roman" w:hAnsi="Times New Roman"/>
            <w:sz w:val="20"/>
            <w:szCs w:val="20"/>
          </w:rPr>
          <w:fldChar w:fldCharType="separate"/>
        </w:r>
        <w:r w:rsidR="00857446">
          <w:rPr>
            <w:rFonts w:ascii="Times New Roman" w:hAnsi="Times New Roman"/>
            <w:noProof/>
            <w:sz w:val="20"/>
            <w:szCs w:val="20"/>
          </w:rPr>
          <w:t>2</w:t>
        </w:r>
        <w:r w:rsidRPr="00917FB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694F5B" w:rsidRPr="00EC2262" w:rsidRDefault="005C586F" w:rsidP="0089492B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86F" w:rsidRDefault="005C586F">
      <w:r>
        <w:separator/>
      </w:r>
    </w:p>
  </w:footnote>
  <w:footnote w:type="continuationSeparator" w:id="0">
    <w:p w:rsidR="005C586F" w:rsidRDefault="005C5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090C"/>
    <w:multiLevelType w:val="hybridMultilevel"/>
    <w:tmpl w:val="481AA318"/>
    <w:lvl w:ilvl="0" w:tplc="753886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60F92"/>
    <w:multiLevelType w:val="hybridMultilevel"/>
    <w:tmpl w:val="6E948932"/>
    <w:lvl w:ilvl="0" w:tplc="0414C4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92758"/>
    <w:multiLevelType w:val="hybridMultilevel"/>
    <w:tmpl w:val="0E9CE50C"/>
    <w:lvl w:ilvl="0" w:tplc="5DCE2CD4">
      <w:numFmt w:val="bullet"/>
      <w:lvlText w:val="-"/>
      <w:lvlJc w:val="left"/>
      <w:pPr>
        <w:ind w:left="720" w:hanging="360"/>
      </w:pPr>
      <w:rPr>
        <w:rFonts w:ascii="Times" w:eastAsia="Calibri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9763A"/>
    <w:multiLevelType w:val="hybridMultilevel"/>
    <w:tmpl w:val="630050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87F35"/>
    <w:multiLevelType w:val="hybridMultilevel"/>
    <w:tmpl w:val="6254BB54"/>
    <w:lvl w:ilvl="0" w:tplc="0C185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F064FC"/>
    <w:multiLevelType w:val="hybridMultilevel"/>
    <w:tmpl w:val="38D4914A"/>
    <w:lvl w:ilvl="0" w:tplc="70504B38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DB"/>
    <w:rsid w:val="000007A7"/>
    <w:rsid w:val="00025672"/>
    <w:rsid w:val="00042F8E"/>
    <w:rsid w:val="0005386C"/>
    <w:rsid w:val="000609F2"/>
    <w:rsid w:val="00074EBA"/>
    <w:rsid w:val="00084362"/>
    <w:rsid w:val="00097041"/>
    <w:rsid w:val="000A3C0F"/>
    <w:rsid w:val="000B300A"/>
    <w:rsid w:val="000D5F41"/>
    <w:rsid w:val="00107772"/>
    <w:rsid w:val="00141E9D"/>
    <w:rsid w:val="001467D4"/>
    <w:rsid w:val="00151CE4"/>
    <w:rsid w:val="00181748"/>
    <w:rsid w:val="00181807"/>
    <w:rsid w:val="001B532C"/>
    <w:rsid w:val="001C13B0"/>
    <w:rsid w:val="001D5025"/>
    <w:rsid w:val="001E6F82"/>
    <w:rsid w:val="00202F89"/>
    <w:rsid w:val="0024379D"/>
    <w:rsid w:val="00251C0D"/>
    <w:rsid w:val="00265DA8"/>
    <w:rsid w:val="002661CD"/>
    <w:rsid w:val="00271D6B"/>
    <w:rsid w:val="002848DA"/>
    <w:rsid w:val="00285171"/>
    <w:rsid w:val="00285307"/>
    <w:rsid w:val="002A16E5"/>
    <w:rsid w:val="002B03D2"/>
    <w:rsid w:val="002C40DD"/>
    <w:rsid w:val="002C4210"/>
    <w:rsid w:val="002C78C9"/>
    <w:rsid w:val="003019F1"/>
    <w:rsid w:val="003846EB"/>
    <w:rsid w:val="00387E45"/>
    <w:rsid w:val="003923D4"/>
    <w:rsid w:val="00395729"/>
    <w:rsid w:val="003C57C7"/>
    <w:rsid w:val="003C7933"/>
    <w:rsid w:val="003D1FD4"/>
    <w:rsid w:val="003D430C"/>
    <w:rsid w:val="003F440A"/>
    <w:rsid w:val="003F4475"/>
    <w:rsid w:val="00410AA7"/>
    <w:rsid w:val="00416503"/>
    <w:rsid w:val="004A5CE9"/>
    <w:rsid w:val="004E4631"/>
    <w:rsid w:val="004F43C2"/>
    <w:rsid w:val="005017B8"/>
    <w:rsid w:val="00505B85"/>
    <w:rsid w:val="005359F9"/>
    <w:rsid w:val="00541094"/>
    <w:rsid w:val="00571F52"/>
    <w:rsid w:val="005A2AA0"/>
    <w:rsid w:val="005B3903"/>
    <w:rsid w:val="005C042B"/>
    <w:rsid w:val="005C28DA"/>
    <w:rsid w:val="005C586F"/>
    <w:rsid w:val="005E2877"/>
    <w:rsid w:val="005E2DBF"/>
    <w:rsid w:val="0060039D"/>
    <w:rsid w:val="006055FF"/>
    <w:rsid w:val="00620E24"/>
    <w:rsid w:val="00633901"/>
    <w:rsid w:val="00644F37"/>
    <w:rsid w:val="006D2D87"/>
    <w:rsid w:val="006E402E"/>
    <w:rsid w:val="006E6A30"/>
    <w:rsid w:val="00700325"/>
    <w:rsid w:val="0072278F"/>
    <w:rsid w:val="00777C48"/>
    <w:rsid w:val="00777D2E"/>
    <w:rsid w:val="00781ECC"/>
    <w:rsid w:val="00793F96"/>
    <w:rsid w:val="007A2A0D"/>
    <w:rsid w:val="007A7262"/>
    <w:rsid w:val="007B2041"/>
    <w:rsid w:val="007B24F7"/>
    <w:rsid w:val="00836E52"/>
    <w:rsid w:val="00843AB4"/>
    <w:rsid w:val="00857446"/>
    <w:rsid w:val="0086394C"/>
    <w:rsid w:val="008814ED"/>
    <w:rsid w:val="00887412"/>
    <w:rsid w:val="008B724D"/>
    <w:rsid w:val="008E4933"/>
    <w:rsid w:val="00902F0C"/>
    <w:rsid w:val="009173E5"/>
    <w:rsid w:val="00917FB8"/>
    <w:rsid w:val="009449A7"/>
    <w:rsid w:val="00946D2B"/>
    <w:rsid w:val="009B1E0C"/>
    <w:rsid w:val="009D0F04"/>
    <w:rsid w:val="009D48D6"/>
    <w:rsid w:val="009D527B"/>
    <w:rsid w:val="009F41EC"/>
    <w:rsid w:val="00A34DA6"/>
    <w:rsid w:val="00A41FD0"/>
    <w:rsid w:val="00A70624"/>
    <w:rsid w:val="00AC4932"/>
    <w:rsid w:val="00AC5C09"/>
    <w:rsid w:val="00AD1D1C"/>
    <w:rsid w:val="00AE778A"/>
    <w:rsid w:val="00B1444C"/>
    <w:rsid w:val="00B27998"/>
    <w:rsid w:val="00B43765"/>
    <w:rsid w:val="00B50FD8"/>
    <w:rsid w:val="00B533AB"/>
    <w:rsid w:val="00B6099B"/>
    <w:rsid w:val="00B80709"/>
    <w:rsid w:val="00B83E57"/>
    <w:rsid w:val="00B843BB"/>
    <w:rsid w:val="00B8483B"/>
    <w:rsid w:val="00BB26D2"/>
    <w:rsid w:val="00BC4B7F"/>
    <w:rsid w:val="00BD00B1"/>
    <w:rsid w:val="00BD5148"/>
    <w:rsid w:val="00BE3A22"/>
    <w:rsid w:val="00BE72D2"/>
    <w:rsid w:val="00C02720"/>
    <w:rsid w:val="00C351B0"/>
    <w:rsid w:val="00C416E3"/>
    <w:rsid w:val="00C434FF"/>
    <w:rsid w:val="00C56058"/>
    <w:rsid w:val="00C60A61"/>
    <w:rsid w:val="00C749AD"/>
    <w:rsid w:val="00C7530A"/>
    <w:rsid w:val="00C85B4C"/>
    <w:rsid w:val="00C86EA9"/>
    <w:rsid w:val="00CB26B4"/>
    <w:rsid w:val="00CC3C13"/>
    <w:rsid w:val="00CE0628"/>
    <w:rsid w:val="00CE3A6E"/>
    <w:rsid w:val="00D05C8C"/>
    <w:rsid w:val="00D25C2C"/>
    <w:rsid w:val="00D3747A"/>
    <w:rsid w:val="00D65696"/>
    <w:rsid w:val="00DA10DB"/>
    <w:rsid w:val="00DA22C5"/>
    <w:rsid w:val="00DC4316"/>
    <w:rsid w:val="00DF7867"/>
    <w:rsid w:val="00E043AB"/>
    <w:rsid w:val="00E46338"/>
    <w:rsid w:val="00E71328"/>
    <w:rsid w:val="00E71D17"/>
    <w:rsid w:val="00E766B8"/>
    <w:rsid w:val="00EF26BE"/>
    <w:rsid w:val="00F0688F"/>
    <w:rsid w:val="00F17A4B"/>
    <w:rsid w:val="00F27705"/>
    <w:rsid w:val="00F47CFB"/>
    <w:rsid w:val="00FB02AE"/>
    <w:rsid w:val="00FB6363"/>
    <w:rsid w:val="00FD4AA4"/>
    <w:rsid w:val="00FE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E958D-77BE-45A5-8AAB-A7A859D6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DA10D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DA10DB"/>
    <w:pPr>
      <w:ind w:left="720"/>
    </w:pPr>
    <w:rPr>
      <w:sz w:val="22"/>
      <w:szCs w:val="22"/>
    </w:rPr>
  </w:style>
  <w:style w:type="paragraph" w:styleId="Pta">
    <w:name w:val="footer"/>
    <w:basedOn w:val="Normlny"/>
    <w:link w:val="PtaChar"/>
    <w:uiPriority w:val="99"/>
    <w:rsid w:val="00DA10DB"/>
    <w:pPr>
      <w:suppressLineNumbers/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DA10DB"/>
    <w:rPr>
      <w:rFonts w:ascii="Calibri" w:eastAsia="Calibri" w:hAnsi="Calibri" w:cs="Times New Roman"/>
      <w:kern w:val="3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DA10DB"/>
    <w:rPr>
      <w:rFonts w:ascii="Calibri" w:eastAsia="Calibri" w:hAnsi="Calibri" w:cs="Times New Roman"/>
      <w:kern w:val="3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533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533AB"/>
  </w:style>
  <w:style w:type="character" w:customStyle="1" w:styleId="TextkomentraChar">
    <w:name w:val="Text komentára Char"/>
    <w:basedOn w:val="Predvolenpsmoodseku"/>
    <w:link w:val="Textkomentra"/>
    <w:uiPriority w:val="99"/>
    <w:rsid w:val="00B533AB"/>
    <w:rPr>
      <w:rFonts w:ascii="Calibri" w:eastAsia="Calibri" w:hAnsi="Calibri" w:cs="Times New Roman"/>
      <w:kern w:val="3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33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33AB"/>
    <w:rPr>
      <w:rFonts w:ascii="Calibri" w:eastAsia="Calibri" w:hAnsi="Calibri" w:cs="Times New Roman"/>
      <w:b/>
      <w:bCs/>
      <w:kern w:val="3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33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33AB"/>
    <w:rPr>
      <w:rFonts w:ascii="Segoe UI" w:eastAsia="Calibri" w:hAnsi="Segoe UI" w:cs="Segoe UI"/>
      <w:kern w:val="3"/>
      <w:sz w:val="18"/>
      <w:szCs w:val="18"/>
      <w:lang w:eastAsia="sk-SK"/>
    </w:rPr>
  </w:style>
  <w:style w:type="character" w:styleId="Zstupntext">
    <w:name w:val="Placeholder Text"/>
    <w:basedOn w:val="Predvolenpsmoodseku"/>
    <w:uiPriority w:val="99"/>
    <w:semiHidden/>
    <w:rsid w:val="00285307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B03D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B03D2"/>
    <w:rPr>
      <w:rFonts w:ascii="Calibri" w:eastAsia="Calibri" w:hAnsi="Calibri" w:cs="Times New Roman"/>
      <w:kern w:val="3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B03D2"/>
    <w:rPr>
      <w:vertAlign w:val="superscript"/>
    </w:rPr>
  </w:style>
  <w:style w:type="character" w:styleId="Hypertextovprepojenie">
    <w:name w:val="Hyperlink"/>
    <w:basedOn w:val="Predvolenpsmoodseku"/>
    <w:uiPriority w:val="99"/>
    <w:semiHidden/>
    <w:unhideWhenUsed/>
    <w:rsid w:val="002B03D2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A3C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A3C0F"/>
    <w:rPr>
      <w:rFonts w:ascii="Calibri" w:eastAsia="Calibri" w:hAnsi="Calibri" w:cs="Times New Roman"/>
      <w:kern w:val="3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D65696"/>
    <w:pPr>
      <w:spacing w:after="0" w:line="240" w:lineRule="auto"/>
    </w:pPr>
    <w:rPr>
      <w:rFonts w:ascii="Calibri" w:eastAsia="Calibri" w:hAnsi="Calibri" w:cs="Times New Roman"/>
      <w:kern w:val="3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17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3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10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DF966-55F6-4A33-8E4A-AEC1ABA3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ieri dôchodkového sporenia</vt:lpstr>
    </vt:vector>
  </TitlesOfParts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ieri dôchodkového sporenia</dc:title>
  <dc:subject/>
  <dc:creator>Slavka Fujdová</dc:creator>
  <cp:keywords/>
  <dc:description/>
  <cp:lastModifiedBy>Hornáček Vladimír</cp:lastModifiedBy>
  <cp:revision>7</cp:revision>
  <dcterms:created xsi:type="dcterms:W3CDTF">2024-10-11T14:13:00Z</dcterms:created>
  <dcterms:modified xsi:type="dcterms:W3CDTF">2024-10-15T06:37:00Z</dcterms:modified>
</cp:coreProperties>
</file>