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0B0AB" w14:textId="77777777" w:rsidR="00C509E8" w:rsidRPr="006F61F2" w:rsidRDefault="00021155" w:rsidP="0055688E">
      <w:pPr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Predkladacia správa</w:t>
      </w:r>
    </w:p>
    <w:p w14:paraId="5205585D" w14:textId="77777777" w:rsidR="00E45FB4" w:rsidRPr="006F61F2" w:rsidRDefault="00E45FB4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1E621F60" w14:textId="675A3C6A" w:rsidR="00CA3AEB" w:rsidRPr="006F61F2" w:rsidRDefault="00CA3AEB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 základe § 70 ods. 2 zákona Národnej rady Slovenskej republiky č. 350/1996 Z. z. o rokovacom poriadku Národnej rady Slovenskej republiky Ministerstvo práce, sociálnych vecí a rodiny Slovenskej republiky </w:t>
      </w:r>
      <w:r w:rsidR="003B6C38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(ďalej len „ministerstvo práce“) </w:t>
      </w: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ako ústredný orgán štátnej správy pre </w:t>
      </w:r>
      <w:r w:rsidR="00D04EDB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stratégiu zamestnanosti, koordináciu jej tvorby a politiku trhu práce </w:t>
      </w: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predkladá na rokovanie vlády Slovenskej republiky návrh </w:t>
      </w:r>
      <w:r w:rsidR="00D04EDB"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 w:bidi="sk-SK"/>
        </w:rPr>
        <w:t>poslankyne Národnej rady Slovenskej republiky Aleny Novákovej na vydanie zákona, ktorým sa dopĺňa zákon č. 5/2004 Z. z. o službách zamestnanosti a o zmene a doplnení niektorých zákonov v znení neskorších predpisov (tlač 416)</w:t>
      </w: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750D65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355A5947" w14:textId="77777777" w:rsidR="00C509E8" w:rsidRPr="006F61F2" w:rsidRDefault="00C509E8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61FC37F" w14:textId="77777777" w:rsidR="00C509E8" w:rsidRPr="006F61F2" w:rsidRDefault="00844FD9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Ministerstvo práce</w:t>
      </w:r>
      <w:r w:rsidR="003B6C38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C509E8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k predloženému návrhu zákona uvádza:</w:t>
      </w:r>
    </w:p>
    <w:p w14:paraId="6B9BBCA5" w14:textId="77777777" w:rsidR="00C509E8" w:rsidRPr="006F61F2" w:rsidRDefault="00C509E8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0A0FA28" w14:textId="77777777" w:rsidR="00C509E8" w:rsidRPr="006F61F2" w:rsidRDefault="00C509E8" w:rsidP="0055688E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Všeobecne</w:t>
      </w:r>
    </w:p>
    <w:p w14:paraId="4AA99FE1" w14:textId="77777777" w:rsidR="00B352E5" w:rsidRPr="006F61F2" w:rsidRDefault="00B352E5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6507214" w14:textId="35B963D2" w:rsidR="00641344" w:rsidRPr="006F61F2" w:rsidRDefault="00E61A79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Návrhom zákona sa umožňuje agentúre dočasného zamestnávania dočasne prideľovať štátnych príslušníkov tretej krajiny k užívateľskému zamestnávateľovi po vydaní súhlasného potvrdenia o možnosti obsadenia voľného pracovného miesta a podaní žiadosti o prechodný pobyt na účel zamestnania do právoplatného skončenia konania o udelenie prechodného pobytu na účel zamestnania za podmienky, že ide o výkon zamestnania v nedostatkových profesiách</w:t>
      </w:r>
      <w:r w:rsidR="00641344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14:paraId="6DC7C384" w14:textId="35513DE4" w:rsidR="008D5857" w:rsidRPr="006F61F2" w:rsidRDefault="008D5857" w:rsidP="0055688E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931DC20" w14:textId="77777777" w:rsidR="00C22734" w:rsidRPr="006F61F2" w:rsidRDefault="00C22734" w:rsidP="0055688E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Stanovisko</w:t>
      </w:r>
    </w:p>
    <w:p w14:paraId="38D6A5C5" w14:textId="03B9E02D" w:rsidR="00C22734" w:rsidRPr="006F61F2" w:rsidRDefault="00C22734" w:rsidP="0063400F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356826A1" w14:textId="3FBB7D6B" w:rsidR="00E61A79" w:rsidRDefault="006F61F2" w:rsidP="00E61A79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Navrhované opatrenie umožňuje agentúre dočasného zamestnávania, ktorá vykonáva činnosť najmenej tri roky, dočasne prideliť štátneho príslušníka tretej krajiny na výkon práce k užívateľskému zamestnávateľovi v zamestnaní s nedostatkom pracovnej sily aj počas konania o udelenie prechodného pobytu na účel zamestnania, ak úrad práce, sociálnych vecí a rodiny vydal na jeho zamestnávanie potvrdenie o možnosti obsadenia voľného pracovného miesta, ktoré obsahuje súhlas s jeho obsadením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</w:t>
      </w:r>
    </w:p>
    <w:p w14:paraId="16C7439F" w14:textId="15AD50E2" w:rsidR="006F61F2" w:rsidRPr="006F61F2" w:rsidRDefault="006F61F2" w:rsidP="00E61A79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3504AC85" w14:textId="7ECCDC8D" w:rsidR="006F61F2" w:rsidRPr="006F61F2" w:rsidRDefault="006F61F2" w:rsidP="00E61A79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Návrh zákona nadväzuje na právu úpravu účinnú do 14. júla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2024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, podľa ktorej zamestnávateľ (vrátane agentúry dočasného zamestnávania)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mohol zamestnáva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ť (a agentúra dočasného zamestnávania dočasne prideľovať)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štátneho príslušníka tretej krajiny 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počas konania o udelenie prechodného pobytu na účel zamestnania na 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účel jeho zaškolenia, najviac na osem po sebe nasledujúcich týždňov v kalendárnom roku, ak 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išlo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o výkon zamestnan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ia s nedostatkom pracovnej sily. Zmenou právnej úpravy účinnou od 15. júla 2024 agentúry dočasného zamestnávania stratili možnosť dočasného prideľovania štátnych príslušníkov tretej krajiny počas </w:t>
      </w:r>
      <w:r w:rsidR="00E501C5"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konania o udelenie prechodného pobytu na účel zamestnania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. </w:t>
      </w:r>
      <w:r w:rsidR="006323D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V zákone z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ostala iba možnosť zamestnávania štátnych príslušníkov tretej krajiny počas </w:t>
      </w:r>
      <w:r w:rsidR="00E501C5"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konania o udelenie prechodného pobytu na účel zamestnania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ako kmeňových zamestnancov, teda nie na účely </w:t>
      </w:r>
      <w:r w:rsidR="006323D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ich </w:t>
      </w:r>
      <w:r w:rsidR="00E501C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dočasného prideľovania. </w:t>
      </w:r>
    </w:p>
    <w:p w14:paraId="368E6E71" w14:textId="77777777" w:rsidR="00E61A79" w:rsidRPr="006F61F2" w:rsidRDefault="00E61A79" w:rsidP="00E61A79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6A4DFD2E" w14:textId="4DC5E3A5" w:rsidR="00E61A79" w:rsidRPr="006F61F2" w:rsidRDefault="00D636E3" w:rsidP="00E61A79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Poslanecký</w:t>
      </w:r>
      <w:r w:rsidR="00E61A79"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návrh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zákona predstavuje návrat k právnej úprave účinnej do 14. júla 2024. Ministerstvo práce si je vedomé situáciou na trhu práce a ťažkosťami zamestnávateľov pri vyhľadávaní vhodných zamestnancov pri obsadzované voľných pracovných miest z radov </w:t>
      </w:r>
      <w:r w:rsidR="006323D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domáceho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obyvateľstva. Ministerstvo </w:t>
      </w:r>
      <w:r w:rsidR="006323D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práce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preto vyjadruje podporu poslaneckému návrhu zákona, podľa ktorého budú môcť agentúry dočasného zamestnávania dočasne prideľovať štátnych príslušníkov tretej krajiny počas konania o udelenie prechodného pobytu na účel zamestnania 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na 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lastRenderedPageBreak/>
        <w:t>výkon zamestnan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ia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s nedostatkom pracovnej sily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 Ministerstvo práce verí, že navrhované opatrenie prispeje k uspokojenie dopytu slovenských zamestnávateľov po kvalifikovanej pracovnej sile.</w:t>
      </w:r>
    </w:p>
    <w:p w14:paraId="6061369F" w14:textId="14CF69C5" w:rsidR="008A7A1F" w:rsidRDefault="008A7A1F" w:rsidP="0055688E">
      <w:pPr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007AC766" w14:textId="6F05153B" w:rsidR="00F72EA6" w:rsidRPr="002F3EA6" w:rsidRDefault="00F72EA6" w:rsidP="00F72EA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F3EA6">
        <w:rPr>
          <w:rFonts w:ascii="Times New Roman" w:hAnsi="Times New Roman" w:cs="Times New Roman"/>
          <w:bCs/>
          <w:sz w:val="24"/>
          <w:szCs w:val="24"/>
          <w:lang w:val="sk-SK"/>
        </w:rPr>
        <w:t>Ministerstvo práce prerokovalo svoje stanovisko k poslaneckému návrhu zákona v súlade s čl. 3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2</w:t>
      </w:r>
      <w:r w:rsidRPr="002F3EA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Legislatívnych pravidiel vlády Slovenskej republiky v pripomienkovom konaní. V rámci pripomienkového konania boli uplatnené tieto zásadné pripomienky:</w:t>
      </w:r>
    </w:p>
    <w:p w14:paraId="74197079" w14:textId="779A1957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2FDD5F05" w14:textId="31AB0E85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72EA6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Ministerstvo hospodárstva Slovenskej</w:t>
      </w:r>
      <w:r w:rsidR="0048118B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republiky žiada v 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oložke vybraných vplyvov</w:t>
      </w:r>
    </w:p>
    <w:p w14:paraId="2C7E5798" w14:textId="483D4EF4" w:rsidR="00F72EA6" w:rsidRPr="00F02590" w:rsidRDefault="00F72EA6" w:rsidP="00F02590">
      <w:pPr>
        <w:pStyle w:val="Odsekzoznamu"/>
        <w:numPr>
          <w:ilvl w:val="0"/>
          <w:numId w:val="15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0259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v časti A.2. Vplyvy - vplyvy na podnikateľské prostredie neuvádzať vplyvy „žiadne“. Odôvodnenie: Ak sú vyznačené vplyvy pozitívne a/alebo negatívne, súčasne s tým nemôžu byť vyznačené aj žiadne vplyvy. </w:t>
      </w:r>
    </w:p>
    <w:p w14:paraId="18B35359" w14:textId="7EA633F8" w:rsidR="00F72EA6" w:rsidRDefault="00F72EA6" w:rsidP="00F02590">
      <w:pPr>
        <w:pStyle w:val="Odsekzoznamu"/>
        <w:numPr>
          <w:ilvl w:val="0"/>
          <w:numId w:val="15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72EA6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v časti A.3. Poznámky žiadame popísať aj negatívny vplyv na podnikateľské prostredie. </w:t>
      </w:r>
    </w:p>
    <w:p w14:paraId="6DCB27CC" w14:textId="78862067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72EA6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Zároveň žiada o zosúladenie informácii v Doložke vybraných vplyvov a v Dôvodovej správe ohľadom vplyvov na podnikateľské prostredie.</w:t>
      </w:r>
    </w:p>
    <w:p w14:paraId="556EF16D" w14:textId="73226514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7E2B429D" w14:textId="77777777" w:rsidR="00F72EA6" w:rsidRPr="002F3EA6" w:rsidRDefault="00F72EA6" w:rsidP="00F72EA6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</w:pPr>
      <w:r w:rsidRPr="002F3EA6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>Stanovisko ministerstva práce</w:t>
      </w:r>
    </w:p>
    <w:p w14:paraId="098CABFA" w14:textId="7CA8DD73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75448C05" w14:textId="5EF7405E" w:rsidR="00F72EA6" w:rsidRDefault="00F02590" w:rsidP="00FE3A3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Ministerstvo práce berie na vedomie, že doložka vybraných vplyvov vykazuje určité nezrovnalosti, zároveň však konštatuje, že sprievodné dokumenty návrhu zákona nie je možné v rámci rokovania v Národnej rade Slovenskej republiky meniť alebo upravovať.  </w:t>
      </w:r>
    </w:p>
    <w:p w14:paraId="2C3956C3" w14:textId="2AAC53A1" w:rsidR="00F72EA6" w:rsidRDefault="00F72EA6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30112453" w14:textId="3519BD09" w:rsidR="00F02590" w:rsidRDefault="00F02590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0259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Konfederácia odborových zväzov Slovenskej republiky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zásadne nesúhlasí s navrhovanou </w:t>
      </w:r>
      <w:r w:rsidR="0048118B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zmenou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.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P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odľa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jej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názoru umožní štátnym príslušníkom tretích krajín pracovať pred samotným udelením povolenia na pobyt, čo je z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jej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pohľadu neprijateľné nielen pre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ňu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ako zástupc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u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zamestnancov, ale aj z pohľadu regulácie vstupu občanov iných/tretích krajín na územie SR. Podľa názoru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KOZ nie je žiadu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ce, aby v rámci trvania konania v zmysle § 2</w:t>
      </w:r>
      <w:r w:rsidR="007B1F4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1</w:t>
      </w:r>
      <w:bookmarkStart w:id="0" w:name="_GoBack"/>
      <w:bookmarkEnd w:id="0"/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ods. 1 písm. g) alebo h) zákona štátny príslušník tretej krajiny bol prideľovaný k inému užívateľskému zamestnávateľovi. Takáto zmena by priniesla zhoršenie postavenia slovenských zamestnancov vzhľadom na zvýšené riziko mzdového a sociálneho dumpingu. Zároveň navrhovaná zmena znemožní kontrolu zo strany zástupcov zamestnancov pri plnení záväzkov vyplývajúcich z pracovno-právnej legislatívy a platných kolektívnych zmlúv, ako aj nekontrolovaný pohyb príslušníkov iných/tretích krajín na pracovnom trhu. V danej súvislosti taktiež</w:t>
      </w:r>
      <w:r w:rsidR="0048118B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KOZ poukazuje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na fakt, že stanovené kvóty národných víz sú zo strany zamestnávateľov čerpané v rádovo nižších počtoch ako je deklarovaný počet neobsadených pracovných pozícií. Aj z tohto dôvodu sa 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KOZ domnieva</w:t>
      </w:r>
      <w:r w:rsidR="00F50200" w:rsidRP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, že navrhovaná novela neprispeje k zásadnej zmene trhu práce, s výnimkou zhoršenia pracovných a mzdových podmienok zamestnancov – občanov SR</w:t>
      </w:r>
      <w:r w:rsidR="00F5020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</w:t>
      </w:r>
    </w:p>
    <w:p w14:paraId="003CCE50" w14:textId="125D30B1" w:rsidR="00F02590" w:rsidRDefault="00F02590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078DFFD2" w14:textId="77777777" w:rsidR="00F02590" w:rsidRPr="002F3EA6" w:rsidRDefault="00F02590" w:rsidP="00F0259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</w:pPr>
      <w:r w:rsidRPr="002F3EA6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>Stanovisko ministerstva práce</w:t>
      </w:r>
    </w:p>
    <w:p w14:paraId="1C21B2C5" w14:textId="7E9E65B6" w:rsidR="00F02590" w:rsidRDefault="00F02590" w:rsidP="00F72E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</w:p>
    <w:p w14:paraId="1DB10196" w14:textId="376B8681" w:rsidR="00F02590" w:rsidRPr="006F61F2" w:rsidRDefault="00F50200" w:rsidP="00FE3A3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E3A36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Ministerstvo práce uvedenú pripomienku neakceptuje. Ako uvádza vyššie a ako vyplýva aj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 dôvodovej správy k poslaneckému návrhu zákona predložený </w:t>
      </w:r>
      <w:r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návrh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predstavuje návrat k právnej úprave účinnej do 14. júla 2024. </w:t>
      </w:r>
      <w:r w:rsidR="00FE3A36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Ministerstvo práce počas platnosti tejto právnej úpravy účinnej do 14. júla 2024 nezaznamenalo naplnenie obáv uvedených v pripomienke.</w:t>
      </w:r>
    </w:p>
    <w:p w14:paraId="33EA9714" w14:textId="68331A00" w:rsidR="008A7A1F" w:rsidRDefault="008A7A1F" w:rsidP="00127C8A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B79726E" w14:textId="4B1FA4D1" w:rsidR="00FE3A36" w:rsidRDefault="00FE3A36" w:rsidP="00127C8A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802D07A" w14:textId="4F9E3FF5" w:rsidR="00FE3A36" w:rsidRDefault="00FE3A36" w:rsidP="00127C8A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5086F34" w14:textId="77777777" w:rsidR="00FE3A36" w:rsidRPr="006F61F2" w:rsidRDefault="00FE3A36" w:rsidP="00127C8A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AD35420" w14:textId="77777777" w:rsidR="00844FD9" w:rsidRPr="006F61F2" w:rsidRDefault="00CF3B2C" w:rsidP="0055688E">
      <w:pPr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Záver</w:t>
      </w:r>
    </w:p>
    <w:p w14:paraId="184F371B" w14:textId="77777777" w:rsidR="00CF3B2C" w:rsidRPr="006F61F2" w:rsidRDefault="00CF3B2C" w:rsidP="0055688E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201B471" w14:textId="7D43B942" w:rsidR="00CF3B2C" w:rsidRPr="006F61F2" w:rsidRDefault="004B02C3" w:rsidP="0055688E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Vzhľadom na uvedené </w:t>
      </w:r>
      <w:r w:rsidR="00CF3B2C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Ministerstvo práce, sociálnych vecí a rodin</w:t>
      </w:r>
      <w:r w:rsidR="003B6C38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y Slovenskej republiky odporúča </w:t>
      </w:r>
      <w:r w:rsidR="00CF3B2C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vláde Slovenskej republiky vysloviť </w:t>
      </w:r>
      <w:r w:rsidR="00D04EDB" w:rsidRPr="006F61F2">
        <w:rPr>
          <w:rFonts w:ascii="Times New Roman" w:hAnsi="Times New Roman" w:cs="Times New Roman"/>
          <w:b/>
          <w:sz w:val="24"/>
          <w:szCs w:val="24"/>
          <w:lang w:val="sk-SK"/>
        </w:rPr>
        <w:t>súhlas</w:t>
      </w:r>
      <w:r w:rsidR="00D04EDB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F3B2C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 </w:t>
      </w:r>
      <w:r w:rsidR="00702358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návrh</w:t>
      </w:r>
      <w:r w:rsidR="00D04EDB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>om</w:t>
      </w:r>
      <w:r w:rsidR="00702358" w:rsidRPr="006F61F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D04EDB" w:rsidRPr="006F61F2">
        <w:rPr>
          <w:rFonts w:ascii="Times New Roman" w:hAnsi="Times New Roman" w:cs="Times New Roman"/>
          <w:bCs/>
          <w:color w:val="000000"/>
          <w:sz w:val="24"/>
          <w:szCs w:val="24"/>
          <w:lang w:val="sk-SK" w:bidi="sk-SK"/>
        </w:rPr>
        <w:t>poslankyne Národnej rady Slovenskej republiky Aleny Novákovej na vydanie zákona, ktorým sa dopĺňa zákon č. 5/2004 Z. z. o službách zamestnanosti a o zmene a doplnení niektorých zákonov v znení neskorších predpisov (tlač 416)</w:t>
      </w:r>
      <w:r w:rsidR="00CF3B2C" w:rsidRPr="006F61F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sectPr w:rsidR="00CF3B2C" w:rsidRPr="006F61F2" w:rsidSect="00711B5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EDEA" w14:textId="77777777" w:rsidR="000B1E92" w:rsidRDefault="000B1E92" w:rsidP="00AA4C7F">
      <w:r>
        <w:separator/>
      </w:r>
    </w:p>
  </w:endnote>
  <w:endnote w:type="continuationSeparator" w:id="0">
    <w:p w14:paraId="0525D1FA" w14:textId="77777777" w:rsidR="000B1E92" w:rsidRDefault="000B1E92" w:rsidP="00AA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202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AF0791" w14:textId="46A482C7" w:rsidR="00AA4C7F" w:rsidRPr="00DC7EF6" w:rsidRDefault="00AA4C7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E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E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E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F45" w:rsidRPr="007B1F45">
          <w:rPr>
            <w:rFonts w:ascii="Times New Roman" w:hAnsi="Times New Roman" w:cs="Times New Roman"/>
            <w:noProof/>
            <w:sz w:val="24"/>
            <w:szCs w:val="24"/>
            <w:lang w:val="sk-SK"/>
          </w:rPr>
          <w:t>3</w:t>
        </w:r>
        <w:r w:rsidRPr="00DC7E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21D31" w14:textId="77777777" w:rsidR="00AA4C7F" w:rsidRDefault="00AA4C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3DFD" w14:textId="77777777" w:rsidR="000B1E92" w:rsidRDefault="000B1E92" w:rsidP="00AA4C7F">
      <w:r>
        <w:separator/>
      </w:r>
    </w:p>
  </w:footnote>
  <w:footnote w:type="continuationSeparator" w:id="0">
    <w:p w14:paraId="3F385A9C" w14:textId="77777777" w:rsidR="000B1E92" w:rsidRDefault="000B1E92" w:rsidP="00AA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79C"/>
    <w:multiLevelType w:val="hybridMultilevel"/>
    <w:tmpl w:val="D6EE13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0630F"/>
    <w:multiLevelType w:val="hybridMultilevel"/>
    <w:tmpl w:val="162041B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D1AA0"/>
    <w:multiLevelType w:val="hybridMultilevel"/>
    <w:tmpl w:val="0D0E34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A61031"/>
    <w:multiLevelType w:val="hybridMultilevel"/>
    <w:tmpl w:val="C368FD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80C6C"/>
    <w:multiLevelType w:val="hybridMultilevel"/>
    <w:tmpl w:val="EFFC2B3A"/>
    <w:lvl w:ilvl="0" w:tplc="C9C28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35429"/>
    <w:multiLevelType w:val="hybridMultilevel"/>
    <w:tmpl w:val="D8A6D042"/>
    <w:lvl w:ilvl="0" w:tplc="DB222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5A2EC2"/>
    <w:multiLevelType w:val="hybridMultilevel"/>
    <w:tmpl w:val="0AD0146E"/>
    <w:lvl w:ilvl="0" w:tplc="DB222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C59AB"/>
    <w:multiLevelType w:val="hybridMultilevel"/>
    <w:tmpl w:val="56C0601C"/>
    <w:lvl w:ilvl="0" w:tplc="800859D4">
      <w:start w:val="1"/>
      <w:numFmt w:val="lowerLetter"/>
      <w:lvlText w:val="5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EC7"/>
    <w:multiLevelType w:val="hybridMultilevel"/>
    <w:tmpl w:val="CEF8B9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70B1F"/>
    <w:multiLevelType w:val="hybridMultilevel"/>
    <w:tmpl w:val="90BCFD08"/>
    <w:lvl w:ilvl="0" w:tplc="4C2247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93361"/>
    <w:multiLevelType w:val="hybridMultilevel"/>
    <w:tmpl w:val="55CA9C2A"/>
    <w:lvl w:ilvl="0" w:tplc="4F364D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CF54727"/>
    <w:multiLevelType w:val="hybridMultilevel"/>
    <w:tmpl w:val="E2800088"/>
    <w:lvl w:ilvl="0" w:tplc="DB222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C4C97"/>
    <w:multiLevelType w:val="hybridMultilevel"/>
    <w:tmpl w:val="F9EA0C7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6243D"/>
    <w:multiLevelType w:val="hybridMultilevel"/>
    <w:tmpl w:val="E5A68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E7247"/>
    <w:multiLevelType w:val="hybridMultilevel"/>
    <w:tmpl w:val="9FA63E2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3"/>
  </w:num>
  <w:num w:numId="6">
    <w:abstractNumId w:val="15"/>
  </w:num>
  <w:num w:numId="7">
    <w:abstractNumId w:val="8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5"/>
    <w:rsid w:val="00021155"/>
    <w:rsid w:val="00026D66"/>
    <w:rsid w:val="00043A7E"/>
    <w:rsid w:val="0005522B"/>
    <w:rsid w:val="00065413"/>
    <w:rsid w:val="00072BDE"/>
    <w:rsid w:val="00086D3B"/>
    <w:rsid w:val="000A480A"/>
    <w:rsid w:val="000B18B9"/>
    <w:rsid w:val="000B1E92"/>
    <w:rsid w:val="000C76D0"/>
    <w:rsid w:val="000D72FD"/>
    <w:rsid w:val="000E61D2"/>
    <w:rsid w:val="001027C2"/>
    <w:rsid w:val="00122250"/>
    <w:rsid w:val="00127C8A"/>
    <w:rsid w:val="00130920"/>
    <w:rsid w:val="001362A7"/>
    <w:rsid w:val="001379B3"/>
    <w:rsid w:val="00164B74"/>
    <w:rsid w:val="001657D8"/>
    <w:rsid w:val="00171E7B"/>
    <w:rsid w:val="001B3441"/>
    <w:rsid w:val="001C6E27"/>
    <w:rsid w:val="0020536C"/>
    <w:rsid w:val="00212E9C"/>
    <w:rsid w:val="00231E7D"/>
    <w:rsid w:val="002443E1"/>
    <w:rsid w:val="00256C71"/>
    <w:rsid w:val="00272FF0"/>
    <w:rsid w:val="0027384C"/>
    <w:rsid w:val="00281724"/>
    <w:rsid w:val="00297700"/>
    <w:rsid w:val="002B3635"/>
    <w:rsid w:val="002E66F7"/>
    <w:rsid w:val="002F6626"/>
    <w:rsid w:val="00312AE8"/>
    <w:rsid w:val="00326DD3"/>
    <w:rsid w:val="003354A6"/>
    <w:rsid w:val="0034161C"/>
    <w:rsid w:val="00363913"/>
    <w:rsid w:val="00372829"/>
    <w:rsid w:val="003B6C38"/>
    <w:rsid w:val="003C23FD"/>
    <w:rsid w:val="003D086F"/>
    <w:rsid w:val="003D0B69"/>
    <w:rsid w:val="003E572A"/>
    <w:rsid w:val="003F55B9"/>
    <w:rsid w:val="0042465F"/>
    <w:rsid w:val="004264AA"/>
    <w:rsid w:val="004328E9"/>
    <w:rsid w:val="00457E0F"/>
    <w:rsid w:val="0046128F"/>
    <w:rsid w:val="00463C4B"/>
    <w:rsid w:val="004646E3"/>
    <w:rsid w:val="004668AF"/>
    <w:rsid w:val="004721E2"/>
    <w:rsid w:val="0048118B"/>
    <w:rsid w:val="004878EA"/>
    <w:rsid w:val="004B02C3"/>
    <w:rsid w:val="004B06FC"/>
    <w:rsid w:val="004C5D37"/>
    <w:rsid w:val="004E2B5D"/>
    <w:rsid w:val="004E5F43"/>
    <w:rsid w:val="00505D49"/>
    <w:rsid w:val="0052215A"/>
    <w:rsid w:val="00535040"/>
    <w:rsid w:val="005461EC"/>
    <w:rsid w:val="00551D73"/>
    <w:rsid w:val="00555877"/>
    <w:rsid w:val="0055688E"/>
    <w:rsid w:val="005626D4"/>
    <w:rsid w:val="005672E1"/>
    <w:rsid w:val="0057293C"/>
    <w:rsid w:val="00575F7D"/>
    <w:rsid w:val="00580736"/>
    <w:rsid w:val="0058208E"/>
    <w:rsid w:val="00593EB9"/>
    <w:rsid w:val="005C7BFA"/>
    <w:rsid w:val="005E1B21"/>
    <w:rsid w:val="00603C2D"/>
    <w:rsid w:val="00614C85"/>
    <w:rsid w:val="00617FC7"/>
    <w:rsid w:val="00621E19"/>
    <w:rsid w:val="00623864"/>
    <w:rsid w:val="00626C51"/>
    <w:rsid w:val="006323D0"/>
    <w:rsid w:val="0063400F"/>
    <w:rsid w:val="00641344"/>
    <w:rsid w:val="00652C1A"/>
    <w:rsid w:val="00662AA1"/>
    <w:rsid w:val="0068647E"/>
    <w:rsid w:val="006914A0"/>
    <w:rsid w:val="006A6372"/>
    <w:rsid w:val="006C379D"/>
    <w:rsid w:val="006E6CDF"/>
    <w:rsid w:val="006E7810"/>
    <w:rsid w:val="006F61F2"/>
    <w:rsid w:val="00702358"/>
    <w:rsid w:val="00706CB8"/>
    <w:rsid w:val="00711B5D"/>
    <w:rsid w:val="00737BBB"/>
    <w:rsid w:val="00750D65"/>
    <w:rsid w:val="00751AB8"/>
    <w:rsid w:val="00760FCE"/>
    <w:rsid w:val="00775D8B"/>
    <w:rsid w:val="007770D9"/>
    <w:rsid w:val="00781AFA"/>
    <w:rsid w:val="0078419F"/>
    <w:rsid w:val="0079505E"/>
    <w:rsid w:val="007B1F45"/>
    <w:rsid w:val="007C0109"/>
    <w:rsid w:val="007D6220"/>
    <w:rsid w:val="007D69D9"/>
    <w:rsid w:val="007D6FCF"/>
    <w:rsid w:val="007F2F2E"/>
    <w:rsid w:val="007F6632"/>
    <w:rsid w:val="0081607F"/>
    <w:rsid w:val="00817BB3"/>
    <w:rsid w:val="008232EB"/>
    <w:rsid w:val="00825D90"/>
    <w:rsid w:val="00836673"/>
    <w:rsid w:val="008447EB"/>
    <w:rsid w:val="00844FD9"/>
    <w:rsid w:val="00845D31"/>
    <w:rsid w:val="008530A3"/>
    <w:rsid w:val="00874A9D"/>
    <w:rsid w:val="00876FE6"/>
    <w:rsid w:val="0089021B"/>
    <w:rsid w:val="008A2A35"/>
    <w:rsid w:val="008A7A1F"/>
    <w:rsid w:val="008B1EBD"/>
    <w:rsid w:val="008B365A"/>
    <w:rsid w:val="008D5857"/>
    <w:rsid w:val="008E5218"/>
    <w:rsid w:val="008E5E7F"/>
    <w:rsid w:val="008F2B12"/>
    <w:rsid w:val="00900FE6"/>
    <w:rsid w:val="00925FCD"/>
    <w:rsid w:val="00930DA8"/>
    <w:rsid w:val="00931E1C"/>
    <w:rsid w:val="00986D1E"/>
    <w:rsid w:val="009A1994"/>
    <w:rsid w:val="009A4E76"/>
    <w:rsid w:val="009A756E"/>
    <w:rsid w:val="009C039D"/>
    <w:rsid w:val="009D1C3B"/>
    <w:rsid w:val="009E35F1"/>
    <w:rsid w:val="009F1D13"/>
    <w:rsid w:val="00A0103E"/>
    <w:rsid w:val="00A02829"/>
    <w:rsid w:val="00A039DA"/>
    <w:rsid w:val="00A04418"/>
    <w:rsid w:val="00A054CD"/>
    <w:rsid w:val="00A05F6A"/>
    <w:rsid w:val="00A06143"/>
    <w:rsid w:val="00A11DE5"/>
    <w:rsid w:val="00A1633E"/>
    <w:rsid w:val="00A3165E"/>
    <w:rsid w:val="00A64301"/>
    <w:rsid w:val="00A80EB7"/>
    <w:rsid w:val="00A95567"/>
    <w:rsid w:val="00AA3E6B"/>
    <w:rsid w:val="00AA4C7F"/>
    <w:rsid w:val="00AA74B0"/>
    <w:rsid w:val="00AB714E"/>
    <w:rsid w:val="00AC2410"/>
    <w:rsid w:val="00AE0945"/>
    <w:rsid w:val="00AE3329"/>
    <w:rsid w:val="00AF0C3C"/>
    <w:rsid w:val="00B01F61"/>
    <w:rsid w:val="00B152BA"/>
    <w:rsid w:val="00B237A8"/>
    <w:rsid w:val="00B352E5"/>
    <w:rsid w:val="00B4552F"/>
    <w:rsid w:val="00B457A4"/>
    <w:rsid w:val="00B51481"/>
    <w:rsid w:val="00B537E8"/>
    <w:rsid w:val="00B626F3"/>
    <w:rsid w:val="00B67006"/>
    <w:rsid w:val="00B67EA9"/>
    <w:rsid w:val="00B70823"/>
    <w:rsid w:val="00B84EA8"/>
    <w:rsid w:val="00BA4687"/>
    <w:rsid w:val="00BC059D"/>
    <w:rsid w:val="00BC6CAD"/>
    <w:rsid w:val="00BE41EF"/>
    <w:rsid w:val="00BF1CEF"/>
    <w:rsid w:val="00C22734"/>
    <w:rsid w:val="00C23B78"/>
    <w:rsid w:val="00C27AC3"/>
    <w:rsid w:val="00C509E8"/>
    <w:rsid w:val="00C73814"/>
    <w:rsid w:val="00C855BA"/>
    <w:rsid w:val="00CA3AEB"/>
    <w:rsid w:val="00CC1EDD"/>
    <w:rsid w:val="00CC5676"/>
    <w:rsid w:val="00CE05A4"/>
    <w:rsid w:val="00CF3B2C"/>
    <w:rsid w:val="00CF712E"/>
    <w:rsid w:val="00D04EDB"/>
    <w:rsid w:val="00D16A1E"/>
    <w:rsid w:val="00D340CD"/>
    <w:rsid w:val="00D4721A"/>
    <w:rsid w:val="00D636E3"/>
    <w:rsid w:val="00DA6274"/>
    <w:rsid w:val="00DB0ECE"/>
    <w:rsid w:val="00DC7EF6"/>
    <w:rsid w:val="00DD7492"/>
    <w:rsid w:val="00E06603"/>
    <w:rsid w:val="00E12E3F"/>
    <w:rsid w:val="00E22760"/>
    <w:rsid w:val="00E2573E"/>
    <w:rsid w:val="00E40EE4"/>
    <w:rsid w:val="00E4452D"/>
    <w:rsid w:val="00E45FB4"/>
    <w:rsid w:val="00E501C5"/>
    <w:rsid w:val="00E61A79"/>
    <w:rsid w:val="00E93E71"/>
    <w:rsid w:val="00E96CAE"/>
    <w:rsid w:val="00ED0C0E"/>
    <w:rsid w:val="00ED2675"/>
    <w:rsid w:val="00EE5B3F"/>
    <w:rsid w:val="00F02590"/>
    <w:rsid w:val="00F03C22"/>
    <w:rsid w:val="00F16B68"/>
    <w:rsid w:val="00F31C1E"/>
    <w:rsid w:val="00F327B9"/>
    <w:rsid w:val="00F34E39"/>
    <w:rsid w:val="00F50200"/>
    <w:rsid w:val="00F56ED8"/>
    <w:rsid w:val="00F70A91"/>
    <w:rsid w:val="00F72EA6"/>
    <w:rsid w:val="00F7386F"/>
    <w:rsid w:val="00F948E5"/>
    <w:rsid w:val="00FB52FD"/>
    <w:rsid w:val="00FD2357"/>
    <w:rsid w:val="00FD6BC4"/>
    <w:rsid w:val="00FE0693"/>
    <w:rsid w:val="00FE3A36"/>
    <w:rsid w:val="00FE3BD9"/>
    <w:rsid w:val="00FE603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D0C5"/>
  <w15:docId w15:val="{BAD63A1E-F571-470B-BC3D-CB73FE0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2E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352E5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352E5"/>
    <w:pPr>
      <w:spacing w:after="200" w:line="276" w:lineRule="auto"/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2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C1A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551D73"/>
    <w:rPr>
      <w:rFonts w:ascii="Calibri" w:hAnsi="Calibri" w:cs="Calibri"/>
    </w:rPr>
  </w:style>
  <w:style w:type="paragraph" w:styleId="Normlnywebov">
    <w:name w:val="Normal (Web)"/>
    <w:basedOn w:val="Normlny"/>
    <w:uiPriority w:val="99"/>
    <w:unhideWhenUsed/>
    <w:rsid w:val="00D4721A"/>
    <w:rPr>
      <w:rFonts w:ascii="Times New Roman" w:hAnsi="Times New Roman" w:cs="Times New Roman"/>
      <w:sz w:val="24"/>
      <w:szCs w:val="24"/>
      <w:lang w:val="sk-SK" w:eastAsia="sk-SK"/>
    </w:rPr>
  </w:style>
  <w:style w:type="paragraph" w:customStyle="1" w:styleId="PostScript">
    <w:name w:val="PostScript"/>
    <w:rsid w:val="004264AA"/>
    <w:pPr>
      <w:widowControl w:val="0"/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Times New Roman"/>
      <w:vanish/>
      <w:kern w:val="3"/>
      <w:sz w:val="20"/>
      <w:szCs w:val="20"/>
      <w:lang w:val="cs-CZ" w:eastAsia="sk-SK"/>
    </w:rPr>
  </w:style>
  <w:style w:type="numbering" w:customStyle="1" w:styleId="WWNum2">
    <w:name w:val="WWNum2"/>
    <w:basedOn w:val="Bezzoznamu"/>
    <w:rsid w:val="004264AA"/>
    <w:pPr>
      <w:numPr>
        <w:numId w:val="5"/>
      </w:numPr>
    </w:pPr>
  </w:style>
  <w:style w:type="paragraph" w:styleId="Hlavika">
    <w:name w:val="header"/>
    <w:basedOn w:val="Normlny"/>
    <w:link w:val="HlavikaChar"/>
    <w:uiPriority w:val="99"/>
    <w:unhideWhenUsed/>
    <w:rsid w:val="00AA4C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C7F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A4C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C7F"/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AB71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71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714E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71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714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3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9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5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7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9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08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12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6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26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96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5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5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249F-5934-478F-957D-A7399DD8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Vároš Juraj</cp:lastModifiedBy>
  <cp:revision>23</cp:revision>
  <cp:lastPrinted>2024-05-23T12:50:00Z</cp:lastPrinted>
  <dcterms:created xsi:type="dcterms:W3CDTF">2022-02-18T09:58:00Z</dcterms:created>
  <dcterms:modified xsi:type="dcterms:W3CDTF">2024-10-16T10:47:00Z</dcterms:modified>
</cp:coreProperties>
</file>