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170E6" w:rsidRDefault="00054C41" w:rsidP="008170E6">
      <w:pPr>
        <w:spacing w:after="0" w:line="240" w:lineRule="auto"/>
        <w:jc w:val="center"/>
        <w:rPr>
          <w:rFonts w:ascii="Times New Roman" w:eastAsia="Calibri" w:hAnsi="Times New Roman" w:cs="Times New Roman"/>
          <w:b/>
        </w:rPr>
      </w:pPr>
      <w:r w:rsidRPr="008170E6">
        <w:rPr>
          <w:rFonts w:ascii="Times New Roman" w:eastAsia="Calibri" w:hAnsi="Times New Roman" w:cs="Times New Roman"/>
          <w:b/>
        </w:rPr>
        <w:t>Analýza vplyvov na podnikateľské prostredie</w:t>
      </w:r>
    </w:p>
    <w:p w14:paraId="7AF84A90" w14:textId="77777777" w:rsidR="00054C41" w:rsidRPr="008170E6" w:rsidRDefault="00054C41" w:rsidP="008170E6">
      <w:pPr>
        <w:spacing w:after="0" w:line="240" w:lineRule="auto"/>
        <w:jc w:val="both"/>
        <w:rPr>
          <w:rFonts w:ascii="Times New Roman" w:eastAsia="Calibri" w:hAnsi="Times New Roman" w:cs="Times New Roman"/>
          <w:b/>
        </w:rPr>
      </w:pPr>
    </w:p>
    <w:p w14:paraId="22516163" w14:textId="364AF5D9" w:rsidR="00054C41" w:rsidRPr="008170E6" w:rsidRDefault="00054C41" w:rsidP="008170E6">
      <w:pPr>
        <w:spacing w:after="0" w:line="240" w:lineRule="auto"/>
        <w:jc w:val="both"/>
        <w:rPr>
          <w:rFonts w:ascii="Times New Roman" w:eastAsia="Calibri" w:hAnsi="Times New Roman" w:cs="Times New Roman"/>
          <w:b/>
        </w:rPr>
      </w:pPr>
      <w:r w:rsidRPr="008170E6">
        <w:rPr>
          <w:rFonts w:ascii="Times New Roman" w:eastAsia="Calibri" w:hAnsi="Times New Roman" w:cs="Times New Roman"/>
          <w:b/>
        </w:rPr>
        <w:t>Názov materiálu:</w:t>
      </w:r>
      <w:r w:rsidR="00CE53A1" w:rsidRPr="008170E6">
        <w:rPr>
          <w:rFonts w:ascii="Times New Roman" w:eastAsia="Calibri" w:hAnsi="Times New Roman" w:cs="Times New Roman"/>
          <w:b/>
        </w:rPr>
        <w:t xml:space="preserve"> </w:t>
      </w:r>
      <w:r w:rsidR="00CE53A1" w:rsidRPr="008170E6">
        <w:rPr>
          <w:rFonts w:ascii="Times New Roman" w:eastAsia="Calibri" w:hAnsi="Times New Roman" w:cs="Times New Roman"/>
        </w:rPr>
        <w:t>Zákon, ktorým sa mení a dopĺňa zákon č. 220/2004 Z. z. o ochrane a využívaní poľnohospodárskej pôdy a o zmene zákona č. 245/2003 Z. z. o integrovanej prevencii a kontrole znečisťovania životného prostredia a o zmene a doplnení niektorých zákonov v znení neskorších predpisov a zákon č. 188/2003 Z. z. o aplikácii čistiarenského kalu a dnových sedimentov do pôdy a o doplnení zákona č. 223/2001 Z. z. o odpadoch a o zmene a doplnení niektorých zákonov v znení neskorších predpisov</w:t>
      </w:r>
    </w:p>
    <w:p w14:paraId="2711DC2C" w14:textId="55E57DA3" w:rsidR="00054C41" w:rsidRPr="008170E6" w:rsidRDefault="00054C41" w:rsidP="008170E6">
      <w:pPr>
        <w:spacing w:after="0" w:line="240" w:lineRule="auto"/>
        <w:jc w:val="both"/>
        <w:rPr>
          <w:rFonts w:ascii="Times New Roman" w:eastAsia="Calibri" w:hAnsi="Times New Roman" w:cs="Times New Roman"/>
        </w:rPr>
      </w:pPr>
      <w:r w:rsidRPr="008170E6">
        <w:rPr>
          <w:rFonts w:ascii="Times New Roman" w:eastAsia="Calibri" w:hAnsi="Times New Roman" w:cs="Times New Roman"/>
          <w:b/>
        </w:rPr>
        <w:t>Predkladateľ:</w:t>
      </w:r>
      <w:r w:rsidR="00CE53A1" w:rsidRPr="008170E6">
        <w:rPr>
          <w:rFonts w:ascii="Times New Roman" w:eastAsia="Calibri" w:hAnsi="Times New Roman" w:cs="Times New Roman"/>
          <w:b/>
        </w:rPr>
        <w:t xml:space="preserve"> </w:t>
      </w:r>
      <w:r w:rsidR="00CE53A1" w:rsidRPr="008170E6">
        <w:rPr>
          <w:rFonts w:ascii="Times New Roman" w:eastAsia="Calibri" w:hAnsi="Times New Roman" w:cs="Times New Roman"/>
        </w:rPr>
        <w:t>Ministerstvo pôdohospodárstva a rozvoja vidieka Slovenskej republiky</w:t>
      </w:r>
    </w:p>
    <w:p w14:paraId="515DBCE3" w14:textId="77777777" w:rsidR="00054C41" w:rsidRPr="008170E6" w:rsidRDefault="00054C41" w:rsidP="008170E6">
      <w:pPr>
        <w:spacing w:after="0" w:line="240" w:lineRule="auto"/>
        <w:jc w:val="both"/>
        <w:rPr>
          <w:rFonts w:ascii="Times New Roman" w:eastAsia="Calibri" w:hAnsi="Times New Roman" w:cs="Times New Roman"/>
          <w:b/>
        </w:rPr>
      </w:pPr>
      <w:r w:rsidRPr="008170E6">
        <w:rPr>
          <w:rFonts w:ascii="Times New Roman" w:eastAsia="Calibri" w:hAnsi="Times New Roman" w:cs="Times New Roman"/>
          <w:b/>
        </w:rPr>
        <w:t>3.1 Náklady regulácie</w:t>
      </w:r>
    </w:p>
    <w:p w14:paraId="14243EB0" w14:textId="77777777" w:rsidR="00054C41" w:rsidRPr="008170E6" w:rsidRDefault="00054C41" w:rsidP="008170E6">
      <w:pPr>
        <w:tabs>
          <w:tab w:val="left" w:pos="8025"/>
        </w:tabs>
        <w:spacing w:after="0" w:line="240" w:lineRule="auto"/>
        <w:rPr>
          <w:rFonts w:ascii="Times New Roman" w:eastAsia="Calibri" w:hAnsi="Times New Roman" w:cs="Times New Roman"/>
          <w:bCs/>
          <w:i/>
          <w:iCs/>
        </w:rPr>
      </w:pPr>
      <w:r w:rsidRPr="008170E6">
        <w:rPr>
          <w:rFonts w:ascii="Times New Roman" w:eastAsia="Calibri" w:hAnsi="Times New Roman" w:cs="Times New Roman"/>
          <w:b/>
          <w:i/>
          <w:iCs/>
        </w:rPr>
        <w:t xml:space="preserve">3.1.1 Súhrnná tabuľka nákladov regulácie </w:t>
      </w:r>
      <w:r w:rsidR="00C21399" w:rsidRPr="008170E6">
        <w:rPr>
          <w:rFonts w:ascii="Times New Roman" w:eastAsia="Calibri" w:hAnsi="Times New Roman" w:cs="Times New Roman"/>
          <w:b/>
          <w:i/>
          <w:iCs/>
        </w:rPr>
        <w:tab/>
      </w:r>
    </w:p>
    <w:p w14:paraId="4D85A0D5"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Tabuľka č. 1: Zmeny nákladov (ročne) v prepočte na podnikateľské prostredie (PP), vyhodnotenie mechanizmu znižovania byrokracie a náklado</w:t>
      </w:r>
      <w:r w:rsidR="000A6B7F" w:rsidRPr="008170E6">
        <w:rPr>
          <w:rFonts w:ascii="Times New Roman" w:eastAsia="Calibri" w:hAnsi="Times New Roman" w:cs="Times New Roman"/>
          <w:i/>
        </w:rPr>
        <w:t>v</w:t>
      </w:r>
      <w:r w:rsidR="00C929AE" w:rsidRPr="008170E6">
        <w:rPr>
          <w:rFonts w:ascii="Times New Roman" w:eastAsia="Calibri" w:hAnsi="Times New Roman" w:cs="Times New Roman"/>
          <w:i/>
        </w:rPr>
        <w:t>, náklady goldplatingu</w:t>
      </w:r>
      <w:r w:rsidR="00C929AE" w:rsidRPr="008170E6">
        <w:rPr>
          <w:rStyle w:val="Odkaznapoznmkupodiarou"/>
          <w:rFonts w:ascii="Times New Roman" w:eastAsia="Calibri" w:hAnsi="Times New Roman" w:cs="Times New Roman"/>
          <w:i/>
        </w:rPr>
        <w:footnoteReference w:id="1"/>
      </w:r>
      <w:r w:rsidR="000A6B7F" w:rsidRPr="008170E6">
        <w:rPr>
          <w:rFonts w:ascii="Times New Roman" w:eastAsia="Calibri" w:hAnsi="Times New Roman" w:cs="Times New Roman"/>
          <w:i/>
        </w:rPr>
        <w:t xml:space="preserve"> </w:t>
      </w:r>
      <w:r w:rsidR="00C929AE" w:rsidRPr="008170E6">
        <w:rPr>
          <w:rFonts w:ascii="Times New Roman" w:eastAsia="Calibri" w:hAnsi="Times New Roman" w:cs="Times New Roman"/>
          <w:i/>
        </w:rPr>
        <w:t>na podnikateľské prostredie</w:t>
      </w:r>
      <w:r w:rsidRPr="008170E6">
        <w:rPr>
          <w:rFonts w:ascii="Times New Roman" w:eastAsia="Calibri" w:hAnsi="Times New Roman" w:cs="Times New Roman"/>
          <w:i/>
        </w:rPr>
        <w:t xml:space="preserve">. </w:t>
      </w:r>
    </w:p>
    <w:p w14:paraId="1A77DC61"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Nahraďte rovnakou tabuľkou po vyplnení Kalkulačky nákladov podnikateľského prostredia, ktorá je povinnou prílohou tejto analýzy a nájdete ju na </w:t>
      </w:r>
      <w:hyperlink r:id="rId9" w:history="1">
        <w:r w:rsidRPr="008170E6">
          <w:rPr>
            <w:rFonts w:ascii="Times New Roman" w:eastAsia="Calibri" w:hAnsi="Times New Roman" w:cs="Times New Roman"/>
            <w:i/>
            <w:color w:val="0563C1"/>
            <w:u w:val="single"/>
          </w:rPr>
          <w:t>webovom sídle MH SR</w:t>
        </w:r>
      </w:hyperlink>
      <w:r w:rsidRPr="008170E6">
        <w:rPr>
          <w:rFonts w:ascii="Times New Roman" w:eastAsia="Calibri" w:hAnsi="Times New Roman" w:cs="Times New Roman"/>
          <w:i/>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8170E6"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8170E6" w:rsidRDefault="00C929AE" w:rsidP="008170E6">
            <w:pPr>
              <w:spacing w:after="0" w:line="240" w:lineRule="auto"/>
              <w:jc w:val="center"/>
              <w:rPr>
                <w:rFonts w:ascii="Times New Roman" w:eastAsia="Times New Roman" w:hAnsi="Times New Roman" w:cs="Times New Roman"/>
                <w:color w:val="000000"/>
                <w:lang w:eastAsia="sk-SK"/>
              </w:rPr>
            </w:pPr>
          </w:p>
        </w:tc>
      </w:tr>
      <w:tr w:rsidR="00C929AE" w:rsidRPr="008170E6"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8170E6" w:rsidRDefault="00C929AE" w:rsidP="008170E6">
            <w:pPr>
              <w:spacing w:after="0" w:line="240" w:lineRule="auto"/>
              <w:jc w:val="center"/>
              <w:rPr>
                <w:rFonts w:ascii="Times New Roman" w:eastAsia="Times New Roman" w:hAnsi="Times New Roman" w:cs="Times New Roman"/>
                <w:b/>
                <w:bCs/>
                <w:i/>
                <w:iCs/>
                <w:color w:val="000000"/>
                <w:lang w:eastAsia="sk-SK"/>
              </w:rPr>
            </w:pPr>
            <w:r w:rsidRPr="008170E6">
              <w:rPr>
                <w:rFonts w:ascii="Times New Roman" w:eastAsia="Times New Roman" w:hAnsi="Times New Roman" w:cs="Times New Roman"/>
                <w:b/>
                <w:bCs/>
                <w:i/>
                <w:iCs/>
                <w:color w:val="00000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Zníženie nákladov v € na PP</w:t>
            </w:r>
          </w:p>
        </w:tc>
      </w:tr>
      <w:tr w:rsidR="00C929AE" w:rsidRPr="008170E6" w14:paraId="0F790483" w14:textId="77777777" w:rsidTr="002C0100">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8170E6" w:rsidRDefault="00C929AE" w:rsidP="008170E6">
            <w:pPr>
              <w:spacing w:after="0" w:line="240" w:lineRule="auto"/>
              <w:rPr>
                <w:rFonts w:ascii="Times New Roman" w:eastAsia="Times New Roman" w:hAnsi="Times New Roman" w:cs="Times New Roman"/>
                <w:b/>
                <w:bCs/>
                <w:i/>
                <w:iCs/>
                <w:color w:val="000000"/>
                <w:lang w:eastAsia="sk-SK"/>
              </w:rPr>
            </w:pPr>
            <w:r w:rsidRPr="008170E6">
              <w:rPr>
                <w:rFonts w:ascii="Times New Roman" w:eastAsia="Times New Roman" w:hAnsi="Times New Roman" w:cs="Times New Roman"/>
                <w:b/>
                <w:bCs/>
                <w:i/>
                <w:iCs/>
                <w:color w:val="000000"/>
                <w:lang w:eastAsia="sk-SK"/>
              </w:rPr>
              <w:t>A. 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36C02A5A" w14:textId="159C2DC8"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0525A008" w14:textId="1C1CBD70"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r>
      <w:tr w:rsidR="00C929AE" w:rsidRPr="008170E6" w14:paraId="37B64D12" w14:textId="77777777" w:rsidTr="002C0100">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8170E6" w:rsidRDefault="00C929AE" w:rsidP="008170E6">
            <w:pPr>
              <w:spacing w:after="0" w:line="240" w:lineRule="auto"/>
              <w:rPr>
                <w:rFonts w:ascii="Times New Roman" w:eastAsia="Times New Roman" w:hAnsi="Times New Roman" w:cs="Times New Roman"/>
                <w:b/>
                <w:bCs/>
                <w:i/>
                <w:iCs/>
                <w:color w:val="000000"/>
                <w:lang w:eastAsia="sk-SK"/>
              </w:rPr>
            </w:pPr>
            <w:r w:rsidRPr="008170E6">
              <w:rPr>
                <w:rFonts w:ascii="Times New Roman" w:eastAsia="Times New Roman" w:hAnsi="Times New Roman" w:cs="Times New Roman"/>
                <w:b/>
                <w:bCs/>
                <w:i/>
                <w:iCs/>
                <w:color w:val="000000"/>
                <w:lang w:eastAsia="sk-SK"/>
              </w:rPr>
              <w:t>B. Iné poplatky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38D91672" w14:textId="7E473B56"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B3EEA7A" w14:textId="23951F0F"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r>
      <w:tr w:rsidR="00C929AE" w:rsidRPr="008170E6" w14:paraId="21231540" w14:textId="77777777" w:rsidTr="002C0100">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8170E6" w:rsidRDefault="00C929AE" w:rsidP="008170E6">
            <w:pPr>
              <w:spacing w:after="0" w:line="240" w:lineRule="auto"/>
              <w:rPr>
                <w:rFonts w:ascii="Times New Roman" w:eastAsia="Times New Roman" w:hAnsi="Times New Roman" w:cs="Times New Roman"/>
                <w:b/>
                <w:bCs/>
                <w:i/>
                <w:iCs/>
                <w:color w:val="000000"/>
                <w:lang w:eastAsia="sk-SK"/>
              </w:rPr>
            </w:pPr>
            <w:r w:rsidRPr="008170E6">
              <w:rPr>
                <w:rFonts w:ascii="Times New Roman" w:eastAsia="Times New Roman" w:hAnsi="Times New Roman" w:cs="Times New Roman"/>
                <w:b/>
                <w:bCs/>
                <w:i/>
                <w:iCs/>
                <w:color w:val="000000"/>
                <w:lang w:eastAsia="sk-SK"/>
              </w:rPr>
              <w:t>C.</w:t>
            </w:r>
            <w:r w:rsidR="00CA4344" w:rsidRPr="008170E6">
              <w:rPr>
                <w:rFonts w:ascii="Times New Roman" w:eastAsia="Times New Roman" w:hAnsi="Times New Roman" w:cs="Times New Roman"/>
                <w:b/>
                <w:bCs/>
                <w:i/>
                <w:iCs/>
                <w:color w:val="00000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69D07100" w14:textId="5428CCBD"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C8BFAD7" w14:textId="2AD54E47"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r>
      <w:tr w:rsidR="00C929AE" w:rsidRPr="008170E6" w14:paraId="280383DA" w14:textId="77777777" w:rsidTr="002C0100">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8170E6" w:rsidRDefault="00C929AE" w:rsidP="008170E6">
            <w:pPr>
              <w:spacing w:after="0" w:line="240" w:lineRule="auto"/>
              <w:rPr>
                <w:rFonts w:ascii="Times New Roman" w:eastAsia="Times New Roman" w:hAnsi="Times New Roman" w:cs="Times New Roman"/>
                <w:b/>
                <w:bCs/>
                <w:i/>
                <w:iCs/>
                <w:color w:val="000000"/>
                <w:lang w:eastAsia="sk-SK"/>
              </w:rPr>
            </w:pPr>
            <w:r w:rsidRPr="008170E6">
              <w:rPr>
                <w:rFonts w:ascii="Times New Roman" w:eastAsia="Times New Roman" w:hAnsi="Times New Roman" w:cs="Times New Roman"/>
                <w:b/>
                <w:bCs/>
                <w:i/>
                <w:iCs/>
                <w:color w:val="000000"/>
                <w:lang w:eastAsia="sk-SK"/>
              </w:rPr>
              <w:t xml:space="preserve">D. </w:t>
            </w:r>
            <w:r w:rsidR="00024EE4" w:rsidRPr="008170E6">
              <w:rPr>
                <w:rFonts w:ascii="Times New Roman" w:eastAsia="Times New Roman" w:hAnsi="Times New Roman" w:cs="Times New Roman"/>
                <w:b/>
                <w:bCs/>
                <w:i/>
                <w:iCs/>
                <w:color w:val="000000"/>
                <w:lang w:eastAsia="sk-SK"/>
              </w:rPr>
              <w:t>Nepriame finančné náklady</w:t>
            </w:r>
            <w:r w:rsidR="006A4E85" w:rsidRPr="008170E6">
              <w:rPr>
                <w:rFonts w:ascii="Times New Roman" w:eastAsia="Times New Roman" w:hAnsi="Times New Roman" w:cs="Times New Roman"/>
                <w:b/>
                <w:bCs/>
                <w:i/>
                <w:iCs/>
                <w:color w:val="00000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5ED34EA3" w14:textId="7CB14320"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6B7CA645" w14:textId="3C434B6C"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r>
      <w:tr w:rsidR="006A4E85" w:rsidRPr="008170E6"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8170E6" w:rsidRDefault="006A4E85"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8170E6" w:rsidRDefault="006A4E85" w:rsidP="008170E6">
            <w:pPr>
              <w:spacing w:after="0" w:line="240" w:lineRule="auto"/>
              <w:rPr>
                <w:rFonts w:ascii="Times New Roman" w:eastAsia="Times New Roman" w:hAnsi="Times New Roman" w:cs="Times New Roman"/>
                <w:b/>
                <w:bCs/>
                <w:i/>
                <w:iCs/>
                <w:color w:val="000000"/>
                <w:lang w:eastAsia="sk-SK"/>
              </w:rPr>
            </w:pPr>
            <w:r w:rsidRPr="008170E6">
              <w:rPr>
                <w:rFonts w:ascii="Times New Roman" w:eastAsia="Times New Roman" w:hAnsi="Times New Roman" w:cs="Times New Roman"/>
                <w:b/>
                <w:bCs/>
                <w:i/>
                <w:iCs/>
                <w:color w:val="00000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8170E6" w:rsidRDefault="006A4E85" w:rsidP="008170E6">
            <w:pPr>
              <w:spacing w:after="0" w:line="240" w:lineRule="auto"/>
              <w:jc w:val="center"/>
              <w:rPr>
                <w:rFonts w:ascii="Times New Roman" w:eastAsia="Times New Roman" w:hAnsi="Times New Roman" w:cs="Times New Roman"/>
                <w:b/>
                <w:bCs/>
                <w:color w:val="00000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37691B1C" w:rsidR="006A4E85" w:rsidRPr="008170E6" w:rsidRDefault="006A4E85" w:rsidP="008170E6">
            <w:pPr>
              <w:spacing w:after="0" w:line="240" w:lineRule="auto"/>
              <w:jc w:val="center"/>
              <w:rPr>
                <w:rFonts w:ascii="Times New Roman" w:eastAsia="Times New Roman" w:hAnsi="Times New Roman" w:cs="Times New Roman"/>
                <w:b/>
                <w:bCs/>
                <w:color w:val="000000"/>
                <w:lang w:eastAsia="sk-SK"/>
              </w:rPr>
            </w:pPr>
          </w:p>
        </w:tc>
      </w:tr>
      <w:tr w:rsidR="00C929AE" w:rsidRPr="008170E6"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8170E6" w:rsidRDefault="00C929AE" w:rsidP="008170E6">
            <w:pPr>
              <w:spacing w:after="0" w:line="240" w:lineRule="auto"/>
              <w:rPr>
                <w:rFonts w:ascii="Times New Roman" w:eastAsia="Times New Roman" w:hAnsi="Times New Roman" w:cs="Times New Roman"/>
                <w:b/>
                <w:bCs/>
                <w:i/>
                <w:iCs/>
                <w:color w:val="000000"/>
                <w:lang w:eastAsia="sk-SK"/>
              </w:rPr>
            </w:pPr>
            <w:r w:rsidRPr="008170E6">
              <w:rPr>
                <w:rFonts w:ascii="Times New Roman" w:eastAsia="Times New Roman" w:hAnsi="Times New Roman" w:cs="Times New Roman"/>
                <w:b/>
                <w:bCs/>
                <w:i/>
                <w:iCs/>
                <w:color w:val="000000"/>
                <w:lang w:eastAsia="sk-SK"/>
              </w:rPr>
              <w:t>Spolu = A+B+C+D</w:t>
            </w:r>
            <w:r w:rsidR="006A4E85" w:rsidRPr="008170E6">
              <w:rPr>
                <w:rFonts w:ascii="Times New Roman" w:eastAsia="Times New Roman" w:hAnsi="Times New Roman" w:cs="Times New Roman"/>
                <w:b/>
                <w:bCs/>
                <w:i/>
                <w:iCs/>
                <w:color w:val="00000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 </w:t>
            </w:r>
          </w:p>
        </w:tc>
      </w:tr>
      <w:tr w:rsidR="00C929AE" w:rsidRPr="008170E6"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p>
        </w:tc>
      </w:tr>
      <w:tr w:rsidR="00C929AE" w:rsidRPr="008170E6"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r w:rsidRPr="008170E6">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Zníženie nákladov v € na PP</w:t>
            </w:r>
          </w:p>
        </w:tc>
      </w:tr>
      <w:tr w:rsidR="00C929AE" w:rsidRPr="008170E6" w14:paraId="26126FD6" w14:textId="77777777" w:rsidTr="002C0100">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8170E6" w:rsidRDefault="006A4E85" w:rsidP="008170E6">
            <w:pPr>
              <w:spacing w:after="0" w:line="240" w:lineRule="auto"/>
              <w:rPr>
                <w:rFonts w:ascii="Times New Roman" w:eastAsia="Times New Roman" w:hAnsi="Times New Roman" w:cs="Times New Roman"/>
                <w:b/>
                <w:bCs/>
                <w:i/>
                <w:iCs/>
                <w:color w:val="000000"/>
                <w:lang w:eastAsia="sk-SK"/>
              </w:rPr>
            </w:pPr>
            <w:r w:rsidRPr="008170E6">
              <w:rPr>
                <w:rFonts w:ascii="Times New Roman" w:eastAsia="Times New Roman" w:hAnsi="Times New Roman" w:cs="Times New Roman"/>
                <w:b/>
                <w:bCs/>
                <w:i/>
                <w:iCs/>
                <w:color w:val="000000"/>
                <w:lang w:eastAsia="sk-SK"/>
              </w:rPr>
              <w:t>F</w:t>
            </w:r>
            <w:r w:rsidR="00C929AE" w:rsidRPr="008170E6">
              <w:rPr>
                <w:rFonts w:ascii="Times New Roman" w:eastAsia="Times New Roman" w:hAnsi="Times New Roman" w:cs="Times New Roman"/>
                <w:b/>
                <w:bCs/>
                <w:i/>
                <w:iCs/>
                <w:color w:val="000000"/>
                <w:lang w:eastAsia="sk-SK"/>
              </w:rPr>
              <w:t>. Úplná harmonizácia práva EÚ</w:t>
            </w:r>
            <w:r w:rsidR="00C929AE" w:rsidRPr="008170E6">
              <w:rPr>
                <w:rFonts w:ascii="Times New Roman" w:eastAsia="Times New Roman" w:hAnsi="Times New Roman" w:cs="Times New Roman"/>
                <w:b/>
                <w:bCs/>
                <w:i/>
                <w:iCs/>
                <w:color w:val="000000"/>
                <w:lang w:eastAsia="sk-SK"/>
              </w:rPr>
              <w:br/>
            </w:r>
            <w:r w:rsidR="00C929AE" w:rsidRPr="008170E6">
              <w:rPr>
                <w:rFonts w:ascii="Times New Roman" w:eastAsia="Times New Roman" w:hAnsi="Times New Roman" w:cs="Times New Roman"/>
                <w:i/>
                <w:iCs/>
                <w:color w:val="000000"/>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09CCB12B" w14:textId="4BA380AF"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0CB565E3" w14:textId="3F7A2328"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r>
      <w:tr w:rsidR="00C929AE" w:rsidRPr="008170E6" w14:paraId="2B062396" w14:textId="77777777" w:rsidTr="002C0100">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8170E6" w:rsidRDefault="006A4E85" w:rsidP="008170E6">
            <w:pPr>
              <w:spacing w:after="0" w:line="240" w:lineRule="auto"/>
              <w:rPr>
                <w:rFonts w:ascii="Times New Roman" w:eastAsia="Times New Roman" w:hAnsi="Times New Roman" w:cs="Times New Roman"/>
                <w:b/>
                <w:bCs/>
                <w:i/>
                <w:iCs/>
                <w:color w:val="000000"/>
                <w:lang w:eastAsia="sk-SK"/>
              </w:rPr>
            </w:pPr>
            <w:r w:rsidRPr="008170E6">
              <w:rPr>
                <w:rFonts w:ascii="Times New Roman" w:eastAsia="Times New Roman" w:hAnsi="Times New Roman" w:cs="Times New Roman"/>
                <w:b/>
                <w:bCs/>
                <w:i/>
                <w:iCs/>
                <w:color w:val="000000"/>
                <w:lang w:eastAsia="sk-SK"/>
              </w:rPr>
              <w:t>G</w:t>
            </w:r>
            <w:r w:rsidR="00C929AE" w:rsidRPr="008170E6">
              <w:rPr>
                <w:rFonts w:ascii="Times New Roman" w:eastAsia="Times New Roman" w:hAnsi="Times New Roman" w:cs="Times New Roman"/>
                <w:b/>
                <w:bCs/>
                <w:i/>
                <w:iCs/>
                <w:color w:val="00000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tcPr>
          <w:p w14:paraId="709562F6" w14:textId="5F112EE4"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c>
          <w:tcPr>
            <w:tcW w:w="2622" w:type="dxa"/>
            <w:gridSpan w:val="3"/>
            <w:tcBorders>
              <w:top w:val="single" w:sz="4" w:space="0" w:color="auto"/>
              <w:left w:val="nil"/>
              <w:bottom w:val="single" w:sz="8" w:space="0" w:color="auto"/>
              <w:right w:val="single" w:sz="8" w:space="0" w:color="000000"/>
            </w:tcBorders>
            <w:shd w:val="clear" w:color="000000" w:fill="92D050"/>
            <w:vAlign w:val="center"/>
          </w:tcPr>
          <w:p w14:paraId="2E025867" w14:textId="5A8C9A88" w:rsidR="00C929AE" w:rsidRPr="008170E6" w:rsidRDefault="00C929AE" w:rsidP="008170E6">
            <w:pPr>
              <w:spacing w:after="0" w:line="240" w:lineRule="auto"/>
              <w:jc w:val="center"/>
              <w:rPr>
                <w:rFonts w:ascii="Times New Roman" w:eastAsia="Times New Roman" w:hAnsi="Times New Roman" w:cs="Times New Roman"/>
                <w:b/>
                <w:bCs/>
                <w:color w:val="000000"/>
                <w:lang w:eastAsia="sk-SK"/>
              </w:rPr>
            </w:pPr>
          </w:p>
        </w:tc>
      </w:tr>
      <w:tr w:rsidR="00C929AE" w:rsidRPr="008170E6"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p>
        </w:tc>
      </w:tr>
      <w:tr w:rsidR="00C929AE" w:rsidRPr="008170E6"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8170E6" w:rsidRDefault="00C929AE" w:rsidP="008170E6">
            <w:pPr>
              <w:spacing w:after="0" w:line="240" w:lineRule="auto"/>
              <w:rPr>
                <w:rFonts w:ascii="Times New Roman" w:eastAsia="Times New Roman" w:hAnsi="Times New Roman" w:cs="Times New Roman"/>
                <w:i/>
                <w:iCs/>
                <w:color w:val="000000"/>
                <w:lang w:eastAsia="sk-SK"/>
              </w:rPr>
            </w:pPr>
            <w:r w:rsidRPr="008170E6">
              <w:rPr>
                <w:rFonts w:ascii="Times New Roman" w:eastAsia="Times New Roman" w:hAnsi="Times New Roman" w:cs="Times New Roman"/>
                <w:i/>
                <w:iCs/>
                <w:color w:val="000000"/>
                <w:lang w:eastAsia="sk-SK"/>
              </w:rPr>
              <w:t>VÝPOČET PRAVIDLA 1in</w:t>
            </w:r>
            <w:r w:rsidR="00FC121B" w:rsidRPr="008170E6">
              <w:rPr>
                <w:rFonts w:ascii="Times New Roman" w:eastAsia="Times New Roman" w:hAnsi="Times New Roman" w:cs="Times New Roman"/>
                <w:i/>
                <w:iCs/>
                <w:color w:val="000000"/>
                <w:lang w:eastAsia="sk-SK"/>
              </w:rPr>
              <w:t xml:space="preserve"> </w:t>
            </w:r>
            <w:r w:rsidRPr="008170E6">
              <w:rPr>
                <w:rFonts w:ascii="Times New Roman" w:eastAsia="Times New Roman" w:hAnsi="Times New Roman" w:cs="Times New Roman"/>
                <w:i/>
                <w:iCs/>
                <w:color w:val="00000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8170E6" w:rsidRDefault="00C929AE" w:rsidP="008170E6">
            <w:pPr>
              <w:spacing w:after="0" w:line="240" w:lineRule="auto"/>
              <w:jc w:val="center"/>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8170E6" w:rsidRDefault="00C929AE" w:rsidP="008170E6">
            <w:pPr>
              <w:spacing w:after="0" w:line="240" w:lineRule="auto"/>
              <w:jc w:val="center"/>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OUT</w:t>
            </w:r>
          </w:p>
        </w:tc>
      </w:tr>
      <w:tr w:rsidR="00C929AE" w:rsidRPr="008170E6"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8170E6" w:rsidRDefault="00C929AE" w:rsidP="008170E6">
            <w:pPr>
              <w:spacing w:after="0" w:line="240" w:lineRule="auto"/>
              <w:rPr>
                <w:rFonts w:ascii="Times New Roman" w:eastAsia="Times New Roman" w:hAnsi="Times New Roman" w:cs="Times New Roman"/>
                <w:color w:val="00000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8170E6" w:rsidRDefault="006A4E85" w:rsidP="008170E6">
            <w:pPr>
              <w:spacing w:after="0" w:line="240" w:lineRule="auto"/>
              <w:rPr>
                <w:rFonts w:ascii="Times New Roman" w:eastAsia="Times New Roman" w:hAnsi="Times New Roman" w:cs="Times New Roman"/>
                <w:i/>
                <w:iCs/>
                <w:color w:val="000000"/>
                <w:lang w:eastAsia="sk-SK"/>
              </w:rPr>
            </w:pPr>
            <w:r w:rsidRPr="008170E6">
              <w:rPr>
                <w:rFonts w:ascii="Times New Roman" w:eastAsia="Times New Roman" w:hAnsi="Times New Roman" w:cs="Times New Roman"/>
                <w:b/>
                <w:i/>
                <w:iCs/>
                <w:color w:val="000000"/>
                <w:lang w:eastAsia="sk-SK"/>
              </w:rPr>
              <w:t>H</w:t>
            </w:r>
            <w:r w:rsidR="00C929AE" w:rsidRPr="008170E6">
              <w:rPr>
                <w:rFonts w:ascii="Times New Roman" w:eastAsia="Times New Roman" w:hAnsi="Times New Roman" w:cs="Times New Roman"/>
                <w:b/>
                <w:i/>
                <w:iCs/>
                <w:color w:val="000000"/>
                <w:lang w:eastAsia="sk-SK"/>
              </w:rPr>
              <w:t>.</w:t>
            </w:r>
            <w:r w:rsidR="009F4175" w:rsidRPr="008170E6">
              <w:rPr>
                <w:rFonts w:ascii="Times New Roman" w:eastAsia="Times New Roman" w:hAnsi="Times New Roman" w:cs="Times New Roman"/>
                <w:i/>
                <w:iCs/>
                <w:color w:val="000000"/>
                <w:lang w:eastAsia="sk-SK"/>
              </w:rPr>
              <w:t xml:space="preserve"> Náklady okrem výnimiek = B+D</w:t>
            </w:r>
            <w:r w:rsidRPr="008170E6">
              <w:rPr>
                <w:rFonts w:ascii="Times New Roman" w:eastAsia="Times New Roman" w:hAnsi="Times New Roman" w:cs="Times New Roman"/>
                <w:i/>
                <w:iCs/>
                <w:color w:val="00000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08341146" w:rsidR="00C929AE" w:rsidRPr="008170E6" w:rsidRDefault="002A193D"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3</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19964B0C" w:rsidR="00C929AE" w:rsidRPr="008170E6" w:rsidRDefault="002A193D"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7</w:t>
            </w:r>
            <w:r w:rsidR="00C929AE" w:rsidRPr="008170E6">
              <w:rPr>
                <w:rFonts w:ascii="Times New Roman" w:eastAsia="Times New Roman" w:hAnsi="Times New Roman" w:cs="Times New Roman"/>
                <w:b/>
                <w:bCs/>
                <w:color w:val="000000"/>
                <w:lang w:eastAsia="sk-SK"/>
              </w:rPr>
              <w:t> </w:t>
            </w:r>
          </w:p>
        </w:tc>
      </w:tr>
    </w:tbl>
    <w:p w14:paraId="0C4E1024" w14:textId="77777777" w:rsidR="00054C41" w:rsidRPr="008170E6" w:rsidRDefault="00054C41" w:rsidP="008170E6">
      <w:pPr>
        <w:spacing w:after="0" w:line="240" w:lineRule="auto"/>
        <w:rPr>
          <w:rFonts w:ascii="Times New Roman" w:eastAsia="Calibri" w:hAnsi="Times New Roman" w:cs="Times New Roman"/>
          <w:b/>
        </w:rPr>
        <w:sectPr w:rsidR="00054C41" w:rsidRPr="008170E6" w:rsidSect="00EE61E3">
          <w:footerReference w:type="default" r:id="rId10"/>
          <w:pgSz w:w="11906" w:h="16838"/>
          <w:pgMar w:top="993" w:right="1417" w:bottom="1417" w:left="1417" w:header="708" w:footer="708" w:gutter="0"/>
          <w:pgNumType w:start="17"/>
          <w:cols w:space="708"/>
          <w:docGrid w:linePitch="360"/>
        </w:sectPr>
      </w:pPr>
    </w:p>
    <w:p w14:paraId="29CDFA2A" w14:textId="77777777" w:rsidR="00054C41" w:rsidRPr="008170E6" w:rsidRDefault="00054C41" w:rsidP="008170E6">
      <w:pPr>
        <w:spacing w:after="0" w:line="240" w:lineRule="auto"/>
        <w:rPr>
          <w:rFonts w:ascii="Times New Roman" w:eastAsia="Calibri" w:hAnsi="Times New Roman" w:cs="Times New Roman"/>
          <w:b/>
          <w:i/>
          <w:iCs/>
        </w:rPr>
      </w:pPr>
      <w:r w:rsidRPr="008170E6">
        <w:rPr>
          <w:rFonts w:ascii="Times New Roman" w:eastAsia="Calibri" w:hAnsi="Times New Roman" w:cs="Times New Roman"/>
          <w:b/>
          <w:i/>
          <w:iCs/>
        </w:rPr>
        <w:lastRenderedPageBreak/>
        <w:t>3.1.2 Výpočty vplyvov jednotlivých regulácií na zmeny v nákladoch podnikateľov</w:t>
      </w:r>
      <w:r w:rsidRPr="008170E6">
        <w:rPr>
          <w:rFonts w:ascii="Times New Roman" w:eastAsia="Calibri" w:hAnsi="Times New Roman" w:cs="Times New Roman"/>
          <w:i/>
        </w:rPr>
        <w:tab/>
      </w:r>
      <w:r w:rsidRPr="008170E6">
        <w:rPr>
          <w:rFonts w:ascii="Times New Roman" w:eastAsia="Calibri" w:hAnsi="Times New Roman" w:cs="Times New Roman"/>
          <w:i/>
        </w:rPr>
        <w:tab/>
      </w:r>
      <w:r w:rsidRPr="008170E6">
        <w:rPr>
          <w:rFonts w:ascii="Times New Roman" w:eastAsia="Calibri" w:hAnsi="Times New Roman" w:cs="Times New Roman"/>
          <w:i/>
        </w:rPr>
        <w:tab/>
      </w:r>
      <w:r w:rsidRPr="008170E6">
        <w:rPr>
          <w:rFonts w:ascii="Times New Roman" w:eastAsia="Calibri" w:hAnsi="Times New Roman" w:cs="Times New Roman"/>
          <w:i/>
        </w:rPr>
        <w:tab/>
      </w:r>
      <w:r w:rsidRPr="008170E6">
        <w:rPr>
          <w:rFonts w:ascii="Times New Roman" w:eastAsia="Calibri" w:hAnsi="Times New Roman" w:cs="Times New Roman"/>
          <w:i/>
        </w:rPr>
        <w:tab/>
      </w:r>
      <w:r w:rsidRPr="008170E6">
        <w:rPr>
          <w:rFonts w:ascii="Times New Roman" w:eastAsia="Calibri" w:hAnsi="Times New Roman" w:cs="Times New Roman"/>
          <w:i/>
        </w:rPr>
        <w:tab/>
      </w:r>
      <w:r w:rsidRPr="008170E6">
        <w:rPr>
          <w:rFonts w:ascii="Times New Roman" w:eastAsia="Calibri" w:hAnsi="Times New Roman" w:cs="Times New Roman"/>
          <w:i/>
        </w:rPr>
        <w:tab/>
      </w:r>
      <w:r w:rsidRPr="008170E6">
        <w:rPr>
          <w:rFonts w:ascii="Times New Roman" w:eastAsia="Calibri" w:hAnsi="Times New Roman" w:cs="Times New Roman"/>
          <w:i/>
        </w:rPr>
        <w:tab/>
      </w:r>
    </w:p>
    <w:p w14:paraId="5E02E2DD"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033"/>
        <w:gridCol w:w="926"/>
        <w:gridCol w:w="917"/>
        <w:gridCol w:w="926"/>
        <w:gridCol w:w="708"/>
        <w:gridCol w:w="1134"/>
      </w:tblGrid>
      <w:tr w:rsidR="00DE6ACB" w:rsidRPr="008170E6" w14:paraId="58E6573D" w14:textId="77777777" w:rsidTr="0070588E">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 xml:space="preserve">Zrozumiteľný a stručný opis regulácie </w:t>
            </w:r>
            <w:r w:rsidRPr="008170E6">
              <w:rPr>
                <w:rFonts w:ascii="Times New Roman" w:eastAsia="Times New Roman" w:hAnsi="Times New Roman" w:cs="Times New Roman"/>
                <w:b/>
                <w:bCs/>
                <w:color w:val="000000"/>
                <w:lang w:eastAsia="sk-SK"/>
              </w:rPr>
              <w:br/>
              <w:t>(dôvod zvýšenia/zníženia nákladov na PP a dôvod ponechania nákladov na PP, ktoré sú goldplatngom)</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Číslo normy</w:t>
            </w:r>
            <w:r w:rsidRPr="008170E6">
              <w:rPr>
                <w:rFonts w:ascii="Times New Roman" w:eastAsia="Times New Roman" w:hAnsi="Times New Roman" w:cs="Times New Roman"/>
                <w:b/>
                <w:bCs/>
                <w:color w:val="000000"/>
                <w:lang w:eastAsia="sk-SK"/>
              </w:rPr>
              <w:br/>
            </w:r>
            <w:r w:rsidRPr="008170E6">
              <w:rPr>
                <w:rFonts w:ascii="Times New Roman" w:eastAsia="Times New Roman" w:hAnsi="Times New Roman" w:cs="Times New Roman"/>
                <w:color w:val="00000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Lokalizácia</w:t>
            </w:r>
            <w:r w:rsidRPr="008170E6">
              <w:rPr>
                <w:rFonts w:ascii="Times New Roman" w:eastAsia="Times New Roman" w:hAnsi="Times New Roman" w:cs="Times New Roman"/>
                <w:b/>
                <w:bCs/>
                <w:color w:val="000000"/>
                <w:lang w:eastAsia="sk-SK"/>
              </w:rPr>
              <w:br/>
              <w:t>(§, ods.</w:t>
            </w:r>
            <w:r w:rsidR="00D114ED" w:rsidRPr="008170E6">
              <w:rPr>
                <w:rFonts w:ascii="Times New Roman" w:eastAsia="Times New Roman" w:hAnsi="Times New Roman" w:cs="Times New Roman"/>
                <w:b/>
                <w:bCs/>
                <w:color w:val="000000"/>
                <w:lang w:eastAsia="sk-SK"/>
              </w:rPr>
              <w:t>, čl.,...</w:t>
            </w:r>
            <w:r w:rsidRPr="008170E6">
              <w:rPr>
                <w:rFonts w:ascii="Times New Roman" w:eastAsia="Times New Roman" w:hAnsi="Times New Roman" w:cs="Times New Roman"/>
                <w:b/>
                <w:bCs/>
                <w:color w:val="00000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Pr="008170E6" w:rsidRDefault="00DE6ACB" w:rsidP="008170E6">
            <w:pPr>
              <w:spacing w:after="0" w:line="240" w:lineRule="auto"/>
              <w:jc w:val="center"/>
              <w:rPr>
                <w:rFonts w:ascii="Times New Roman" w:eastAsia="Times New Roman" w:hAnsi="Times New Roman" w:cs="Times New Roman"/>
                <w:color w:val="000000"/>
                <w:lang w:eastAsia="sk-SK"/>
              </w:rPr>
            </w:pPr>
            <w:r w:rsidRPr="008170E6">
              <w:rPr>
                <w:rFonts w:ascii="Times New Roman" w:eastAsia="Times New Roman" w:hAnsi="Times New Roman" w:cs="Times New Roman"/>
                <w:b/>
                <w:bCs/>
                <w:color w:val="000000"/>
                <w:lang w:eastAsia="sk-SK"/>
              </w:rPr>
              <w:t xml:space="preserve">Pôvod regulácie: </w:t>
            </w:r>
            <w:r w:rsidRPr="008170E6">
              <w:rPr>
                <w:rFonts w:ascii="Times New Roman" w:eastAsia="Times New Roman" w:hAnsi="Times New Roman" w:cs="Times New Roman"/>
                <w:b/>
                <w:bCs/>
                <w:color w:val="000000"/>
                <w:lang w:eastAsia="sk-SK"/>
              </w:rPr>
              <w:br/>
            </w:r>
            <w:r w:rsidRPr="008170E6">
              <w:rPr>
                <w:rFonts w:ascii="Times New Roman" w:eastAsia="Times New Roman" w:hAnsi="Times New Roman" w:cs="Times New Roman"/>
                <w:color w:val="000000"/>
                <w:lang w:eastAsia="sk-SK"/>
              </w:rPr>
              <w:t>SK/EÚ úplná harm./</w:t>
            </w:r>
          </w:p>
          <w:p w14:paraId="3EFBCFFC" w14:textId="77777777" w:rsidR="00DE6ACB" w:rsidRPr="008170E6" w:rsidRDefault="006564C3"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color w:val="000000"/>
                <w:lang w:eastAsia="sk-SK"/>
              </w:rPr>
              <w:t>G</w:t>
            </w:r>
            <w:r w:rsidR="00DE6ACB" w:rsidRPr="008170E6">
              <w:rPr>
                <w:rFonts w:ascii="Times New Roman" w:eastAsia="Times New Roman" w:hAnsi="Times New Roman" w:cs="Times New Roman"/>
                <w:color w:val="00000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Kategória dotk. subjektov</w:t>
            </w:r>
          </w:p>
        </w:tc>
        <w:tc>
          <w:tcPr>
            <w:tcW w:w="103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 xml:space="preserve">Počet </w:t>
            </w:r>
          </w:p>
          <w:p w14:paraId="7A177F6E" w14:textId="6CE16312" w:rsidR="00DE6ACB" w:rsidRPr="008170E6" w:rsidRDefault="00D114ED"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dotk.</w:t>
            </w:r>
            <w:r w:rsidR="00DE6ACB" w:rsidRPr="008170E6">
              <w:rPr>
                <w:rFonts w:ascii="Times New Roman" w:eastAsia="Times New Roman" w:hAnsi="Times New Roman" w:cs="Times New Roman"/>
                <w:b/>
                <w:bCs/>
                <w:color w:val="000000"/>
                <w:lang w:eastAsia="sk-SK"/>
              </w:rPr>
              <w:t xml:space="preserve"> subjektov </w:t>
            </w:r>
            <w:r w:rsidR="00047C70" w:rsidRPr="008170E6">
              <w:rPr>
                <w:rFonts w:ascii="Times New Roman" w:eastAsia="Times New Roman" w:hAnsi="Times New Roman" w:cs="Times New Roman"/>
                <w:b/>
                <w:bCs/>
                <w:color w:val="000000"/>
                <w:lang w:eastAsia="sk-SK"/>
              </w:rPr>
              <w:t>spolu</w:t>
            </w:r>
            <w:r w:rsidR="00DE6ACB" w:rsidRPr="008170E6">
              <w:rPr>
                <w:rFonts w:ascii="Times New Roman" w:eastAsia="Times New Roman" w:hAnsi="Times New Roman" w:cs="Times New Roman"/>
                <w:b/>
                <w:bCs/>
                <w:color w:val="000000"/>
                <w:lang w:eastAsia="sk-SK"/>
              </w:rPr>
              <w:t xml:space="preserve"> </w:t>
            </w:r>
          </w:p>
        </w:tc>
        <w:tc>
          <w:tcPr>
            <w:tcW w:w="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Vplyv na 1 podnik. v €</w:t>
            </w:r>
          </w:p>
        </w:tc>
        <w:tc>
          <w:tcPr>
            <w:tcW w:w="9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Vplyv na kateg. dotk. subjekt. v €</w:t>
            </w:r>
          </w:p>
        </w:tc>
        <w:tc>
          <w:tcPr>
            <w:tcW w:w="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170E6" w:rsidRDefault="00DE6ACB" w:rsidP="008170E6">
            <w:pPr>
              <w:spacing w:after="0" w:line="240" w:lineRule="auto"/>
              <w:jc w:val="center"/>
              <w:rPr>
                <w:rFonts w:ascii="Times New Roman" w:eastAsia="Times New Roman" w:hAnsi="Times New Roman" w:cs="Times New Roman"/>
                <w:bCs/>
                <w:color w:val="000000"/>
                <w:lang w:eastAsia="sk-SK"/>
              </w:rPr>
            </w:pPr>
            <w:r w:rsidRPr="008170E6">
              <w:rPr>
                <w:rFonts w:ascii="Times New Roman" w:eastAsia="Times New Roman" w:hAnsi="Times New Roman" w:cs="Times New Roman"/>
                <w:b/>
                <w:bCs/>
                <w:color w:val="000000"/>
                <w:lang w:eastAsia="sk-SK"/>
              </w:rPr>
              <w:t>Druh vplyvu</w:t>
            </w:r>
            <w:r w:rsidRPr="008170E6">
              <w:rPr>
                <w:rFonts w:ascii="Times New Roman" w:eastAsia="Times New Roman" w:hAnsi="Times New Roman" w:cs="Times New Roman"/>
                <w:b/>
                <w:bCs/>
                <w:color w:val="000000"/>
                <w:lang w:eastAsia="sk-SK"/>
              </w:rPr>
              <w:br/>
            </w:r>
            <w:r w:rsidRPr="008170E6">
              <w:rPr>
                <w:rFonts w:ascii="Times New Roman" w:eastAsia="Times New Roman" w:hAnsi="Times New Roman" w:cs="Times New Roman"/>
                <w:bCs/>
                <w:color w:val="000000"/>
                <w:lang w:eastAsia="sk-SK"/>
              </w:rPr>
              <w:t xml:space="preserve">In (zvyšuje náklady) / </w:t>
            </w:r>
          </w:p>
          <w:p w14:paraId="3110E590"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Cs/>
                <w:color w:val="000000"/>
                <w:lang w:eastAsia="sk-SK"/>
              </w:rPr>
              <w:t>Out (znižuje náklady</w:t>
            </w:r>
            <w:r w:rsidRPr="008170E6">
              <w:rPr>
                <w:rFonts w:ascii="Times New Roman" w:eastAsia="Times New Roman" w:hAnsi="Times New Roman" w:cs="Times New Roman"/>
                <w:b/>
                <w:bCs/>
                <w:color w:val="000000"/>
                <w:lang w:eastAsia="sk-SK"/>
              </w:rPr>
              <w:t>)</w:t>
            </w:r>
          </w:p>
          <w:p w14:paraId="70438D04"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color w:val="00000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1in</w:t>
            </w:r>
          </w:p>
          <w:p w14:paraId="29F533F5"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8170E6" w:rsidRDefault="00DE6ACB" w:rsidP="008170E6">
            <w:pPr>
              <w:spacing w:after="0" w:line="240" w:lineRule="auto"/>
              <w:jc w:val="center"/>
              <w:rPr>
                <w:rFonts w:ascii="Times New Roman" w:eastAsia="Times New Roman" w:hAnsi="Times New Roman" w:cs="Times New Roman"/>
                <w:b/>
                <w:bCs/>
                <w:color w:val="000000"/>
                <w:lang w:eastAsia="sk-SK"/>
              </w:rPr>
            </w:pPr>
            <w:r w:rsidRPr="008170E6">
              <w:rPr>
                <w:rFonts w:ascii="Times New Roman" w:eastAsia="Times New Roman" w:hAnsi="Times New Roman" w:cs="Times New Roman"/>
                <w:b/>
                <w:bCs/>
                <w:color w:val="000000"/>
                <w:lang w:eastAsia="sk-SK"/>
              </w:rPr>
              <w:t>Goldplating celkom</w:t>
            </w:r>
          </w:p>
        </w:tc>
      </w:tr>
      <w:tr w:rsidR="00DE6ACB" w:rsidRPr="008170E6" w14:paraId="609FED73" w14:textId="77777777" w:rsidTr="0070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05ADF9B3" w:rsidR="00DE6ACB" w:rsidRPr="008170E6" w:rsidRDefault="00DE6ACB" w:rsidP="008170E6">
            <w:pPr>
              <w:pStyle w:val="Odsekzoznamu"/>
              <w:numPr>
                <w:ilvl w:val="0"/>
                <w:numId w:val="19"/>
              </w:numPr>
              <w:tabs>
                <w:tab w:val="left" w:pos="300"/>
              </w:tabs>
              <w:spacing w:after="0" w:line="240" w:lineRule="auto"/>
              <w:ind w:left="0" w:firstLine="0"/>
              <w:contextualSpacing w:val="0"/>
              <w:rPr>
                <w:rFonts w:ascii="Times New Roman" w:eastAsia="Times New Roman" w:hAnsi="Times New Roman" w:cs="Times New Roman"/>
                <w:lang w:eastAsia="sk-SK"/>
              </w:rPr>
            </w:pPr>
          </w:p>
        </w:tc>
        <w:tc>
          <w:tcPr>
            <w:tcW w:w="1740" w:type="dxa"/>
            <w:shd w:val="clear" w:color="auto" w:fill="auto"/>
            <w:vAlign w:val="center"/>
          </w:tcPr>
          <w:p w14:paraId="7D629DAC" w14:textId="083B1EC9" w:rsidR="00DE6ACB" w:rsidRPr="008170E6" w:rsidRDefault="00CE53A1" w:rsidP="008170E6">
            <w:pPr>
              <w:spacing w:after="0" w:line="240" w:lineRule="auto"/>
              <w:rPr>
                <w:rFonts w:ascii="Times New Roman" w:eastAsia="Times New Roman" w:hAnsi="Times New Roman" w:cs="Times New Roman"/>
                <w:lang w:eastAsia="sk-SK"/>
              </w:rPr>
            </w:pPr>
            <w:r w:rsidRPr="008170E6">
              <w:rPr>
                <w:rFonts w:ascii="Times New Roman" w:hAnsi="Times New Roman" w:cs="Times New Roman"/>
              </w:rPr>
              <w:t xml:space="preserve">Povinnosť predchádzať výskytu a šíreniu burín a náletových drevín na neobrábaných poľnohospodárskych pozemkoch mimo hranice zastavaného územia obce podľa § 2 písm. i), ak osobitný predpis neustanovuje inak, a vykonávať opatrenia na zabránenie šírenia biotických škodlivých </w:t>
            </w:r>
            <w:r w:rsidRPr="008170E6">
              <w:rPr>
                <w:rFonts w:ascii="Times New Roman" w:hAnsi="Times New Roman" w:cs="Times New Roman"/>
              </w:rPr>
              <w:lastRenderedPageBreak/>
              <w:t>činiteľov z odstraňovaných drevín.</w:t>
            </w:r>
          </w:p>
        </w:tc>
        <w:tc>
          <w:tcPr>
            <w:tcW w:w="992" w:type="dxa"/>
          </w:tcPr>
          <w:p w14:paraId="1FAE27E8" w14:textId="62CB76DC" w:rsidR="00CE53A1" w:rsidRPr="008170E6" w:rsidRDefault="00CE53A1"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lastRenderedPageBreak/>
              <w:t>Návrh zákona,</w:t>
            </w:r>
          </w:p>
          <w:p w14:paraId="4B47CD37" w14:textId="29BC3F6A" w:rsidR="00CE53A1" w:rsidRPr="008170E6" w:rsidRDefault="00CE53A1"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 č. 220/2004 Z. z.</w:t>
            </w:r>
          </w:p>
        </w:tc>
        <w:tc>
          <w:tcPr>
            <w:tcW w:w="1134" w:type="dxa"/>
          </w:tcPr>
          <w:p w14:paraId="2182FB31" w14:textId="77777777" w:rsidR="00CE53A1" w:rsidRPr="008170E6" w:rsidRDefault="00CE53A1"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 čl. I bod 3</w:t>
            </w:r>
          </w:p>
          <w:p w14:paraId="38EB57A6" w14:textId="77777777" w:rsidR="00CE53A1" w:rsidRPr="008170E6" w:rsidRDefault="00CE53A1" w:rsidP="008170E6">
            <w:pPr>
              <w:spacing w:after="0" w:line="240" w:lineRule="auto"/>
              <w:rPr>
                <w:rFonts w:ascii="Times New Roman" w:eastAsia="Times New Roman" w:hAnsi="Times New Roman" w:cs="Times New Roman"/>
                <w:lang w:eastAsia="sk-SK"/>
              </w:rPr>
            </w:pPr>
          </w:p>
          <w:p w14:paraId="1C988908" w14:textId="378E54C5" w:rsidR="00DE6ACB" w:rsidRPr="008170E6" w:rsidRDefault="00CE53A1"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 3 ods. 1 písm. b) z. č. 220/2004 Z. z.</w:t>
            </w:r>
          </w:p>
        </w:tc>
        <w:tc>
          <w:tcPr>
            <w:tcW w:w="1843" w:type="dxa"/>
            <w:shd w:val="clear" w:color="auto" w:fill="auto"/>
            <w:vAlign w:val="center"/>
          </w:tcPr>
          <w:p w14:paraId="22CDA76A" w14:textId="07353E6A" w:rsidR="00DE6ACB" w:rsidRPr="008170E6" w:rsidRDefault="00CE53A1" w:rsidP="008170E6">
            <w:pPr>
              <w:pStyle w:val="gmail-m-1648484718305530482msolistparagraph"/>
              <w:spacing w:before="0" w:beforeAutospacing="0" w:after="0" w:afterAutospacing="0"/>
              <w:jc w:val="both"/>
              <w:rPr>
                <w:rFonts w:ascii="Times New Roman" w:eastAsia="Times New Roman" w:hAnsi="Times New Roman" w:cs="Times New Roman"/>
              </w:rPr>
            </w:pPr>
            <w:r w:rsidRPr="008170E6">
              <w:rPr>
                <w:rFonts w:ascii="Times New Roman" w:eastAsia="Times New Roman" w:hAnsi="Times New Roman" w:cs="Times New Roman"/>
              </w:rPr>
              <w:t>SK</w:t>
            </w:r>
          </w:p>
        </w:tc>
        <w:tc>
          <w:tcPr>
            <w:tcW w:w="992" w:type="dxa"/>
            <w:vAlign w:val="center"/>
          </w:tcPr>
          <w:p w14:paraId="469C4721" w14:textId="209F23EA" w:rsidR="00DE6ACB" w:rsidRPr="008170E6" w:rsidRDefault="00CE53A1"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1. apríl 2025</w:t>
            </w:r>
          </w:p>
        </w:tc>
        <w:tc>
          <w:tcPr>
            <w:tcW w:w="1160" w:type="dxa"/>
            <w:shd w:val="clear" w:color="auto" w:fill="auto"/>
            <w:noWrap/>
            <w:vAlign w:val="center"/>
          </w:tcPr>
          <w:p w14:paraId="74618A9C" w14:textId="400BAC5C" w:rsidR="00DE6ACB" w:rsidRPr="008170E6" w:rsidRDefault="0070588E"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vlastníci a užívatelia poľnohospodárskej pôdy</w:t>
            </w:r>
          </w:p>
        </w:tc>
        <w:tc>
          <w:tcPr>
            <w:tcW w:w="1033" w:type="dxa"/>
          </w:tcPr>
          <w:p w14:paraId="5D0F89C4" w14:textId="6B2430CE" w:rsidR="00DE6ACB" w:rsidRPr="008170E6" w:rsidRDefault="00DE6ACB" w:rsidP="008170E6">
            <w:pPr>
              <w:spacing w:after="0" w:line="240" w:lineRule="auto"/>
              <w:rPr>
                <w:rFonts w:ascii="Times New Roman" w:eastAsia="Times New Roman" w:hAnsi="Times New Roman" w:cs="Times New Roman"/>
                <w:lang w:eastAsia="sk-SK"/>
              </w:rPr>
            </w:pPr>
          </w:p>
        </w:tc>
        <w:tc>
          <w:tcPr>
            <w:tcW w:w="926" w:type="dxa"/>
            <w:shd w:val="clear" w:color="auto" w:fill="auto"/>
            <w:noWrap/>
            <w:vAlign w:val="center"/>
          </w:tcPr>
          <w:p w14:paraId="38251139" w14:textId="514F52B1" w:rsidR="00DE6ACB" w:rsidRPr="008170E6" w:rsidRDefault="00DE6ACB" w:rsidP="008170E6">
            <w:pPr>
              <w:spacing w:after="0" w:line="240" w:lineRule="auto"/>
              <w:rPr>
                <w:rFonts w:ascii="Times New Roman" w:eastAsia="Times New Roman" w:hAnsi="Times New Roman" w:cs="Times New Roman"/>
                <w:lang w:eastAsia="sk-SK"/>
              </w:rPr>
            </w:pPr>
          </w:p>
        </w:tc>
        <w:tc>
          <w:tcPr>
            <w:tcW w:w="917" w:type="dxa"/>
            <w:shd w:val="clear" w:color="auto" w:fill="auto"/>
            <w:noWrap/>
            <w:vAlign w:val="center"/>
          </w:tcPr>
          <w:p w14:paraId="01129C91" w14:textId="67FC3377" w:rsidR="00DE6ACB" w:rsidRPr="008170E6" w:rsidRDefault="00DE6ACB" w:rsidP="008170E6">
            <w:pPr>
              <w:spacing w:after="0" w:line="240" w:lineRule="auto"/>
              <w:rPr>
                <w:rFonts w:ascii="Times New Roman" w:eastAsia="Times New Roman" w:hAnsi="Times New Roman" w:cs="Times New Roman"/>
                <w:color w:val="000000"/>
                <w:lang w:eastAsia="sk-SK"/>
              </w:rPr>
            </w:pPr>
          </w:p>
        </w:tc>
        <w:tc>
          <w:tcPr>
            <w:tcW w:w="926" w:type="dxa"/>
            <w:shd w:val="clear" w:color="auto" w:fill="auto"/>
            <w:noWrap/>
            <w:vAlign w:val="center"/>
          </w:tcPr>
          <w:p w14:paraId="031A2F7D" w14:textId="77777777" w:rsidR="00DE6ACB" w:rsidRPr="008170E6" w:rsidRDefault="0070588E"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In: zabránenie šíreniu biotických škodcov</w:t>
            </w:r>
          </w:p>
          <w:p w14:paraId="420D0685" w14:textId="6537134A" w:rsidR="0070588E" w:rsidRPr="008170E6" w:rsidRDefault="0070588E"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Out: mimo hranice zastavaného územia obce</w:t>
            </w:r>
          </w:p>
        </w:tc>
        <w:tc>
          <w:tcPr>
            <w:tcW w:w="708" w:type="dxa"/>
            <w:shd w:val="clear" w:color="auto" w:fill="auto"/>
            <w:noWrap/>
            <w:vAlign w:val="center"/>
          </w:tcPr>
          <w:p w14:paraId="08BFFDBA" w14:textId="6AA5C38D" w:rsidR="00DE6ACB" w:rsidRPr="008170E6" w:rsidRDefault="0070588E"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1/1</w:t>
            </w:r>
          </w:p>
        </w:tc>
        <w:tc>
          <w:tcPr>
            <w:tcW w:w="1134" w:type="dxa"/>
            <w:vAlign w:val="center"/>
          </w:tcPr>
          <w:p w14:paraId="48758C9B" w14:textId="57C7CD92" w:rsidR="00DE6ACB" w:rsidRPr="008170E6" w:rsidRDefault="0070588E"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0</w:t>
            </w:r>
          </w:p>
        </w:tc>
      </w:tr>
      <w:tr w:rsidR="009912BB" w:rsidRPr="008170E6" w14:paraId="45B98B6A" w14:textId="77777777" w:rsidTr="004E6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6F030F8" w14:textId="77777777" w:rsidR="009912BB" w:rsidRPr="008170E6" w:rsidRDefault="009912BB" w:rsidP="008170E6">
            <w:pPr>
              <w:pStyle w:val="Odsekzoznamu"/>
              <w:numPr>
                <w:ilvl w:val="0"/>
                <w:numId w:val="19"/>
              </w:numPr>
              <w:tabs>
                <w:tab w:val="left" w:pos="300"/>
              </w:tabs>
              <w:spacing w:after="0" w:line="240" w:lineRule="auto"/>
              <w:ind w:left="0" w:firstLine="0"/>
              <w:contextualSpacing w:val="0"/>
              <w:rPr>
                <w:rFonts w:ascii="Times New Roman" w:eastAsia="Times New Roman" w:hAnsi="Times New Roman" w:cs="Times New Roman"/>
                <w:lang w:eastAsia="sk-SK"/>
              </w:rPr>
            </w:pPr>
          </w:p>
        </w:tc>
        <w:tc>
          <w:tcPr>
            <w:tcW w:w="1740" w:type="dxa"/>
            <w:shd w:val="clear" w:color="auto" w:fill="auto"/>
            <w:vAlign w:val="center"/>
          </w:tcPr>
          <w:p w14:paraId="07937CDA" w14:textId="523A936B" w:rsidR="009912BB" w:rsidRPr="008170E6" w:rsidRDefault="009912BB" w:rsidP="008170E6">
            <w:pPr>
              <w:spacing w:after="0" w:line="240" w:lineRule="auto"/>
              <w:rPr>
                <w:rFonts w:ascii="Times New Roman" w:hAnsi="Times New Roman" w:cs="Times New Roman"/>
              </w:rPr>
            </w:pPr>
            <w:r w:rsidRPr="008170E6">
              <w:rPr>
                <w:rFonts w:ascii="Times New Roman" w:hAnsi="Times New Roman" w:cs="Times New Roman"/>
              </w:rPr>
              <w:t>Zrušuje sa povinnosť predkladať v konaní o zmene druhu pozemku a v konaní o vyňatí poľnohosp. pôdy, ak ide o vinicu, prílohu obsahujúcu zhodnotenie historických súvislostí a zámerov regionálneho rozvoja</w:t>
            </w:r>
          </w:p>
        </w:tc>
        <w:tc>
          <w:tcPr>
            <w:tcW w:w="992" w:type="dxa"/>
          </w:tcPr>
          <w:p w14:paraId="4B4C94AC" w14:textId="77777777"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w:t>
            </w:r>
          </w:p>
          <w:p w14:paraId="40297A1B" w14:textId="53F0587C"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 č. 220/2004 Z. z.</w:t>
            </w:r>
          </w:p>
        </w:tc>
        <w:tc>
          <w:tcPr>
            <w:tcW w:w="1134" w:type="dxa"/>
          </w:tcPr>
          <w:p w14:paraId="0A1A3F49" w14:textId="5C2045AF"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 čl. I body 5 a 24</w:t>
            </w:r>
          </w:p>
          <w:p w14:paraId="7354ED1F" w14:textId="77777777" w:rsidR="009912BB" w:rsidRPr="008170E6" w:rsidRDefault="009912BB" w:rsidP="008170E6">
            <w:pPr>
              <w:spacing w:after="0" w:line="240" w:lineRule="auto"/>
              <w:rPr>
                <w:rFonts w:ascii="Times New Roman" w:eastAsia="Times New Roman" w:hAnsi="Times New Roman" w:cs="Times New Roman"/>
                <w:lang w:eastAsia="sk-SK"/>
              </w:rPr>
            </w:pPr>
          </w:p>
          <w:p w14:paraId="123E3F85" w14:textId="26BD5DD8"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 9 ods. 3 písm. a) a § 17 ods. 5 písm. f) z. č. 220/2004 Z. z.</w:t>
            </w:r>
          </w:p>
        </w:tc>
        <w:tc>
          <w:tcPr>
            <w:tcW w:w="1843" w:type="dxa"/>
            <w:shd w:val="clear" w:color="auto" w:fill="auto"/>
            <w:vAlign w:val="center"/>
          </w:tcPr>
          <w:p w14:paraId="79177F65" w14:textId="5720C1EB" w:rsidR="009912BB" w:rsidRPr="008170E6" w:rsidRDefault="009912BB" w:rsidP="008170E6">
            <w:pPr>
              <w:pStyle w:val="gmail-m-1648484718305530482msolistparagraph"/>
              <w:spacing w:before="0" w:beforeAutospacing="0" w:after="0" w:afterAutospacing="0"/>
              <w:jc w:val="both"/>
              <w:rPr>
                <w:rFonts w:ascii="Times New Roman" w:eastAsia="Times New Roman" w:hAnsi="Times New Roman" w:cs="Times New Roman"/>
              </w:rPr>
            </w:pPr>
            <w:r w:rsidRPr="008170E6">
              <w:rPr>
                <w:rFonts w:ascii="Times New Roman" w:eastAsia="Times New Roman" w:hAnsi="Times New Roman" w:cs="Times New Roman"/>
              </w:rPr>
              <w:t>SK</w:t>
            </w:r>
          </w:p>
        </w:tc>
        <w:tc>
          <w:tcPr>
            <w:tcW w:w="992" w:type="dxa"/>
            <w:vAlign w:val="center"/>
          </w:tcPr>
          <w:p w14:paraId="157F3ABB" w14:textId="718FA204"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1. apríl 2025</w:t>
            </w:r>
          </w:p>
        </w:tc>
        <w:tc>
          <w:tcPr>
            <w:tcW w:w="1160" w:type="dxa"/>
            <w:shd w:val="clear" w:color="auto" w:fill="auto"/>
            <w:noWrap/>
            <w:vAlign w:val="center"/>
          </w:tcPr>
          <w:p w14:paraId="4CFCE748" w14:textId="4E7D7EFA"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vlastníci a užívatelia poľnohospodárskej pôdy</w:t>
            </w:r>
          </w:p>
        </w:tc>
        <w:tc>
          <w:tcPr>
            <w:tcW w:w="1033" w:type="dxa"/>
          </w:tcPr>
          <w:p w14:paraId="1D419CB6" w14:textId="4004F038"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tcPr>
          <w:p w14:paraId="7925A6A4" w14:textId="23AD077C" w:rsidR="009912BB" w:rsidRPr="008170E6" w:rsidRDefault="009912BB" w:rsidP="008170E6">
            <w:pPr>
              <w:spacing w:after="0" w:line="240" w:lineRule="auto"/>
              <w:rPr>
                <w:rFonts w:ascii="Times New Roman" w:eastAsia="Times New Roman" w:hAnsi="Times New Roman" w:cs="Times New Roman"/>
                <w:lang w:eastAsia="sk-SK"/>
              </w:rPr>
            </w:pPr>
          </w:p>
        </w:tc>
        <w:tc>
          <w:tcPr>
            <w:tcW w:w="917" w:type="dxa"/>
            <w:shd w:val="clear" w:color="auto" w:fill="auto"/>
            <w:noWrap/>
          </w:tcPr>
          <w:p w14:paraId="3476C815" w14:textId="66714D3D"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vAlign w:val="center"/>
          </w:tcPr>
          <w:p w14:paraId="4BE693B0" w14:textId="1FCE6692"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Out</w:t>
            </w:r>
          </w:p>
        </w:tc>
        <w:tc>
          <w:tcPr>
            <w:tcW w:w="708" w:type="dxa"/>
            <w:shd w:val="clear" w:color="auto" w:fill="auto"/>
            <w:noWrap/>
            <w:vAlign w:val="center"/>
          </w:tcPr>
          <w:p w14:paraId="67BC9A68" w14:textId="132BB693"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1</w:t>
            </w:r>
          </w:p>
        </w:tc>
        <w:tc>
          <w:tcPr>
            <w:tcW w:w="1134" w:type="dxa"/>
            <w:vAlign w:val="center"/>
          </w:tcPr>
          <w:p w14:paraId="497C6EF5" w14:textId="27134CF0"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0</w:t>
            </w:r>
          </w:p>
        </w:tc>
      </w:tr>
      <w:tr w:rsidR="009912BB" w:rsidRPr="008170E6" w14:paraId="022095BC" w14:textId="77777777" w:rsidTr="007058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E51077D" w:rsidR="009912BB" w:rsidRPr="008170E6" w:rsidRDefault="009912BB" w:rsidP="008170E6">
            <w:pPr>
              <w:pStyle w:val="Odsekzoznamu"/>
              <w:numPr>
                <w:ilvl w:val="0"/>
                <w:numId w:val="19"/>
              </w:numPr>
              <w:tabs>
                <w:tab w:val="left" w:pos="300"/>
              </w:tabs>
              <w:spacing w:after="0" w:line="240" w:lineRule="auto"/>
              <w:ind w:left="0" w:firstLine="0"/>
              <w:contextualSpacing w:val="0"/>
              <w:rPr>
                <w:rFonts w:ascii="Times New Roman" w:eastAsia="Times New Roman" w:hAnsi="Times New Roman" w:cs="Times New Roman"/>
                <w:lang w:eastAsia="sk-SK"/>
              </w:rPr>
            </w:pPr>
          </w:p>
        </w:tc>
        <w:tc>
          <w:tcPr>
            <w:tcW w:w="1740" w:type="dxa"/>
            <w:shd w:val="clear" w:color="auto" w:fill="auto"/>
            <w:vAlign w:val="center"/>
          </w:tcPr>
          <w:p w14:paraId="302744A6" w14:textId="42BB9047"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hAnsi="Times New Roman" w:cs="Times New Roman"/>
              </w:rPr>
              <w:t>Povinnosť zaplatiť odvod za trvalé odňatie alebo dočasné odňatie každej poľnohospodárskej pôdy podľa kódu bonitovaných pôdno-ekologických jednotiek alebo odvod za odňatie vinice podľa § 27a</w:t>
            </w:r>
          </w:p>
        </w:tc>
        <w:tc>
          <w:tcPr>
            <w:tcW w:w="992" w:type="dxa"/>
          </w:tcPr>
          <w:p w14:paraId="3A66A61D" w14:textId="77777777"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w:t>
            </w:r>
          </w:p>
          <w:p w14:paraId="6D81551D" w14:textId="0EFF6E8B"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 č. 220/2004 Z. z.</w:t>
            </w:r>
          </w:p>
        </w:tc>
        <w:tc>
          <w:tcPr>
            <w:tcW w:w="1134" w:type="dxa"/>
          </w:tcPr>
          <w:p w14:paraId="033A5BF0" w14:textId="48549319"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 čl. I bod 15</w:t>
            </w:r>
          </w:p>
          <w:p w14:paraId="1D7C9133" w14:textId="77777777" w:rsidR="009912BB" w:rsidRPr="008170E6" w:rsidRDefault="009912BB" w:rsidP="008170E6">
            <w:pPr>
              <w:spacing w:after="0" w:line="240" w:lineRule="auto"/>
              <w:rPr>
                <w:rFonts w:ascii="Times New Roman" w:eastAsia="Times New Roman" w:hAnsi="Times New Roman" w:cs="Times New Roman"/>
                <w:lang w:eastAsia="sk-SK"/>
              </w:rPr>
            </w:pPr>
          </w:p>
          <w:p w14:paraId="15AB3E50" w14:textId="768DBFE3"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hAnsi="Times New Roman" w:cs="Times New Roman"/>
              </w:rPr>
              <w:t xml:space="preserve">§ 12 ods. 2 písm. l) </w:t>
            </w:r>
            <w:r w:rsidRPr="008170E6">
              <w:rPr>
                <w:rFonts w:ascii="Times New Roman" w:eastAsia="Times New Roman" w:hAnsi="Times New Roman" w:cs="Times New Roman"/>
                <w:lang w:eastAsia="sk-SK"/>
              </w:rPr>
              <w:t>z. č. 220/2004 Z. z.</w:t>
            </w:r>
          </w:p>
        </w:tc>
        <w:tc>
          <w:tcPr>
            <w:tcW w:w="1843" w:type="dxa"/>
            <w:shd w:val="clear" w:color="auto" w:fill="auto"/>
            <w:vAlign w:val="center"/>
          </w:tcPr>
          <w:p w14:paraId="65823171" w14:textId="7308CD6C" w:rsidR="009912BB" w:rsidRPr="008170E6" w:rsidDel="00801596" w:rsidRDefault="009912BB" w:rsidP="008170E6">
            <w:pPr>
              <w:pStyle w:val="gmail-m-1648484718305530482msolistparagraph"/>
              <w:spacing w:before="0" w:beforeAutospacing="0" w:after="0" w:afterAutospacing="0"/>
              <w:jc w:val="both"/>
              <w:rPr>
                <w:rFonts w:ascii="Times New Roman" w:eastAsia="Times New Roman" w:hAnsi="Times New Roman" w:cs="Times New Roman"/>
              </w:rPr>
            </w:pPr>
            <w:r w:rsidRPr="008170E6">
              <w:rPr>
                <w:rFonts w:ascii="Times New Roman" w:eastAsia="Times New Roman" w:hAnsi="Times New Roman" w:cs="Times New Roman"/>
              </w:rPr>
              <w:t>SK</w:t>
            </w:r>
          </w:p>
        </w:tc>
        <w:tc>
          <w:tcPr>
            <w:tcW w:w="992" w:type="dxa"/>
            <w:vAlign w:val="center"/>
          </w:tcPr>
          <w:p w14:paraId="4EAFA699" w14:textId="292082A4"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lang w:eastAsia="sk-SK"/>
              </w:rPr>
              <w:t>1. apríl 2025</w:t>
            </w:r>
          </w:p>
        </w:tc>
        <w:tc>
          <w:tcPr>
            <w:tcW w:w="1160" w:type="dxa"/>
            <w:shd w:val="clear" w:color="auto" w:fill="auto"/>
            <w:noWrap/>
            <w:vAlign w:val="center"/>
          </w:tcPr>
          <w:p w14:paraId="439720A9" w14:textId="0AA26122"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vlastníci a užívatelia poľnohospodárskej pôdy</w:t>
            </w:r>
          </w:p>
        </w:tc>
        <w:tc>
          <w:tcPr>
            <w:tcW w:w="1033" w:type="dxa"/>
          </w:tcPr>
          <w:p w14:paraId="17CCCE83" w14:textId="6A240AE0"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vAlign w:val="center"/>
          </w:tcPr>
          <w:p w14:paraId="271B2646" w14:textId="141AFB36" w:rsidR="009912BB" w:rsidRPr="008170E6" w:rsidRDefault="009912BB" w:rsidP="008170E6">
            <w:pPr>
              <w:spacing w:after="0" w:line="240" w:lineRule="auto"/>
              <w:rPr>
                <w:rFonts w:ascii="Times New Roman" w:eastAsia="Times New Roman" w:hAnsi="Times New Roman" w:cs="Times New Roman"/>
                <w:lang w:eastAsia="sk-SK"/>
              </w:rPr>
            </w:pPr>
          </w:p>
        </w:tc>
        <w:tc>
          <w:tcPr>
            <w:tcW w:w="917" w:type="dxa"/>
            <w:shd w:val="clear" w:color="auto" w:fill="auto"/>
            <w:noWrap/>
            <w:vAlign w:val="center"/>
          </w:tcPr>
          <w:p w14:paraId="57980520" w14:textId="18807BD3" w:rsidR="009912BB" w:rsidRPr="008170E6" w:rsidRDefault="009912BB" w:rsidP="008170E6">
            <w:pPr>
              <w:spacing w:after="0" w:line="240" w:lineRule="auto"/>
              <w:rPr>
                <w:rFonts w:ascii="Times New Roman" w:eastAsia="Times New Roman" w:hAnsi="Times New Roman" w:cs="Times New Roman"/>
                <w:color w:val="000000"/>
                <w:lang w:eastAsia="sk-SK"/>
              </w:rPr>
            </w:pPr>
          </w:p>
        </w:tc>
        <w:tc>
          <w:tcPr>
            <w:tcW w:w="926" w:type="dxa"/>
            <w:shd w:val="clear" w:color="auto" w:fill="auto"/>
            <w:noWrap/>
            <w:vAlign w:val="center"/>
          </w:tcPr>
          <w:p w14:paraId="7E097137" w14:textId="00989867"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In</w:t>
            </w:r>
          </w:p>
        </w:tc>
        <w:tc>
          <w:tcPr>
            <w:tcW w:w="708" w:type="dxa"/>
            <w:shd w:val="clear" w:color="auto" w:fill="auto"/>
            <w:noWrap/>
            <w:vAlign w:val="center"/>
          </w:tcPr>
          <w:p w14:paraId="4B494DF4" w14:textId="4B79FE3D"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1</w:t>
            </w:r>
          </w:p>
        </w:tc>
        <w:tc>
          <w:tcPr>
            <w:tcW w:w="1134" w:type="dxa"/>
            <w:vAlign w:val="center"/>
          </w:tcPr>
          <w:p w14:paraId="564076F6" w14:textId="3774895B"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0</w:t>
            </w:r>
          </w:p>
        </w:tc>
      </w:tr>
      <w:tr w:rsidR="009912BB" w:rsidRPr="008170E6" w14:paraId="17097D73" w14:textId="77777777" w:rsidTr="00E61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2175B21E" w14:textId="77777777" w:rsidR="009912BB" w:rsidRPr="008170E6" w:rsidRDefault="009912BB" w:rsidP="008170E6">
            <w:pPr>
              <w:pStyle w:val="Odsekzoznamu"/>
              <w:numPr>
                <w:ilvl w:val="0"/>
                <w:numId w:val="19"/>
              </w:numPr>
              <w:tabs>
                <w:tab w:val="left" w:pos="300"/>
              </w:tabs>
              <w:spacing w:after="0" w:line="240" w:lineRule="auto"/>
              <w:ind w:left="0" w:firstLine="0"/>
              <w:contextualSpacing w:val="0"/>
              <w:rPr>
                <w:rFonts w:ascii="Times New Roman" w:eastAsia="Times New Roman" w:hAnsi="Times New Roman" w:cs="Times New Roman"/>
                <w:lang w:eastAsia="sk-SK"/>
              </w:rPr>
            </w:pPr>
          </w:p>
        </w:tc>
        <w:tc>
          <w:tcPr>
            <w:tcW w:w="1740" w:type="dxa"/>
            <w:shd w:val="clear" w:color="auto" w:fill="auto"/>
            <w:vAlign w:val="center"/>
          </w:tcPr>
          <w:p w14:paraId="3B3EF626" w14:textId="0D84AC42" w:rsidR="009912BB" w:rsidRPr="008170E6" w:rsidRDefault="009912BB" w:rsidP="008170E6">
            <w:pPr>
              <w:spacing w:after="0" w:line="240" w:lineRule="auto"/>
              <w:rPr>
                <w:rFonts w:ascii="Times New Roman" w:hAnsi="Times New Roman" w:cs="Times New Roman"/>
              </w:rPr>
            </w:pPr>
            <w:r w:rsidRPr="008170E6">
              <w:rPr>
                <w:rFonts w:ascii="Times New Roman" w:hAnsi="Times New Roman" w:cs="Times New Roman"/>
              </w:rPr>
              <w:t>Rozšírenie výnimky z potreby rozhodnutia o odňatí poľnohosp. pôdy aj na prípady umiestnenia inžinierskej stavby</w:t>
            </w:r>
          </w:p>
        </w:tc>
        <w:tc>
          <w:tcPr>
            <w:tcW w:w="992" w:type="dxa"/>
          </w:tcPr>
          <w:p w14:paraId="09B74467" w14:textId="77777777"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w:t>
            </w:r>
          </w:p>
          <w:p w14:paraId="7975F40E" w14:textId="56C7D685"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 č. 220/2004 Z. z.</w:t>
            </w:r>
          </w:p>
        </w:tc>
        <w:tc>
          <w:tcPr>
            <w:tcW w:w="1134" w:type="dxa"/>
          </w:tcPr>
          <w:p w14:paraId="60BBB646" w14:textId="1A2C8913"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 čl. I bod 20</w:t>
            </w:r>
          </w:p>
          <w:p w14:paraId="39935161" w14:textId="77777777" w:rsidR="009912BB" w:rsidRPr="008170E6" w:rsidRDefault="009912BB" w:rsidP="008170E6">
            <w:pPr>
              <w:spacing w:after="0" w:line="240" w:lineRule="auto"/>
              <w:rPr>
                <w:rFonts w:ascii="Times New Roman" w:eastAsia="Times New Roman" w:hAnsi="Times New Roman" w:cs="Times New Roman"/>
                <w:lang w:eastAsia="sk-SK"/>
              </w:rPr>
            </w:pPr>
          </w:p>
          <w:p w14:paraId="3D20BEA3" w14:textId="52699A5E"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 17 ods. 2 písm. a) z. č. 220/2004 Z. z.</w:t>
            </w:r>
          </w:p>
        </w:tc>
        <w:tc>
          <w:tcPr>
            <w:tcW w:w="1843" w:type="dxa"/>
            <w:shd w:val="clear" w:color="auto" w:fill="auto"/>
            <w:vAlign w:val="center"/>
          </w:tcPr>
          <w:p w14:paraId="2C3E4F4E" w14:textId="45049277" w:rsidR="009912BB" w:rsidRPr="008170E6" w:rsidRDefault="009912BB" w:rsidP="008170E6">
            <w:pPr>
              <w:pStyle w:val="gmail-m-1648484718305530482msolistparagraph"/>
              <w:spacing w:before="0" w:beforeAutospacing="0" w:after="0" w:afterAutospacing="0"/>
              <w:jc w:val="both"/>
              <w:rPr>
                <w:rFonts w:ascii="Times New Roman" w:eastAsia="Times New Roman" w:hAnsi="Times New Roman" w:cs="Times New Roman"/>
              </w:rPr>
            </w:pPr>
            <w:r w:rsidRPr="008170E6">
              <w:rPr>
                <w:rFonts w:ascii="Times New Roman" w:eastAsia="Times New Roman" w:hAnsi="Times New Roman" w:cs="Times New Roman"/>
              </w:rPr>
              <w:t>SK</w:t>
            </w:r>
          </w:p>
        </w:tc>
        <w:tc>
          <w:tcPr>
            <w:tcW w:w="992" w:type="dxa"/>
            <w:vAlign w:val="center"/>
          </w:tcPr>
          <w:p w14:paraId="6D751FE0" w14:textId="1A7B7D99"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1. apríl 2025</w:t>
            </w:r>
          </w:p>
        </w:tc>
        <w:tc>
          <w:tcPr>
            <w:tcW w:w="1160" w:type="dxa"/>
            <w:shd w:val="clear" w:color="auto" w:fill="auto"/>
            <w:noWrap/>
            <w:vAlign w:val="center"/>
          </w:tcPr>
          <w:p w14:paraId="4154CB96" w14:textId="0E703DA4"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vlastníci a užívatelia poľnohospodárskej pôdy</w:t>
            </w:r>
          </w:p>
        </w:tc>
        <w:tc>
          <w:tcPr>
            <w:tcW w:w="1033" w:type="dxa"/>
          </w:tcPr>
          <w:p w14:paraId="6D131307" w14:textId="28D20B7E"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tcPr>
          <w:p w14:paraId="0FCDF612" w14:textId="493C493A" w:rsidR="009912BB" w:rsidRPr="008170E6" w:rsidRDefault="009912BB" w:rsidP="008170E6">
            <w:pPr>
              <w:spacing w:after="0" w:line="240" w:lineRule="auto"/>
              <w:rPr>
                <w:rFonts w:ascii="Times New Roman" w:eastAsia="Times New Roman" w:hAnsi="Times New Roman" w:cs="Times New Roman"/>
                <w:lang w:eastAsia="sk-SK"/>
              </w:rPr>
            </w:pPr>
          </w:p>
        </w:tc>
        <w:tc>
          <w:tcPr>
            <w:tcW w:w="917" w:type="dxa"/>
            <w:shd w:val="clear" w:color="auto" w:fill="auto"/>
            <w:noWrap/>
          </w:tcPr>
          <w:p w14:paraId="6B65D432" w14:textId="03C21F6D"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vAlign w:val="center"/>
          </w:tcPr>
          <w:p w14:paraId="3C8A8331" w14:textId="39545BD0"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Out</w:t>
            </w:r>
          </w:p>
        </w:tc>
        <w:tc>
          <w:tcPr>
            <w:tcW w:w="708" w:type="dxa"/>
            <w:shd w:val="clear" w:color="auto" w:fill="auto"/>
            <w:noWrap/>
            <w:vAlign w:val="center"/>
          </w:tcPr>
          <w:p w14:paraId="28D7C08D" w14:textId="07E59749"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1</w:t>
            </w:r>
          </w:p>
        </w:tc>
        <w:tc>
          <w:tcPr>
            <w:tcW w:w="1134" w:type="dxa"/>
            <w:vAlign w:val="center"/>
          </w:tcPr>
          <w:p w14:paraId="78029B37" w14:textId="652D6D22"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0</w:t>
            </w:r>
          </w:p>
        </w:tc>
      </w:tr>
      <w:tr w:rsidR="009912BB" w:rsidRPr="008170E6" w14:paraId="4D05B96D" w14:textId="77777777" w:rsidTr="00DF5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059940D9" w:rsidR="009912BB" w:rsidRPr="008170E6" w:rsidRDefault="009912BB" w:rsidP="008170E6">
            <w:pPr>
              <w:pStyle w:val="Odsekzoznamu"/>
              <w:numPr>
                <w:ilvl w:val="0"/>
                <w:numId w:val="19"/>
              </w:numPr>
              <w:tabs>
                <w:tab w:val="left" w:pos="300"/>
              </w:tabs>
              <w:spacing w:after="0" w:line="240" w:lineRule="auto"/>
              <w:ind w:left="0" w:firstLine="0"/>
              <w:contextualSpacing w:val="0"/>
              <w:rPr>
                <w:rFonts w:ascii="Times New Roman" w:eastAsia="Times New Roman" w:hAnsi="Times New Roman" w:cs="Times New Roman"/>
                <w:lang w:eastAsia="sk-SK"/>
              </w:rPr>
            </w:pPr>
          </w:p>
        </w:tc>
        <w:tc>
          <w:tcPr>
            <w:tcW w:w="1740" w:type="dxa"/>
            <w:shd w:val="clear" w:color="auto" w:fill="auto"/>
            <w:vAlign w:val="center"/>
          </w:tcPr>
          <w:p w14:paraId="6F09B9B9" w14:textId="317E7AEC"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Výmera pozemku, pri ktorej nie je v hraniciach zastavaného územia obce potrebné vydať rozhodnutie o odňatí, sa zvyšuje    z 500 m</w:t>
            </w:r>
            <w:r w:rsidRPr="008170E6">
              <w:rPr>
                <w:rFonts w:ascii="Times New Roman" w:eastAsia="Times New Roman" w:hAnsi="Times New Roman" w:cs="Times New Roman"/>
                <w:vertAlign w:val="superscript"/>
                <w:lang w:eastAsia="sk-SK"/>
              </w:rPr>
              <w:t>2</w:t>
            </w:r>
            <w:r w:rsidRPr="008170E6">
              <w:rPr>
                <w:rFonts w:ascii="Times New Roman" w:eastAsia="Times New Roman" w:hAnsi="Times New Roman" w:cs="Times New Roman"/>
                <w:lang w:eastAsia="sk-SK"/>
              </w:rPr>
              <w:t xml:space="preserve"> na 1000 m</w:t>
            </w:r>
            <w:r w:rsidRPr="008170E6">
              <w:rPr>
                <w:rFonts w:ascii="Times New Roman" w:eastAsia="Times New Roman" w:hAnsi="Times New Roman" w:cs="Times New Roman"/>
                <w:vertAlign w:val="superscript"/>
                <w:lang w:eastAsia="sk-SK"/>
              </w:rPr>
              <w:t>2</w:t>
            </w:r>
            <w:r w:rsidRPr="008170E6">
              <w:rPr>
                <w:rFonts w:ascii="Times New Roman" w:eastAsia="Times New Roman" w:hAnsi="Times New Roman" w:cs="Times New Roman"/>
                <w:lang w:eastAsia="sk-SK"/>
              </w:rPr>
              <w:t>.</w:t>
            </w:r>
          </w:p>
        </w:tc>
        <w:tc>
          <w:tcPr>
            <w:tcW w:w="992" w:type="dxa"/>
          </w:tcPr>
          <w:p w14:paraId="0B5BCAEF" w14:textId="77777777"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w:t>
            </w:r>
          </w:p>
          <w:p w14:paraId="6326D60E" w14:textId="5B84F908"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 č. 220/2004 Z. z.</w:t>
            </w:r>
          </w:p>
        </w:tc>
        <w:tc>
          <w:tcPr>
            <w:tcW w:w="1134" w:type="dxa"/>
          </w:tcPr>
          <w:p w14:paraId="4EE241F9" w14:textId="7A235B72"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 čl. I bod 21</w:t>
            </w:r>
          </w:p>
          <w:p w14:paraId="5909D216" w14:textId="77777777" w:rsidR="009912BB" w:rsidRPr="008170E6" w:rsidRDefault="009912BB" w:rsidP="008170E6">
            <w:pPr>
              <w:spacing w:after="0" w:line="240" w:lineRule="auto"/>
              <w:rPr>
                <w:rFonts w:ascii="Times New Roman" w:eastAsia="Times New Roman" w:hAnsi="Times New Roman" w:cs="Times New Roman"/>
                <w:lang w:eastAsia="sk-SK"/>
              </w:rPr>
            </w:pPr>
          </w:p>
          <w:p w14:paraId="63EECDFF" w14:textId="38594E0F"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 17 ods. 2 písm. b) z. č. 220/2004 Z. z.</w:t>
            </w:r>
          </w:p>
        </w:tc>
        <w:tc>
          <w:tcPr>
            <w:tcW w:w="1843" w:type="dxa"/>
            <w:shd w:val="clear" w:color="auto" w:fill="auto"/>
            <w:vAlign w:val="center"/>
          </w:tcPr>
          <w:p w14:paraId="5B619397" w14:textId="1A43C804" w:rsidR="009912BB" w:rsidRPr="008170E6" w:rsidDel="00801596" w:rsidRDefault="009912BB" w:rsidP="008170E6">
            <w:pPr>
              <w:pStyle w:val="gmail-m-1648484718305530482msolistparagraph"/>
              <w:spacing w:before="0" w:beforeAutospacing="0" w:after="0" w:afterAutospacing="0"/>
              <w:jc w:val="both"/>
              <w:rPr>
                <w:rFonts w:ascii="Times New Roman" w:eastAsia="Times New Roman" w:hAnsi="Times New Roman" w:cs="Times New Roman"/>
              </w:rPr>
            </w:pPr>
            <w:r w:rsidRPr="008170E6">
              <w:rPr>
                <w:rFonts w:ascii="Times New Roman" w:eastAsia="Times New Roman" w:hAnsi="Times New Roman" w:cs="Times New Roman"/>
              </w:rPr>
              <w:t>SK</w:t>
            </w:r>
          </w:p>
        </w:tc>
        <w:tc>
          <w:tcPr>
            <w:tcW w:w="992" w:type="dxa"/>
            <w:vAlign w:val="center"/>
          </w:tcPr>
          <w:p w14:paraId="4967ED88" w14:textId="38D0A169"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lang w:eastAsia="sk-SK"/>
              </w:rPr>
              <w:t>1. apríl 2025</w:t>
            </w:r>
          </w:p>
        </w:tc>
        <w:tc>
          <w:tcPr>
            <w:tcW w:w="1160" w:type="dxa"/>
            <w:shd w:val="clear" w:color="auto" w:fill="auto"/>
            <w:noWrap/>
            <w:vAlign w:val="center"/>
          </w:tcPr>
          <w:p w14:paraId="331066E7" w14:textId="220E42B5"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vlastníci a užívatelia poľnohospodárskej pôdy</w:t>
            </w:r>
          </w:p>
        </w:tc>
        <w:tc>
          <w:tcPr>
            <w:tcW w:w="1033" w:type="dxa"/>
          </w:tcPr>
          <w:p w14:paraId="1748865C" w14:textId="052A1731"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tcPr>
          <w:p w14:paraId="5457341D" w14:textId="7A1EA843" w:rsidR="009912BB" w:rsidRPr="008170E6" w:rsidRDefault="009912BB" w:rsidP="008170E6">
            <w:pPr>
              <w:spacing w:after="0" w:line="240" w:lineRule="auto"/>
              <w:rPr>
                <w:rFonts w:ascii="Times New Roman" w:eastAsia="Times New Roman" w:hAnsi="Times New Roman" w:cs="Times New Roman"/>
                <w:lang w:eastAsia="sk-SK"/>
              </w:rPr>
            </w:pPr>
          </w:p>
        </w:tc>
        <w:tc>
          <w:tcPr>
            <w:tcW w:w="917" w:type="dxa"/>
            <w:shd w:val="clear" w:color="auto" w:fill="auto"/>
            <w:noWrap/>
          </w:tcPr>
          <w:p w14:paraId="30771B52" w14:textId="1D0F96F3" w:rsidR="009912BB" w:rsidRPr="008170E6" w:rsidRDefault="009912BB" w:rsidP="008170E6">
            <w:pPr>
              <w:spacing w:after="0" w:line="240" w:lineRule="auto"/>
              <w:rPr>
                <w:rFonts w:ascii="Times New Roman" w:eastAsia="Times New Roman" w:hAnsi="Times New Roman" w:cs="Times New Roman"/>
                <w:color w:val="000000"/>
                <w:lang w:eastAsia="sk-SK"/>
              </w:rPr>
            </w:pPr>
          </w:p>
        </w:tc>
        <w:tc>
          <w:tcPr>
            <w:tcW w:w="926" w:type="dxa"/>
            <w:shd w:val="clear" w:color="auto" w:fill="auto"/>
            <w:noWrap/>
            <w:vAlign w:val="center"/>
          </w:tcPr>
          <w:p w14:paraId="645FEA02" w14:textId="6ED3374E"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Out</w:t>
            </w:r>
          </w:p>
        </w:tc>
        <w:tc>
          <w:tcPr>
            <w:tcW w:w="708" w:type="dxa"/>
            <w:shd w:val="clear" w:color="auto" w:fill="auto"/>
            <w:noWrap/>
            <w:vAlign w:val="center"/>
          </w:tcPr>
          <w:p w14:paraId="4EA14B08" w14:textId="3DAFD839"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1</w:t>
            </w:r>
          </w:p>
        </w:tc>
        <w:tc>
          <w:tcPr>
            <w:tcW w:w="1134" w:type="dxa"/>
            <w:vAlign w:val="center"/>
          </w:tcPr>
          <w:p w14:paraId="1CC858DC" w14:textId="754C70E4"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0</w:t>
            </w:r>
          </w:p>
        </w:tc>
      </w:tr>
      <w:tr w:rsidR="009912BB" w:rsidRPr="008170E6" w14:paraId="3B2B13FC" w14:textId="77777777" w:rsidTr="00DF57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0B2BEB3" w14:textId="77777777" w:rsidR="009912BB" w:rsidRPr="008170E6" w:rsidRDefault="009912BB" w:rsidP="008170E6">
            <w:pPr>
              <w:pStyle w:val="Odsekzoznamu"/>
              <w:numPr>
                <w:ilvl w:val="0"/>
                <w:numId w:val="19"/>
              </w:numPr>
              <w:tabs>
                <w:tab w:val="left" w:pos="300"/>
              </w:tabs>
              <w:spacing w:after="0" w:line="240" w:lineRule="auto"/>
              <w:ind w:left="0" w:firstLine="0"/>
              <w:contextualSpacing w:val="0"/>
              <w:rPr>
                <w:rFonts w:ascii="Times New Roman" w:eastAsia="Times New Roman" w:hAnsi="Times New Roman" w:cs="Times New Roman"/>
                <w:lang w:eastAsia="sk-SK"/>
              </w:rPr>
            </w:pPr>
          </w:p>
        </w:tc>
        <w:tc>
          <w:tcPr>
            <w:tcW w:w="1740" w:type="dxa"/>
            <w:shd w:val="clear" w:color="auto" w:fill="auto"/>
            <w:vAlign w:val="center"/>
          </w:tcPr>
          <w:p w14:paraId="444AD196" w14:textId="303FD0E9"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Vypúšťa sa povinnosť žiadateľa predkladať prílohu s časovým harmonogramom a ekonomickým prepočtom nákladov.</w:t>
            </w:r>
          </w:p>
        </w:tc>
        <w:tc>
          <w:tcPr>
            <w:tcW w:w="992" w:type="dxa"/>
          </w:tcPr>
          <w:p w14:paraId="1365BC8C" w14:textId="77777777"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w:t>
            </w:r>
          </w:p>
          <w:p w14:paraId="05574B4D" w14:textId="40FEFA2F"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 č. 220/2004 Z. z.</w:t>
            </w:r>
          </w:p>
        </w:tc>
        <w:tc>
          <w:tcPr>
            <w:tcW w:w="1134" w:type="dxa"/>
          </w:tcPr>
          <w:p w14:paraId="53AF057E" w14:textId="30EEB842"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 čl. I bod 23</w:t>
            </w:r>
          </w:p>
          <w:p w14:paraId="30033293" w14:textId="77777777" w:rsidR="009912BB" w:rsidRPr="008170E6" w:rsidRDefault="009912BB" w:rsidP="008170E6">
            <w:pPr>
              <w:spacing w:after="0" w:line="240" w:lineRule="auto"/>
              <w:rPr>
                <w:rFonts w:ascii="Times New Roman" w:eastAsia="Times New Roman" w:hAnsi="Times New Roman" w:cs="Times New Roman"/>
                <w:lang w:eastAsia="sk-SK"/>
              </w:rPr>
            </w:pPr>
          </w:p>
          <w:p w14:paraId="00F07A5B" w14:textId="2B7B4FAD"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 17 ods. 5 písm. d) z. č. 220/2004 Z. z.</w:t>
            </w:r>
          </w:p>
        </w:tc>
        <w:tc>
          <w:tcPr>
            <w:tcW w:w="1843" w:type="dxa"/>
            <w:shd w:val="clear" w:color="auto" w:fill="auto"/>
            <w:vAlign w:val="center"/>
          </w:tcPr>
          <w:p w14:paraId="24929D13" w14:textId="13965195" w:rsidR="009912BB" w:rsidRPr="008170E6" w:rsidRDefault="009912BB" w:rsidP="008170E6">
            <w:pPr>
              <w:pStyle w:val="gmail-m-1648484718305530482msolistparagraph"/>
              <w:spacing w:before="0" w:beforeAutospacing="0" w:after="0" w:afterAutospacing="0"/>
              <w:jc w:val="both"/>
              <w:rPr>
                <w:rFonts w:ascii="Times New Roman" w:eastAsia="Times New Roman" w:hAnsi="Times New Roman" w:cs="Times New Roman"/>
              </w:rPr>
            </w:pPr>
            <w:r w:rsidRPr="008170E6">
              <w:rPr>
                <w:rFonts w:ascii="Times New Roman" w:eastAsia="Times New Roman" w:hAnsi="Times New Roman" w:cs="Times New Roman"/>
              </w:rPr>
              <w:t>SK</w:t>
            </w:r>
          </w:p>
        </w:tc>
        <w:tc>
          <w:tcPr>
            <w:tcW w:w="992" w:type="dxa"/>
            <w:vAlign w:val="center"/>
          </w:tcPr>
          <w:p w14:paraId="27A0953B" w14:textId="571EA683"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1. apríl 2025</w:t>
            </w:r>
          </w:p>
        </w:tc>
        <w:tc>
          <w:tcPr>
            <w:tcW w:w="1160" w:type="dxa"/>
            <w:shd w:val="clear" w:color="auto" w:fill="auto"/>
            <w:noWrap/>
            <w:vAlign w:val="center"/>
          </w:tcPr>
          <w:p w14:paraId="5689C7AB" w14:textId="533C033B"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vlastníci a užívatelia poľnohospodárskej pôdy</w:t>
            </w:r>
          </w:p>
        </w:tc>
        <w:tc>
          <w:tcPr>
            <w:tcW w:w="1033" w:type="dxa"/>
          </w:tcPr>
          <w:p w14:paraId="7EBDDB66" w14:textId="55CF06C7"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tcPr>
          <w:p w14:paraId="5496CC58" w14:textId="3553401A" w:rsidR="009912BB" w:rsidRPr="008170E6" w:rsidRDefault="009912BB" w:rsidP="008170E6">
            <w:pPr>
              <w:spacing w:after="0" w:line="240" w:lineRule="auto"/>
              <w:rPr>
                <w:rFonts w:ascii="Times New Roman" w:eastAsia="Times New Roman" w:hAnsi="Times New Roman" w:cs="Times New Roman"/>
                <w:lang w:eastAsia="sk-SK"/>
              </w:rPr>
            </w:pPr>
          </w:p>
        </w:tc>
        <w:tc>
          <w:tcPr>
            <w:tcW w:w="917" w:type="dxa"/>
            <w:shd w:val="clear" w:color="auto" w:fill="auto"/>
            <w:noWrap/>
          </w:tcPr>
          <w:p w14:paraId="382A2236" w14:textId="3AC8683A"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vAlign w:val="center"/>
          </w:tcPr>
          <w:p w14:paraId="436F4E14" w14:textId="0FC16ABA"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Out</w:t>
            </w:r>
          </w:p>
        </w:tc>
        <w:tc>
          <w:tcPr>
            <w:tcW w:w="708" w:type="dxa"/>
            <w:shd w:val="clear" w:color="auto" w:fill="auto"/>
            <w:noWrap/>
            <w:vAlign w:val="center"/>
          </w:tcPr>
          <w:p w14:paraId="201334A7" w14:textId="1465EEBE"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1</w:t>
            </w:r>
          </w:p>
        </w:tc>
        <w:tc>
          <w:tcPr>
            <w:tcW w:w="1134" w:type="dxa"/>
            <w:vAlign w:val="center"/>
          </w:tcPr>
          <w:p w14:paraId="1BD7A6EA" w14:textId="235BC76B"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0</w:t>
            </w:r>
          </w:p>
        </w:tc>
      </w:tr>
      <w:tr w:rsidR="009912BB" w:rsidRPr="008170E6" w14:paraId="48195AE8" w14:textId="77777777" w:rsidTr="00A03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635970D0" w:rsidR="009912BB" w:rsidRPr="008170E6" w:rsidRDefault="009912BB" w:rsidP="008170E6">
            <w:pPr>
              <w:pStyle w:val="Odsekzoznamu"/>
              <w:numPr>
                <w:ilvl w:val="0"/>
                <w:numId w:val="19"/>
              </w:numPr>
              <w:tabs>
                <w:tab w:val="left" w:pos="300"/>
              </w:tabs>
              <w:spacing w:after="0" w:line="240" w:lineRule="auto"/>
              <w:ind w:left="0" w:firstLine="0"/>
              <w:contextualSpacing w:val="0"/>
              <w:rPr>
                <w:rFonts w:ascii="Times New Roman" w:eastAsia="Times New Roman" w:hAnsi="Times New Roman" w:cs="Times New Roman"/>
                <w:lang w:eastAsia="sk-SK"/>
              </w:rPr>
            </w:pPr>
          </w:p>
        </w:tc>
        <w:tc>
          <w:tcPr>
            <w:tcW w:w="1740" w:type="dxa"/>
            <w:shd w:val="clear" w:color="auto" w:fill="auto"/>
            <w:vAlign w:val="center"/>
          </w:tcPr>
          <w:p w14:paraId="04DBC1D2" w14:textId="19E4EBF4"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 xml:space="preserve">Vypúšťa sa povinnosť žiadateľa doložiť výpočet výšky </w:t>
            </w:r>
            <w:r w:rsidRPr="008170E6">
              <w:rPr>
                <w:rFonts w:ascii="Times New Roman" w:eastAsia="Times New Roman" w:hAnsi="Times New Roman" w:cs="Times New Roman"/>
                <w:lang w:eastAsia="sk-SK"/>
              </w:rPr>
              <w:lastRenderedPageBreak/>
              <w:t>odvodu. Výpočet výšky odvodu vykoná správny orgán.</w:t>
            </w:r>
          </w:p>
        </w:tc>
        <w:tc>
          <w:tcPr>
            <w:tcW w:w="992" w:type="dxa"/>
          </w:tcPr>
          <w:p w14:paraId="229AA52B" w14:textId="77777777"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lastRenderedPageBreak/>
              <w:t>Návrh zákona,</w:t>
            </w:r>
          </w:p>
          <w:p w14:paraId="7DA73847" w14:textId="21BF17BF"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lastRenderedPageBreak/>
              <w:t>z. č. 220/2004 Z. z.</w:t>
            </w:r>
          </w:p>
        </w:tc>
        <w:tc>
          <w:tcPr>
            <w:tcW w:w="1134" w:type="dxa"/>
          </w:tcPr>
          <w:p w14:paraId="3A64E856" w14:textId="368BE774"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lastRenderedPageBreak/>
              <w:t>Návrh zákona: čl. I bod 25</w:t>
            </w:r>
          </w:p>
          <w:p w14:paraId="4C31F8A5" w14:textId="77777777" w:rsidR="009912BB" w:rsidRPr="008170E6" w:rsidRDefault="009912BB" w:rsidP="008170E6">
            <w:pPr>
              <w:spacing w:after="0" w:line="240" w:lineRule="auto"/>
              <w:rPr>
                <w:rFonts w:ascii="Times New Roman" w:eastAsia="Times New Roman" w:hAnsi="Times New Roman" w:cs="Times New Roman"/>
                <w:lang w:eastAsia="sk-SK"/>
              </w:rPr>
            </w:pPr>
          </w:p>
          <w:p w14:paraId="1326F554" w14:textId="7029EA2E"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lastRenderedPageBreak/>
              <w:t>§ 17 ods. 5 vypustenie písmena i) z. č. 220/2004 Z. z.</w:t>
            </w:r>
          </w:p>
        </w:tc>
        <w:tc>
          <w:tcPr>
            <w:tcW w:w="1843" w:type="dxa"/>
            <w:shd w:val="clear" w:color="auto" w:fill="auto"/>
            <w:vAlign w:val="center"/>
          </w:tcPr>
          <w:p w14:paraId="589E62F8" w14:textId="4BE21958" w:rsidR="009912BB" w:rsidRPr="008170E6" w:rsidDel="00801596" w:rsidRDefault="009912BB" w:rsidP="008170E6">
            <w:pPr>
              <w:pStyle w:val="gmail-m-1648484718305530482msolistparagraph"/>
              <w:spacing w:before="0" w:beforeAutospacing="0" w:after="0" w:afterAutospacing="0"/>
              <w:jc w:val="both"/>
              <w:rPr>
                <w:rFonts w:ascii="Times New Roman" w:eastAsia="Times New Roman" w:hAnsi="Times New Roman" w:cs="Times New Roman"/>
              </w:rPr>
            </w:pPr>
            <w:r w:rsidRPr="008170E6">
              <w:rPr>
                <w:rFonts w:ascii="Times New Roman" w:eastAsia="Times New Roman" w:hAnsi="Times New Roman" w:cs="Times New Roman"/>
              </w:rPr>
              <w:lastRenderedPageBreak/>
              <w:t>SK</w:t>
            </w:r>
          </w:p>
        </w:tc>
        <w:tc>
          <w:tcPr>
            <w:tcW w:w="992" w:type="dxa"/>
            <w:vAlign w:val="center"/>
          </w:tcPr>
          <w:p w14:paraId="4F479A8F" w14:textId="4235A66F"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lang w:eastAsia="sk-SK"/>
              </w:rPr>
              <w:t>1. apríl 2025</w:t>
            </w:r>
          </w:p>
        </w:tc>
        <w:tc>
          <w:tcPr>
            <w:tcW w:w="1160" w:type="dxa"/>
            <w:shd w:val="clear" w:color="auto" w:fill="auto"/>
            <w:noWrap/>
            <w:vAlign w:val="center"/>
          </w:tcPr>
          <w:p w14:paraId="09015152" w14:textId="378574C2"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vlastníci a užívatelia poľnohosp</w:t>
            </w:r>
            <w:r w:rsidRPr="008170E6">
              <w:rPr>
                <w:rFonts w:ascii="Times New Roman" w:eastAsia="Times New Roman" w:hAnsi="Times New Roman" w:cs="Times New Roman"/>
                <w:color w:val="000000"/>
                <w:lang w:eastAsia="sk-SK"/>
              </w:rPr>
              <w:lastRenderedPageBreak/>
              <w:t>odárskej pôdy</w:t>
            </w:r>
          </w:p>
        </w:tc>
        <w:tc>
          <w:tcPr>
            <w:tcW w:w="1033" w:type="dxa"/>
          </w:tcPr>
          <w:p w14:paraId="12996373" w14:textId="59A3944E"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tcPr>
          <w:p w14:paraId="2188F025" w14:textId="7FCC3F41" w:rsidR="009912BB" w:rsidRPr="008170E6" w:rsidRDefault="009912BB" w:rsidP="008170E6">
            <w:pPr>
              <w:spacing w:after="0" w:line="240" w:lineRule="auto"/>
              <w:rPr>
                <w:rFonts w:ascii="Times New Roman" w:eastAsia="Times New Roman" w:hAnsi="Times New Roman" w:cs="Times New Roman"/>
                <w:lang w:eastAsia="sk-SK"/>
              </w:rPr>
            </w:pPr>
          </w:p>
        </w:tc>
        <w:tc>
          <w:tcPr>
            <w:tcW w:w="917" w:type="dxa"/>
            <w:shd w:val="clear" w:color="auto" w:fill="auto"/>
            <w:noWrap/>
          </w:tcPr>
          <w:p w14:paraId="1D718C37" w14:textId="0243D843" w:rsidR="009912BB" w:rsidRPr="008170E6" w:rsidRDefault="009912BB" w:rsidP="008170E6">
            <w:pPr>
              <w:spacing w:after="0" w:line="240" w:lineRule="auto"/>
              <w:rPr>
                <w:rFonts w:ascii="Times New Roman" w:eastAsia="Times New Roman" w:hAnsi="Times New Roman" w:cs="Times New Roman"/>
                <w:color w:val="000000"/>
                <w:lang w:eastAsia="sk-SK"/>
              </w:rPr>
            </w:pPr>
          </w:p>
        </w:tc>
        <w:tc>
          <w:tcPr>
            <w:tcW w:w="926" w:type="dxa"/>
            <w:shd w:val="clear" w:color="auto" w:fill="auto"/>
            <w:noWrap/>
            <w:vAlign w:val="center"/>
          </w:tcPr>
          <w:p w14:paraId="281CEC7A" w14:textId="3A1CB793"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Out</w:t>
            </w:r>
          </w:p>
        </w:tc>
        <w:tc>
          <w:tcPr>
            <w:tcW w:w="708" w:type="dxa"/>
            <w:shd w:val="clear" w:color="auto" w:fill="auto"/>
            <w:noWrap/>
            <w:vAlign w:val="center"/>
          </w:tcPr>
          <w:p w14:paraId="78A8DDA2" w14:textId="70DA85D8"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1</w:t>
            </w:r>
          </w:p>
        </w:tc>
        <w:tc>
          <w:tcPr>
            <w:tcW w:w="1134" w:type="dxa"/>
            <w:vAlign w:val="center"/>
          </w:tcPr>
          <w:p w14:paraId="014B7D7A" w14:textId="1E84FBCA"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0</w:t>
            </w:r>
          </w:p>
        </w:tc>
      </w:tr>
      <w:tr w:rsidR="009912BB" w:rsidRPr="008170E6" w14:paraId="3D74C13E" w14:textId="77777777" w:rsidTr="00A03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BFCB80C" w14:textId="7949CD4D" w:rsidR="009912BB" w:rsidRPr="008170E6" w:rsidRDefault="009912BB" w:rsidP="008170E6">
            <w:pPr>
              <w:pStyle w:val="Odsekzoznamu"/>
              <w:numPr>
                <w:ilvl w:val="0"/>
                <w:numId w:val="19"/>
              </w:numPr>
              <w:tabs>
                <w:tab w:val="left" w:pos="300"/>
              </w:tabs>
              <w:spacing w:after="0" w:line="240" w:lineRule="auto"/>
              <w:ind w:left="0" w:firstLine="0"/>
              <w:contextualSpacing w:val="0"/>
              <w:rPr>
                <w:rFonts w:ascii="Times New Roman" w:eastAsia="Times New Roman" w:hAnsi="Times New Roman" w:cs="Times New Roman"/>
                <w:lang w:eastAsia="sk-SK"/>
              </w:rPr>
            </w:pPr>
          </w:p>
        </w:tc>
        <w:tc>
          <w:tcPr>
            <w:tcW w:w="1740" w:type="dxa"/>
            <w:shd w:val="clear" w:color="auto" w:fill="auto"/>
            <w:vAlign w:val="center"/>
          </w:tcPr>
          <w:p w14:paraId="292D8FA9" w14:textId="2F7B9BBC"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Zvyšuje sa horná sadzba pokuty za najzávažnejšie priestupky a dolná sadzba pokuty za iné správne delikty</w:t>
            </w:r>
          </w:p>
        </w:tc>
        <w:tc>
          <w:tcPr>
            <w:tcW w:w="992" w:type="dxa"/>
          </w:tcPr>
          <w:p w14:paraId="6AEF4201" w14:textId="77777777"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w:t>
            </w:r>
          </w:p>
          <w:p w14:paraId="53ECFE11" w14:textId="77C41D6A"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 č. 220/2004 Z. z.</w:t>
            </w:r>
          </w:p>
        </w:tc>
        <w:tc>
          <w:tcPr>
            <w:tcW w:w="1134" w:type="dxa"/>
          </w:tcPr>
          <w:p w14:paraId="62B42A90" w14:textId="1F0A2318"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 xml:space="preserve">Návrh zákona: čl. I bod </w:t>
            </w:r>
          </w:p>
          <w:p w14:paraId="45DBAA71" w14:textId="34D1D0AC"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 č. 220/2004 Z. z.</w:t>
            </w:r>
          </w:p>
        </w:tc>
        <w:tc>
          <w:tcPr>
            <w:tcW w:w="1843" w:type="dxa"/>
            <w:shd w:val="clear" w:color="auto" w:fill="auto"/>
            <w:vAlign w:val="center"/>
          </w:tcPr>
          <w:p w14:paraId="172689D8" w14:textId="2C813F4A" w:rsidR="009912BB" w:rsidRPr="008170E6" w:rsidRDefault="009912BB" w:rsidP="008170E6">
            <w:pPr>
              <w:pStyle w:val="gmail-m-1648484718305530482msolistparagraph"/>
              <w:spacing w:before="0" w:beforeAutospacing="0" w:after="0" w:afterAutospacing="0"/>
              <w:jc w:val="both"/>
              <w:rPr>
                <w:rFonts w:ascii="Times New Roman" w:eastAsia="Times New Roman" w:hAnsi="Times New Roman" w:cs="Times New Roman"/>
              </w:rPr>
            </w:pPr>
            <w:r w:rsidRPr="008170E6">
              <w:rPr>
                <w:rFonts w:ascii="Times New Roman" w:eastAsia="Times New Roman" w:hAnsi="Times New Roman" w:cs="Times New Roman"/>
              </w:rPr>
              <w:t>SK</w:t>
            </w:r>
          </w:p>
        </w:tc>
        <w:tc>
          <w:tcPr>
            <w:tcW w:w="992" w:type="dxa"/>
            <w:vAlign w:val="center"/>
          </w:tcPr>
          <w:p w14:paraId="3C82E050" w14:textId="1ED46749"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1. apríl 2025</w:t>
            </w:r>
          </w:p>
        </w:tc>
        <w:tc>
          <w:tcPr>
            <w:tcW w:w="1160" w:type="dxa"/>
            <w:shd w:val="clear" w:color="auto" w:fill="auto"/>
            <w:noWrap/>
            <w:vAlign w:val="center"/>
          </w:tcPr>
          <w:p w14:paraId="03E4236D" w14:textId="74C490D0"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vlastníci a užívatelia poľnohospodárskej pôdy</w:t>
            </w:r>
          </w:p>
        </w:tc>
        <w:tc>
          <w:tcPr>
            <w:tcW w:w="1033" w:type="dxa"/>
          </w:tcPr>
          <w:p w14:paraId="622FAF36" w14:textId="4A34BC4B"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tcPr>
          <w:p w14:paraId="5A61A7AC" w14:textId="297D6266" w:rsidR="009912BB" w:rsidRPr="008170E6" w:rsidRDefault="009912BB" w:rsidP="008170E6">
            <w:pPr>
              <w:spacing w:after="0" w:line="240" w:lineRule="auto"/>
              <w:rPr>
                <w:rFonts w:ascii="Times New Roman" w:eastAsia="Times New Roman" w:hAnsi="Times New Roman" w:cs="Times New Roman"/>
                <w:lang w:eastAsia="sk-SK"/>
              </w:rPr>
            </w:pPr>
          </w:p>
        </w:tc>
        <w:tc>
          <w:tcPr>
            <w:tcW w:w="917" w:type="dxa"/>
            <w:shd w:val="clear" w:color="auto" w:fill="auto"/>
            <w:noWrap/>
          </w:tcPr>
          <w:p w14:paraId="6F6A5164" w14:textId="737D5045" w:rsidR="009912BB" w:rsidRPr="008170E6" w:rsidRDefault="009912BB" w:rsidP="008170E6">
            <w:pPr>
              <w:spacing w:after="0" w:line="240" w:lineRule="auto"/>
              <w:rPr>
                <w:rFonts w:ascii="Times New Roman" w:eastAsia="Times New Roman" w:hAnsi="Times New Roman" w:cs="Times New Roman"/>
                <w:lang w:eastAsia="sk-SK"/>
              </w:rPr>
            </w:pPr>
          </w:p>
        </w:tc>
        <w:tc>
          <w:tcPr>
            <w:tcW w:w="926" w:type="dxa"/>
            <w:shd w:val="clear" w:color="auto" w:fill="auto"/>
            <w:noWrap/>
            <w:vAlign w:val="center"/>
          </w:tcPr>
          <w:p w14:paraId="5CC15659" w14:textId="6220B31E"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In</w:t>
            </w:r>
          </w:p>
        </w:tc>
        <w:tc>
          <w:tcPr>
            <w:tcW w:w="708" w:type="dxa"/>
            <w:shd w:val="clear" w:color="auto" w:fill="auto"/>
            <w:noWrap/>
            <w:vAlign w:val="center"/>
          </w:tcPr>
          <w:p w14:paraId="001A7944" w14:textId="02AFB14B" w:rsidR="009912BB" w:rsidRPr="008170E6" w:rsidRDefault="009912BB"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1</w:t>
            </w:r>
          </w:p>
        </w:tc>
        <w:tc>
          <w:tcPr>
            <w:tcW w:w="1134" w:type="dxa"/>
            <w:vAlign w:val="center"/>
          </w:tcPr>
          <w:p w14:paraId="12AACC85" w14:textId="268055C8" w:rsidR="009912BB" w:rsidRPr="008170E6" w:rsidRDefault="009912BB"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0</w:t>
            </w:r>
          </w:p>
        </w:tc>
      </w:tr>
      <w:tr w:rsidR="00E3415C" w:rsidRPr="008170E6" w14:paraId="0022723D" w14:textId="77777777" w:rsidTr="00A03F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42EE6F50" w14:textId="77777777" w:rsidR="00E3415C" w:rsidRPr="008170E6" w:rsidRDefault="00E3415C" w:rsidP="008170E6">
            <w:pPr>
              <w:pStyle w:val="Odsekzoznamu"/>
              <w:numPr>
                <w:ilvl w:val="0"/>
                <w:numId w:val="19"/>
              </w:numPr>
              <w:tabs>
                <w:tab w:val="left" w:pos="300"/>
              </w:tabs>
              <w:spacing w:after="0" w:line="240" w:lineRule="auto"/>
              <w:ind w:left="0" w:firstLine="0"/>
              <w:contextualSpacing w:val="0"/>
              <w:rPr>
                <w:rFonts w:ascii="Times New Roman" w:eastAsia="Times New Roman" w:hAnsi="Times New Roman" w:cs="Times New Roman"/>
                <w:lang w:eastAsia="sk-SK"/>
              </w:rPr>
            </w:pPr>
          </w:p>
        </w:tc>
        <w:tc>
          <w:tcPr>
            <w:tcW w:w="1740" w:type="dxa"/>
            <w:shd w:val="clear" w:color="auto" w:fill="auto"/>
            <w:vAlign w:val="center"/>
          </w:tcPr>
          <w:p w14:paraId="503128DA" w14:textId="14A449CC" w:rsidR="00E3415C" w:rsidRPr="008170E6" w:rsidRDefault="00E3415C"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Zníženie požiadavky na obsah org. látok v dnových sedimentoch s cieľom rozšíriť možnosť ich aplikácie na pôdu a predísť ich skládkovaniu</w:t>
            </w:r>
          </w:p>
        </w:tc>
        <w:tc>
          <w:tcPr>
            <w:tcW w:w="992" w:type="dxa"/>
          </w:tcPr>
          <w:p w14:paraId="72BA3787" w14:textId="77777777" w:rsidR="00E3415C" w:rsidRPr="008170E6" w:rsidRDefault="00E3415C"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w:t>
            </w:r>
          </w:p>
          <w:p w14:paraId="08F91667" w14:textId="6CF11E0B" w:rsidR="00E3415C" w:rsidRPr="008170E6" w:rsidRDefault="00E3415C"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z. č. 220/2004 Z. z.</w:t>
            </w:r>
          </w:p>
        </w:tc>
        <w:tc>
          <w:tcPr>
            <w:tcW w:w="1134" w:type="dxa"/>
          </w:tcPr>
          <w:p w14:paraId="1EF2AEBF" w14:textId="748CC337" w:rsidR="00E3415C" w:rsidRPr="008170E6" w:rsidRDefault="00E3415C"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Návrh zákona: čl. II</w:t>
            </w:r>
          </w:p>
          <w:p w14:paraId="39DDE0C6" w14:textId="77777777" w:rsidR="00E3415C" w:rsidRPr="008170E6" w:rsidRDefault="00E3415C" w:rsidP="008170E6">
            <w:pPr>
              <w:spacing w:after="0" w:line="240" w:lineRule="auto"/>
              <w:rPr>
                <w:rFonts w:ascii="Times New Roman" w:eastAsia="Times New Roman" w:hAnsi="Times New Roman" w:cs="Times New Roman"/>
                <w:lang w:eastAsia="sk-SK"/>
              </w:rPr>
            </w:pPr>
          </w:p>
          <w:p w14:paraId="56DD33C6" w14:textId="64FE9912" w:rsidR="00E3415C" w:rsidRPr="008170E6" w:rsidRDefault="00E3415C"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 5 ods. 1 z. č. 188/2003 Z. z.</w:t>
            </w:r>
          </w:p>
        </w:tc>
        <w:tc>
          <w:tcPr>
            <w:tcW w:w="1843" w:type="dxa"/>
            <w:shd w:val="clear" w:color="auto" w:fill="auto"/>
            <w:vAlign w:val="center"/>
          </w:tcPr>
          <w:p w14:paraId="7F182245" w14:textId="0B811672" w:rsidR="00E3415C" w:rsidRPr="008170E6" w:rsidRDefault="00E3415C" w:rsidP="008170E6">
            <w:pPr>
              <w:pStyle w:val="gmail-m-1648484718305530482msolistparagraph"/>
              <w:spacing w:before="0" w:beforeAutospacing="0" w:after="0" w:afterAutospacing="0"/>
              <w:jc w:val="both"/>
              <w:rPr>
                <w:rFonts w:ascii="Times New Roman" w:eastAsia="Times New Roman" w:hAnsi="Times New Roman" w:cs="Times New Roman"/>
              </w:rPr>
            </w:pPr>
            <w:r w:rsidRPr="008170E6">
              <w:rPr>
                <w:rFonts w:ascii="Times New Roman" w:eastAsia="Times New Roman" w:hAnsi="Times New Roman" w:cs="Times New Roman"/>
              </w:rPr>
              <w:t>SK/EÚ – úplná harmonizácia</w:t>
            </w:r>
          </w:p>
        </w:tc>
        <w:tc>
          <w:tcPr>
            <w:tcW w:w="992" w:type="dxa"/>
            <w:vAlign w:val="center"/>
          </w:tcPr>
          <w:p w14:paraId="5BE7AE1F" w14:textId="1DE5CB86" w:rsidR="00E3415C" w:rsidRPr="008170E6" w:rsidRDefault="00E3415C"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1. apríl 2025</w:t>
            </w:r>
          </w:p>
        </w:tc>
        <w:tc>
          <w:tcPr>
            <w:tcW w:w="1160" w:type="dxa"/>
            <w:shd w:val="clear" w:color="auto" w:fill="auto"/>
            <w:noWrap/>
            <w:vAlign w:val="center"/>
          </w:tcPr>
          <w:p w14:paraId="620FBB3E" w14:textId="5AB46A22" w:rsidR="00E3415C" w:rsidRPr="008170E6" w:rsidRDefault="00E3415C"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vlastníci a užívatelia poľnohospodárskej pôdy</w:t>
            </w:r>
          </w:p>
        </w:tc>
        <w:tc>
          <w:tcPr>
            <w:tcW w:w="1033" w:type="dxa"/>
          </w:tcPr>
          <w:p w14:paraId="108F2D84" w14:textId="4F245273" w:rsidR="00E3415C" w:rsidRPr="008170E6" w:rsidRDefault="00E3415C" w:rsidP="008170E6">
            <w:pPr>
              <w:spacing w:after="0" w:line="240" w:lineRule="auto"/>
              <w:rPr>
                <w:rFonts w:ascii="Times New Roman" w:eastAsia="Times New Roman" w:hAnsi="Times New Roman" w:cs="Times New Roman"/>
                <w:lang w:eastAsia="sk-SK"/>
              </w:rPr>
            </w:pPr>
          </w:p>
        </w:tc>
        <w:tc>
          <w:tcPr>
            <w:tcW w:w="926" w:type="dxa"/>
            <w:shd w:val="clear" w:color="auto" w:fill="auto"/>
            <w:noWrap/>
          </w:tcPr>
          <w:p w14:paraId="5FD1DB52" w14:textId="7E599E8C" w:rsidR="00E3415C" w:rsidRPr="008170E6" w:rsidRDefault="00E3415C" w:rsidP="008170E6">
            <w:pPr>
              <w:spacing w:after="0" w:line="240" w:lineRule="auto"/>
              <w:rPr>
                <w:rFonts w:ascii="Times New Roman" w:eastAsia="Times New Roman" w:hAnsi="Times New Roman" w:cs="Times New Roman"/>
                <w:lang w:eastAsia="sk-SK"/>
              </w:rPr>
            </w:pPr>
          </w:p>
        </w:tc>
        <w:tc>
          <w:tcPr>
            <w:tcW w:w="917" w:type="dxa"/>
            <w:shd w:val="clear" w:color="auto" w:fill="auto"/>
            <w:noWrap/>
          </w:tcPr>
          <w:p w14:paraId="10D7C5BD" w14:textId="64286FE5" w:rsidR="00E3415C" w:rsidRPr="008170E6" w:rsidRDefault="00E3415C" w:rsidP="008170E6">
            <w:pPr>
              <w:spacing w:after="0" w:line="240" w:lineRule="auto"/>
              <w:rPr>
                <w:rFonts w:ascii="Times New Roman" w:eastAsia="Times New Roman" w:hAnsi="Times New Roman" w:cs="Times New Roman"/>
                <w:lang w:eastAsia="sk-SK"/>
              </w:rPr>
            </w:pPr>
          </w:p>
        </w:tc>
        <w:tc>
          <w:tcPr>
            <w:tcW w:w="926" w:type="dxa"/>
            <w:shd w:val="clear" w:color="auto" w:fill="auto"/>
            <w:noWrap/>
            <w:vAlign w:val="center"/>
          </w:tcPr>
          <w:p w14:paraId="40C99B2F" w14:textId="151355BC" w:rsidR="00E3415C" w:rsidRPr="008170E6" w:rsidRDefault="00E3415C"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Out</w:t>
            </w:r>
          </w:p>
        </w:tc>
        <w:tc>
          <w:tcPr>
            <w:tcW w:w="708" w:type="dxa"/>
            <w:shd w:val="clear" w:color="auto" w:fill="auto"/>
            <w:noWrap/>
            <w:vAlign w:val="center"/>
          </w:tcPr>
          <w:p w14:paraId="11532468" w14:textId="5B6D235F" w:rsidR="00E3415C" w:rsidRPr="008170E6" w:rsidRDefault="00E3415C" w:rsidP="008170E6">
            <w:pPr>
              <w:spacing w:after="0" w:line="240" w:lineRule="auto"/>
              <w:rPr>
                <w:rFonts w:ascii="Times New Roman" w:eastAsia="Times New Roman" w:hAnsi="Times New Roman" w:cs="Times New Roman"/>
                <w:color w:val="000000"/>
                <w:lang w:eastAsia="sk-SK"/>
              </w:rPr>
            </w:pPr>
            <w:r w:rsidRPr="008170E6">
              <w:rPr>
                <w:rFonts w:ascii="Times New Roman" w:eastAsia="Times New Roman" w:hAnsi="Times New Roman" w:cs="Times New Roman"/>
                <w:color w:val="000000"/>
                <w:lang w:eastAsia="sk-SK"/>
              </w:rPr>
              <w:t>1</w:t>
            </w:r>
          </w:p>
        </w:tc>
        <w:tc>
          <w:tcPr>
            <w:tcW w:w="1134" w:type="dxa"/>
            <w:vAlign w:val="center"/>
          </w:tcPr>
          <w:p w14:paraId="3DA86473" w14:textId="6E891C33" w:rsidR="00E3415C" w:rsidRPr="008170E6" w:rsidRDefault="00E3415C" w:rsidP="008170E6">
            <w:pPr>
              <w:spacing w:after="0" w:line="240" w:lineRule="auto"/>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0</w:t>
            </w:r>
          </w:p>
        </w:tc>
      </w:tr>
    </w:tbl>
    <w:p w14:paraId="520734CD" w14:textId="77777777" w:rsidR="00054C41" w:rsidRPr="008170E6" w:rsidRDefault="00054C41" w:rsidP="008170E6">
      <w:pPr>
        <w:spacing w:after="0" w:line="240" w:lineRule="auto"/>
        <w:jc w:val="both"/>
        <w:rPr>
          <w:rFonts w:ascii="Times New Roman" w:eastAsia="Calibri" w:hAnsi="Times New Roman" w:cs="Times New Roman"/>
          <w:i/>
        </w:rPr>
      </w:pPr>
    </w:p>
    <w:p w14:paraId="798179FB" w14:textId="77777777" w:rsidR="00054C41" w:rsidRPr="008170E6" w:rsidRDefault="00054C41" w:rsidP="008170E6">
      <w:pPr>
        <w:spacing w:after="0" w:line="240" w:lineRule="auto"/>
        <w:jc w:val="both"/>
        <w:rPr>
          <w:rFonts w:ascii="Times New Roman" w:eastAsia="Calibri" w:hAnsi="Times New Roman" w:cs="Times New Roman"/>
          <w:b/>
          <w:bCs/>
          <w:i/>
        </w:rPr>
        <w:sectPr w:rsidR="00054C41" w:rsidRPr="008170E6" w:rsidSect="00142154">
          <w:pgSz w:w="16838" w:h="11906" w:orient="landscape"/>
          <w:pgMar w:top="1417" w:right="1417" w:bottom="1417" w:left="1417" w:header="708" w:footer="708" w:gutter="0"/>
          <w:cols w:space="708"/>
          <w:docGrid w:linePitch="360"/>
        </w:sectPr>
      </w:pPr>
    </w:p>
    <w:p w14:paraId="77318665" w14:textId="77777777" w:rsidR="00054C41" w:rsidRPr="008170E6" w:rsidRDefault="00511F8F" w:rsidP="008170E6">
      <w:pPr>
        <w:spacing w:after="0" w:line="240" w:lineRule="auto"/>
        <w:jc w:val="both"/>
        <w:rPr>
          <w:rFonts w:ascii="Times New Roman" w:eastAsia="Calibri" w:hAnsi="Times New Roman" w:cs="Times New Roman"/>
          <w:b/>
          <w:bCs/>
          <w:i/>
          <w:u w:val="single"/>
        </w:rPr>
      </w:pPr>
      <w:r w:rsidRPr="008170E6">
        <w:rPr>
          <w:rFonts w:ascii="Times New Roman" w:eastAsia="Calibri" w:hAnsi="Times New Roman" w:cs="Times New Roman"/>
          <w:b/>
          <w:bCs/>
          <w:i/>
          <w:u w:val="single"/>
        </w:rPr>
        <w:lastRenderedPageBreak/>
        <w:t xml:space="preserve">3.1.3 </w:t>
      </w:r>
      <w:r w:rsidR="00054C41" w:rsidRPr="008170E6">
        <w:rPr>
          <w:rFonts w:ascii="Times New Roman" w:eastAsia="Calibri" w:hAnsi="Times New Roman" w:cs="Times New Roman"/>
          <w:b/>
          <w:bCs/>
          <w:i/>
          <w:u w:val="single"/>
        </w:rPr>
        <w:t xml:space="preserve">Doplňujúce informácie k spôsobu výpočtu vplyvov jednotlivých regulácií na zmenu nákladov </w:t>
      </w:r>
    </w:p>
    <w:p w14:paraId="41FDC667" w14:textId="668FE7AA" w:rsidR="00054C41" w:rsidRPr="008170E6" w:rsidRDefault="00054C41" w:rsidP="008170E6">
      <w:pPr>
        <w:spacing w:after="0" w:line="240" w:lineRule="auto"/>
        <w:jc w:val="both"/>
        <w:rPr>
          <w:rFonts w:ascii="Times New Roman" w:eastAsia="Calibri" w:hAnsi="Times New Roman" w:cs="Times New Roman"/>
          <w:bCs/>
          <w:i/>
          <w:iCs/>
          <w:color w:val="000000"/>
        </w:rPr>
      </w:pPr>
      <w:r w:rsidRPr="008170E6">
        <w:rPr>
          <w:rFonts w:ascii="Times New Roman" w:eastAsia="Calibri" w:hAnsi="Times New Roman" w:cs="Times New Roman"/>
          <w:bCs/>
          <w:i/>
          <w:iCs/>
          <w:color w:val="000000"/>
        </w:rPr>
        <w:t>Osobitne pri každej regulácii s vplyvom na PP zhodnotenom v tabuľke č. 2 uveďte doplňujúce informácie tak, aby mohol byť skontrolovaný spôsob a správnosť výpočtov. Uveďte najmä, ako ste vypočítali vplyvy a z akého zdroja ste čerpali početnosti (uveď</w:t>
      </w:r>
      <w:bookmarkStart w:id="0" w:name="_GoBack"/>
      <w:bookmarkEnd w:id="0"/>
      <w:r w:rsidRPr="008170E6">
        <w:rPr>
          <w:rFonts w:ascii="Times New Roman" w:eastAsia="Calibri" w:hAnsi="Times New Roman" w:cs="Times New Roman"/>
          <w:bCs/>
          <w:i/>
          <w:iCs/>
          <w:color w:val="000000"/>
        </w:rPr>
        <w:t>te aj link na konkrétne štatistiky, ak sú dostupné na internete). Jednotlivé regulácie môžu mať jeden alebo viac typov nákladov (A. Dane, odvody, clá</w:t>
      </w:r>
      <w:r w:rsidR="00A000DA" w:rsidRPr="008170E6">
        <w:rPr>
          <w:rFonts w:ascii="Times New Roman" w:eastAsia="Calibri" w:hAnsi="Times New Roman" w:cs="Times New Roman"/>
          <w:bCs/>
          <w:i/>
          <w:iCs/>
          <w:color w:val="000000"/>
        </w:rPr>
        <w:t xml:space="preserve"> a poplatky, ktorých cieľom je znižovať negatívne externality</w:t>
      </w:r>
      <w:r w:rsidRPr="008170E6">
        <w:rPr>
          <w:rFonts w:ascii="Times New Roman" w:eastAsia="Calibri" w:hAnsi="Times New Roman" w:cs="Times New Roman"/>
          <w:bCs/>
          <w:i/>
          <w:iCs/>
          <w:color w:val="000000"/>
        </w:rPr>
        <w:t xml:space="preserve">, B. </w:t>
      </w:r>
      <w:r w:rsidR="00A000DA" w:rsidRPr="008170E6">
        <w:rPr>
          <w:rFonts w:ascii="Times New Roman" w:eastAsia="Calibri" w:hAnsi="Times New Roman" w:cs="Times New Roman"/>
          <w:bCs/>
          <w:i/>
          <w:iCs/>
          <w:color w:val="000000"/>
        </w:rPr>
        <w:t>Iné p</w:t>
      </w:r>
      <w:r w:rsidRPr="008170E6">
        <w:rPr>
          <w:rFonts w:ascii="Times New Roman" w:eastAsia="Calibri" w:hAnsi="Times New Roman" w:cs="Times New Roman"/>
          <w:bCs/>
          <w:i/>
          <w:iCs/>
          <w:color w:val="000000"/>
        </w:rPr>
        <w:t xml:space="preserve">oplatky, C. </w:t>
      </w:r>
      <w:r w:rsidR="00024EE4" w:rsidRPr="008170E6">
        <w:rPr>
          <w:rFonts w:ascii="Times New Roman" w:eastAsia="Calibri" w:hAnsi="Times New Roman" w:cs="Times New Roman"/>
          <w:bCs/>
          <w:i/>
          <w:iCs/>
          <w:color w:val="000000"/>
        </w:rPr>
        <w:t>Sankcie</w:t>
      </w:r>
      <w:r w:rsidRPr="008170E6">
        <w:rPr>
          <w:rFonts w:ascii="Times New Roman" w:eastAsia="Calibri" w:hAnsi="Times New Roman" w:cs="Times New Roman"/>
          <w:bCs/>
          <w:i/>
          <w:iCs/>
          <w:color w:val="000000"/>
        </w:rPr>
        <w:t xml:space="preserve">, D. </w:t>
      </w:r>
      <w:r w:rsidR="00024EE4" w:rsidRPr="008170E6">
        <w:rPr>
          <w:rFonts w:ascii="Times New Roman" w:eastAsia="Calibri" w:hAnsi="Times New Roman" w:cs="Times New Roman"/>
          <w:bCs/>
          <w:i/>
          <w:iCs/>
          <w:color w:val="000000"/>
        </w:rPr>
        <w:t>Nepriame finančné náklady</w:t>
      </w:r>
      <w:r w:rsidR="00A94A0F" w:rsidRPr="008170E6">
        <w:rPr>
          <w:rFonts w:ascii="Times New Roman" w:eastAsia="Calibri" w:hAnsi="Times New Roman" w:cs="Times New Roman"/>
          <w:bCs/>
          <w:i/>
          <w:iCs/>
          <w:color w:val="000000"/>
        </w:rPr>
        <w:t xml:space="preserve">, E. </w:t>
      </w:r>
      <w:r w:rsidRPr="008170E6">
        <w:rPr>
          <w:rFonts w:ascii="Times New Roman" w:eastAsia="Calibri" w:hAnsi="Times New Roman" w:cs="Times New Roman"/>
          <w:bCs/>
          <w:i/>
          <w:iCs/>
          <w:color w:val="000000"/>
        </w:rPr>
        <w:t xml:space="preserve">Administratívne náklady). Rozčleňte ich a vypočítajte v súlade s metodickým postupom. </w:t>
      </w:r>
    </w:p>
    <w:p w14:paraId="0EB298DB" w14:textId="77777777" w:rsidR="00512BA7" w:rsidRPr="008170E6" w:rsidRDefault="00511F8F" w:rsidP="008170E6">
      <w:pPr>
        <w:spacing w:after="0" w:line="240" w:lineRule="auto"/>
        <w:jc w:val="both"/>
        <w:rPr>
          <w:rFonts w:ascii="Times New Roman" w:eastAsia="Calibri" w:hAnsi="Times New Roman" w:cs="Times New Roman"/>
          <w:b/>
          <w:bCs/>
          <w:i/>
          <w:u w:val="single"/>
        </w:rPr>
      </w:pPr>
      <w:r w:rsidRPr="008170E6">
        <w:rPr>
          <w:rFonts w:ascii="Times New Roman" w:eastAsia="Calibri" w:hAnsi="Times New Roman" w:cs="Times New Roman"/>
          <w:b/>
          <w:bCs/>
          <w:i/>
          <w:u w:val="single"/>
        </w:rPr>
        <w:t xml:space="preserve">3.1.4 </w:t>
      </w:r>
      <w:r w:rsidR="001E24E8" w:rsidRPr="008170E6">
        <w:rPr>
          <w:rFonts w:ascii="Times New Roman" w:eastAsia="Calibri" w:hAnsi="Times New Roman" w:cs="Times New Roman"/>
          <w:b/>
          <w:bCs/>
          <w:i/>
          <w:u w:val="single"/>
        </w:rPr>
        <w:t>Odôvodnenie</w:t>
      </w:r>
      <w:r w:rsidR="008F6ADE" w:rsidRPr="008170E6">
        <w:rPr>
          <w:rFonts w:ascii="Times New Roman" w:eastAsia="Calibri" w:hAnsi="Times New Roman" w:cs="Times New Roman"/>
          <w:b/>
          <w:bCs/>
          <w:i/>
          <w:u w:val="single"/>
        </w:rPr>
        <w:t xml:space="preserve"> goldplating</w:t>
      </w:r>
      <w:r w:rsidR="0016512E" w:rsidRPr="008170E6">
        <w:rPr>
          <w:rFonts w:ascii="Times New Roman" w:eastAsia="Calibri" w:hAnsi="Times New Roman" w:cs="Times New Roman"/>
          <w:b/>
          <w:bCs/>
          <w:i/>
          <w:u w:val="single"/>
        </w:rPr>
        <w:t>u</w:t>
      </w:r>
      <w:r w:rsidR="001E24E8" w:rsidRPr="008170E6">
        <w:rPr>
          <w:rFonts w:ascii="Times New Roman" w:eastAsia="Calibri" w:hAnsi="Times New Roman" w:cs="Times New Roman"/>
          <w:b/>
          <w:bCs/>
          <w:i/>
          <w:u w:val="single"/>
        </w:rPr>
        <w:t xml:space="preserve"> </w:t>
      </w:r>
      <w:r w:rsidR="008F6ADE" w:rsidRPr="008170E6">
        <w:rPr>
          <w:rFonts w:ascii="Times New Roman" w:eastAsia="Calibri" w:hAnsi="Times New Roman" w:cs="Times New Roman"/>
          <w:b/>
          <w:bCs/>
          <w:i/>
          <w:u w:val="single"/>
        </w:rPr>
        <w:t xml:space="preserve">podľa bodu 4 časti III </w:t>
      </w:r>
      <w:r w:rsidR="00FA6FFE" w:rsidRPr="008170E6">
        <w:rPr>
          <w:rFonts w:ascii="Times New Roman" w:eastAsia="Calibri" w:hAnsi="Times New Roman" w:cs="Times New Roman"/>
          <w:b/>
          <w:bCs/>
          <w:i/>
          <w:u w:val="single"/>
        </w:rPr>
        <w:t>j</w:t>
      </w:r>
      <w:r w:rsidR="001E24E8" w:rsidRPr="008170E6">
        <w:rPr>
          <w:rFonts w:ascii="Times New Roman" w:eastAsia="Calibri" w:hAnsi="Times New Roman" w:cs="Times New Roman"/>
          <w:b/>
          <w:bCs/>
          <w:i/>
          <w:u w:val="single"/>
        </w:rPr>
        <w:t xml:space="preserve">ednotnej metodiky </w:t>
      </w:r>
      <w:r w:rsidR="00400BA5" w:rsidRPr="008170E6">
        <w:rPr>
          <w:rFonts w:ascii="Times New Roman" w:eastAsia="Calibri" w:hAnsi="Times New Roman" w:cs="Times New Roman"/>
          <w:b/>
          <w:bCs/>
          <w:i/>
          <w:u w:val="single"/>
        </w:rPr>
        <w:t>a </w:t>
      </w:r>
      <w:r w:rsidR="00B21D1F" w:rsidRPr="008170E6">
        <w:rPr>
          <w:rFonts w:ascii="Times New Roman" w:eastAsia="Calibri" w:hAnsi="Times New Roman" w:cs="Times New Roman"/>
          <w:b/>
          <w:bCs/>
          <w:i/>
          <w:u w:val="single"/>
        </w:rPr>
        <w:t>ďalšie</w:t>
      </w:r>
      <w:r w:rsidR="00400BA5" w:rsidRPr="008170E6">
        <w:rPr>
          <w:rFonts w:ascii="Times New Roman" w:eastAsia="Calibri" w:hAnsi="Times New Roman" w:cs="Times New Roman"/>
          <w:b/>
          <w:bCs/>
          <w:i/>
          <w:u w:val="single"/>
        </w:rPr>
        <w:t xml:space="preserve"> d</w:t>
      </w:r>
      <w:r w:rsidR="00512BA7" w:rsidRPr="008170E6">
        <w:rPr>
          <w:rFonts w:ascii="Times New Roman" w:eastAsia="Calibri" w:hAnsi="Times New Roman" w:cs="Times New Roman"/>
          <w:b/>
          <w:bCs/>
          <w:i/>
          <w:u w:val="single"/>
        </w:rPr>
        <w:t>oplňujúce informácie</w:t>
      </w:r>
      <w:r w:rsidR="00512BA7" w:rsidRPr="008170E6">
        <w:rPr>
          <w:rStyle w:val="Odkaznapoznmkupodiarou"/>
          <w:rFonts w:ascii="Times New Roman" w:eastAsia="Calibri" w:hAnsi="Times New Roman" w:cs="Times New Roman"/>
          <w:b/>
          <w:bCs/>
          <w:i/>
          <w:u w:val="single"/>
        </w:rPr>
        <w:footnoteReference w:id="2"/>
      </w:r>
      <w:r w:rsidR="00512BA7" w:rsidRPr="008170E6">
        <w:rPr>
          <w:rFonts w:ascii="Times New Roman" w:eastAsia="Calibri" w:hAnsi="Times New Roman" w:cs="Times New Roman"/>
          <w:b/>
          <w:bCs/>
          <w:i/>
          <w:u w:val="single"/>
        </w:rPr>
        <w:t xml:space="preserve"> </w:t>
      </w:r>
    </w:p>
    <w:p w14:paraId="749EC593" w14:textId="77777777" w:rsidR="000C5419" w:rsidRPr="008170E6" w:rsidRDefault="000C5419" w:rsidP="008170E6">
      <w:pPr>
        <w:spacing w:after="0" w:line="240" w:lineRule="auto"/>
        <w:jc w:val="both"/>
        <w:rPr>
          <w:rFonts w:ascii="Times New Roman" w:eastAsia="Calibri" w:hAnsi="Times New Roman" w:cs="Times New Roman"/>
          <w:bCs/>
          <w:i/>
          <w:iCs/>
          <w:color w:val="000000"/>
        </w:rPr>
      </w:pPr>
      <w:r w:rsidRPr="008170E6">
        <w:rPr>
          <w:rFonts w:ascii="Times New Roman" w:eastAsia="Calibri" w:hAnsi="Times New Roman" w:cs="Times New Roman"/>
          <w:bCs/>
          <w:i/>
          <w:iCs/>
          <w:color w:val="000000"/>
        </w:rPr>
        <w:t xml:space="preserve">Požadované informácie </w:t>
      </w:r>
      <w:r w:rsidR="00F153D7" w:rsidRPr="008170E6">
        <w:rPr>
          <w:rFonts w:ascii="Times New Roman" w:eastAsia="Calibri" w:hAnsi="Times New Roman" w:cs="Times New Roman"/>
          <w:bCs/>
          <w:i/>
          <w:iCs/>
          <w:color w:val="000000"/>
        </w:rPr>
        <w:t>uveďte</w:t>
      </w:r>
      <w:r w:rsidRPr="008170E6">
        <w:rPr>
          <w:rFonts w:ascii="Times New Roman" w:eastAsia="Calibri" w:hAnsi="Times New Roman" w:cs="Times New Roman"/>
          <w:bCs/>
          <w:i/>
          <w:iCs/>
          <w:color w:val="000000"/>
        </w:rPr>
        <w:t xml:space="preserve"> osobitne ku každému identifikovanému goldplatingu (ku každej hodnotenej regulácii s goldplatingom osobitne). </w:t>
      </w:r>
    </w:p>
    <w:p w14:paraId="0A0E8534" w14:textId="77777777" w:rsidR="0016512E" w:rsidRPr="008170E6" w:rsidRDefault="0016512E" w:rsidP="008170E6">
      <w:pPr>
        <w:spacing w:after="0" w:line="240" w:lineRule="auto"/>
        <w:jc w:val="both"/>
        <w:rPr>
          <w:rFonts w:ascii="Times New Roman" w:eastAsia="Calibri" w:hAnsi="Times New Roman" w:cs="Times New Roman"/>
          <w:bCs/>
          <w:i/>
          <w:iCs/>
          <w:color w:val="000000"/>
        </w:rPr>
      </w:pPr>
      <w:r w:rsidRPr="008170E6">
        <w:rPr>
          <w:rFonts w:ascii="Times New Roman" w:eastAsia="Calibri" w:hAnsi="Times New Roman" w:cs="Times New Roman"/>
          <w:bCs/>
          <w:i/>
          <w:iCs/>
          <w:color w:val="000000"/>
        </w:rPr>
        <w:t>Uveďte</w:t>
      </w:r>
      <w:r w:rsidR="004239D1" w:rsidRPr="008170E6">
        <w:rPr>
          <w:rFonts w:ascii="Times New Roman" w:eastAsia="Calibri" w:hAnsi="Times New Roman" w:cs="Times New Roman"/>
          <w:bCs/>
          <w:i/>
          <w:iCs/>
          <w:color w:val="000000"/>
        </w:rPr>
        <w:t xml:space="preserve"> odôvodnenie goldplatingu z hľadiska jeho nespochybniteľnej nevyhnutnosti.</w:t>
      </w:r>
      <w:r w:rsidRPr="008170E6">
        <w:rPr>
          <w:rFonts w:ascii="Times New Roman" w:eastAsia="Calibri" w:hAnsi="Times New Roman" w:cs="Times New Roman"/>
          <w:bCs/>
          <w:i/>
          <w:iCs/>
          <w:color w:val="000000"/>
        </w:rPr>
        <w:t xml:space="preserve"> Odôvodnenie doložte dôkladným hodnotením prínosov a</w:t>
      </w:r>
      <w:r w:rsidR="005D39D8" w:rsidRPr="008170E6">
        <w:rPr>
          <w:rFonts w:ascii="Times New Roman" w:eastAsia="Calibri" w:hAnsi="Times New Roman" w:cs="Times New Roman"/>
          <w:bCs/>
          <w:i/>
          <w:iCs/>
          <w:color w:val="000000"/>
        </w:rPr>
        <w:t> </w:t>
      </w:r>
      <w:r w:rsidRPr="008170E6">
        <w:rPr>
          <w:rFonts w:ascii="Times New Roman" w:eastAsia="Calibri" w:hAnsi="Times New Roman" w:cs="Times New Roman"/>
          <w:bCs/>
          <w:i/>
          <w:iCs/>
          <w:color w:val="000000"/>
        </w:rPr>
        <w:t>nákladov</w:t>
      </w:r>
      <w:r w:rsidR="005D39D8" w:rsidRPr="008170E6">
        <w:rPr>
          <w:rFonts w:ascii="Times New Roman" w:eastAsia="Calibri" w:hAnsi="Times New Roman" w:cs="Times New Roman"/>
          <w:bCs/>
          <w:i/>
          <w:iCs/>
          <w:color w:val="000000"/>
        </w:rPr>
        <w:t>. Uveďte zvážené alternatívne riešenia.</w:t>
      </w:r>
      <w:r w:rsidRPr="008170E6">
        <w:rPr>
          <w:rFonts w:ascii="Times New Roman" w:eastAsia="Calibri" w:hAnsi="Times New Roman" w:cs="Times New Roman"/>
          <w:bCs/>
          <w:i/>
          <w:iCs/>
          <w:color w:val="000000"/>
        </w:rPr>
        <w:t>.</w:t>
      </w:r>
    </w:p>
    <w:p w14:paraId="6A18C579" w14:textId="0633763E" w:rsidR="000C5419" w:rsidRPr="008170E6" w:rsidRDefault="00990813" w:rsidP="008170E6">
      <w:pPr>
        <w:spacing w:after="0" w:line="240" w:lineRule="auto"/>
        <w:jc w:val="both"/>
        <w:rPr>
          <w:rFonts w:ascii="Times New Roman" w:eastAsia="Calibri" w:hAnsi="Times New Roman" w:cs="Times New Roman"/>
          <w:bCs/>
          <w:i/>
          <w:iCs/>
          <w:color w:val="000000"/>
        </w:rPr>
      </w:pPr>
      <w:r w:rsidRPr="008170E6">
        <w:rPr>
          <w:rFonts w:ascii="Times New Roman" w:eastAsia="Calibri" w:hAnsi="Times New Roman" w:cs="Times New Roman"/>
          <w:bCs/>
          <w:i/>
          <w:iCs/>
          <w:color w:val="000000"/>
        </w:rPr>
        <w:t xml:space="preserve">Zároveň </w:t>
      </w:r>
      <w:r w:rsidR="00D5309D" w:rsidRPr="008170E6">
        <w:rPr>
          <w:rFonts w:ascii="Times New Roman" w:eastAsia="Calibri" w:hAnsi="Times New Roman" w:cs="Times New Roman"/>
          <w:bCs/>
          <w:i/>
          <w:iCs/>
          <w:color w:val="000000"/>
        </w:rPr>
        <w:t>uveďte</w:t>
      </w:r>
      <w:r w:rsidR="000C5419" w:rsidRPr="008170E6">
        <w:rPr>
          <w:rFonts w:ascii="Times New Roman" w:eastAsia="Calibri" w:hAnsi="Times New Roman" w:cs="Times New Roman"/>
          <w:bCs/>
          <w:i/>
          <w:iCs/>
          <w:color w:val="000000"/>
        </w:rPr>
        <w:t xml:space="preserve"> konkrétne informácie súvisiace s </w:t>
      </w:r>
      <w:r w:rsidRPr="008170E6">
        <w:rPr>
          <w:rFonts w:ascii="Times New Roman" w:eastAsia="Calibri" w:hAnsi="Times New Roman" w:cs="Times New Roman"/>
          <w:bCs/>
          <w:i/>
          <w:iCs/>
          <w:color w:val="000000"/>
        </w:rPr>
        <w:t xml:space="preserve">kategóriou </w:t>
      </w:r>
      <w:r w:rsidR="000C5419" w:rsidRPr="008170E6">
        <w:rPr>
          <w:rFonts w:ascii="Times New Roman" w:eastAsia="Calibri" w:hAnsi="Times New Roman" w:cs="Times New Roman"/>
          <w:bCs/>
          <w:i/>
          <w:iCs/>
          <w:color w:val="000000"/>
        </w:rPr>
        <w:t>goldplatingu</w:t>
      </w:r>
      <w:r w:rsidRPr="008170E6">
        <w:rPr>
          <w:rFonts w:ascii="Times New Roman" w:eastAsia="Calibri" w:hAnsi="Times New Roman" w:cs="Times New Roman"/>
          <w:bCs/>
          <w:i/>
          <w:iCs/>
          <w:color w:val="000000"/>
        </w:rPr>
        <w:t xml:space="preserve"> podľa </w:t>
      </w:r>
      <w:r w:rsidR="00D114ED" w:rsidRPr="008170E6">
        <w:rPr>
          <w:rFonts w:ascii="Times New Roman" w:eastAsia="Calibri" w:hAnsi="Times New Roman" w:cs="Times New Roman"/>
          <w:bCs/>
          <w:i/>
          <w:iCs/>
          <w:color w:val="000000"/>
        </w:rPr>
        <w:t>jednotnej metodiky</w:t>
      </w:r>
      <w:r w:rsidR="000C5419" w:rsidRPr="008170E6">
        <w:rPr>
          <w:rFonts w:ascii="Times New Roman" w:eastAsia="Calibri" w:hAnsi="Times New Roman" w:cs="Times New Roman"/>
          <w:bCs/>
          <w:i/>
          <w:iCs/>
          <w:color w:val="000000"/>
        </w:rPr>
        <w:t xml:space="preserve">,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 požiadavky. </w:t>
      </w:r>
    </w:p>
    <w:p w14:paraId="535CABE4" w14:textId="77777777" w:rsidR="00D114ED" w:rsidRPr="008170E6" w:rsidRDefault="00D114ED" w:rsidP="008170E6">
      <w:pPr>
        <w:spacing w:after="0" w:line="240" w:lineRule="auto"/>
        <w:jc w:val="both"/>
        <w:rPr>
          <w:rFonts w:ascii="Times New Roman" w:eastAsia="Calibri" w:hAnsi="Times New Roman" w:cs="Times New Roman"/>
          <w:bCs/>
          <w:i/>
          <w:iCs/>
        </w:rPr>
      </w:pPr>
      <w:r w:rsidRPr="008170E6">
        <w:rPr>
          <w:rFonts w:ascii="Times New Roman" w:eastAsia="Calibri" w:hAnsi="Times New Roman" w:cs="Times New Roman"/>
          <w:bCs/>
          <w:i/>
          <w:iCs/>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39D55FBC" w14:textId="44B0C098" w:rsidR="00054C41" w:rsidRPr="008170E6" w:rsidRDefault="00054C41" w:rsidP="008170E6">
      <w:pPr>
        <w:spacing w:after="0" w:line="240" w:lineRule="auto"/>
        <w:jc w:val="both"/>
        <w:rPr>
          <w:rFonts w:ascii="Times New Roman" w:eastAsia="Calibri" w:hAnsi="Times New Roman" w:cs="Times New Roman"/>
          <w:b/>
        </w:rPr>
      </w:pPr>
      <w:r w:rsidRPr="008170E6">
        <w:rPr>
          <w:rFonts w:ascii="Times New Roman" w:eastAsia="Calibri" w:hAnsi="Times New Roman" w:cs="Times New Roman"/>
          <w:b/>
        </w:rPr>
        <w:t>3.2 Vyhodnotenie konzultácií s podnikateľskými subjektmi pred predbežným pripomienkovým konaním</w:t>
      </w:r>
    </w:p>
    <w:p w14:paraId="49C67761"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Uveďte hlavné body konzultácií a ich závery. </w:t>
      </w:r>
    </w:p>
    <w:p w14:paraId="3EE20844"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Alternatívne namiesto vypĺňania bodu 3.2 môžete uviesť ako samostatnú prílohu tejto analýzy Záznam z konzultácií obsahujúci požadované informácie. </w:t>
      </w:r>
    </w:p>
    <w:p w14:paraId="21D0CB39" w14:textId="20C6C970" w:rsidR="002A193D" w:rsidRPr="008170E6" w:rsidRDefault="002A193D" w:rsidP="008170E6">
      <w:pPr>
        <w:spacing w:after="0" w:line="240" w:lineRule="auto"/>
        <w:jc w:val="both"/>
        <w:rPr>
          <w:rFonts w:ascii="Times New Roman" w:eastAsia="Calibri" w:hAnsi="Times New Roman" w:cs="Times New Roman"/>
        </w:rPr>
      </w:pPr>
      <w:r w:rsidRPr="008170E6">
        <w:rPr>
          <w:rFonts w:ascii="Times New Roman" w:eastAsia="Calibri" w:hAnsi="Times New Roman" w:cs="Times New Roman"/>
        </w:rPr>
        <w:t>Predbežná informácia PI/2024/65 pripomienkovaná 25.3.-9.4.2024.</w:t>
      </w:r>
    </w:p>
    <w:p w14:paraId="178FF6D3" w14:textId="4C3B8100" w:rsidR="00054C41" w:rsidRPr="008170E6" w:rsidRDefault="004262B0" w:rsidP="008170E6">
      <w:pPr>
        <w:spacing w:after="0" w:line="240" w:lineRule="auto"/>
        <w:jc w:val="both"/>
        <w:rPr>
          <w:rFonts w:ascii="Times New Roman" w:eastAsia="Calibri" w:hAnsi="Times New Roman" w:cs="Times New Roman"/>
        </w:rPr>
      </w:pPr>
      <w:r w:rsidRPr="008170E6">
        <w:rPr>
          <w:rFonts w:ascii="Times New Roman" w:eastAsia="Calibri" w:hAnsi="Times New Roman" w:cs="Times New Roman"/>
        </w:rPr>
        <w:t>Podklad pre konzultácie zverejnený na web. sídle MPRV SR 25.4.-25.5.2024.</w:t>
      </w:r>
    </w:p>
    <w:p w14:paraId="078C776A" w14:textId="49B6F3F7" w:rsidR="002A193D" w:rsidRPr="008170E6" w:rsidRDefault="002A193D" w:rsidP="008170E6">
      <w:pPr>
        <w:spacing w:after="0" w:line="240" w:lineRule="auto"/>
        <w:jc w:val="both"/>
        <w:rPr>
          <w:rFonts w:ascii="Times New Roman" w:eastAsia="Calibri" w:hAnsi="Times New Roman" w:cs="Times New Roman"/>
        </w:rPr>
      </w:pPr>
      <w:r w:rsidRPr="008170E6">
        <w:rPr>
          <w:rFonts w:ascii="Times New Roman" w:eastAsia="Calibri" w:hAnsi="Times New Roman" w:cs="Times New Roman"/>
        </w:rPr>
        <w:t>Záujem o konzultácií už v pripomienkovaní PI prejavil a rokovania sa zúčastnil zástupca SPPK a RÚZ. Prerokovanie online formou 22.4.2024.</w:t>
      </w:r>
    </w:p>
    <w:p w14:paraId="0ABA20FA" w14:textId="45376BA5" w:rsidR="002A193D" w:rsidRPr="008170E6" w:rsidRDefault="002A193D" w:rsidP="008170E6">
      <w:pPr>
        <w:spacing w:after="0" w:line="240" w:lineRule="auto"/>
        <w:jc w:val="both"/>
        <w:rPr>
          <w:rFonts w:ascii="Times New Roman" w:eastAsia="Calibri" w:hAnsi="Times New Roman" w:cs="Times New Roman"/>
        </w:rPr>
      </w:pPr>
      <w:r w:rsidRPr="008170E6">
        <w:rPr>
          <w:rFonts w:ascii="Times New Roman" w:eastAsia="Calibri" w:hAnsi="Times New Roman" w:cs="Times New Roman"/>
        </w:rPr>
        <w:t>Neboli vznesené žiadne podnety, návrhy ani pripomienky.</w:t>
      </w:r>
    </w:p>
    <w:p w14:paraId="55F61285" w14:textId="77777777" w:rsidR="004262B0" w:rsidRPr="008170E6" w:rsidRDefault="004262B0" w:rsidP="008170E6">
      <w:pPr>
        <w:spacing w:after="0" w:line="240" w:lineRule="auto"/>
        <w:jc w:val="both"/>
        <w:rPr>
          <w:rFonts w:ascii="Times New Roman" w:eastAsia="Calibri" w:hAnsi="Times New Roman" w:cs="Times New Roman"/>
          <w:i/>
        </w:rPr>
      </w:pPr>
    </w:p>
    <w:p w14:paraId="609C066C" w14:textId="77777777" w:rsidR="00054C41" w:rsidRPr="008170E6" w:rsidRDefault="00054C41" w:rsidP="008170E6">
      <w:pPr>
        <w:spacing w:after="0" w:line="240" w:lineRule="auto"/>
        <w:jc w:val="both"/>
        <w:rPr>
          <w:rFonts w:ascii="Times New Roman" w:eastAsia="Calibri" w:hAnsi="Times New Roman" w:cs="Times New Roman"/>
          <w:b/>
        </w:rPr>
      </w:pPr>
      <w:bookmarkStart w:id="1" w:name="_Hlk47698091"/>
      <w:r w:rsidRPr="008170E6">
        <w:rPr>
          <w:rFonts w:ascii="Times New Roman" w:eastAsia="Calibri" w:hAnsi="Times New Roman" w:cs="Times New Roman"/>
          <w:b/>
        </w:rPr>
        <w:t>3.3 Vplyvy na konkurencieschopnosť a produktivitu</w:t>
      </w:r>
    </w:p>
    <w:bookmarkEnd w:id="1"/>
    <w:p w14:paraId="5CAF52B4" w14:textId="1847126B"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Dochádza k vytvoreniu resp. k zmene bariér na trhu? </w:t>
      </w:r>
      <w:r w:rsidR="000265CD" w:rsidRPr="008170E6">
        <w:rPr>
          <w:rFonts w:ascii="Times New Roman" w:eastAsia="Calibri" w:hAnsi="Times New Roman" w:cs="Times New Roman"/>
          <w:i/>
        </w:rPr>
        <w:t>- NIE</w:t>
      </w:r>
    </w:p>
    <w:p w14:paraId="4D049DE7" w14:textId="4CF2E962"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Bude sa s niektorými podnikmi alebo produktmi zaobchádzať v porovnateľnej situácii rôzne (napr. špeciálne režimy pre mikro, malé a stredné podniky tzv. MSP)? </w:t>
      </w:r>
      <w:r w:rsidR="000265CD" w:rsidRPr="008170E6">
        <w:rPr>
          <w:rFonts w:ascii="Times New Roman" w:eastAsia="Calibri" w:hAnsi="Times New Roman" w:cs="Times New Roman"/>
          <w:i/>
        </w:rPr>
        <w:t xml:space="preserve"> - NIE</w:t>
      </w:r>
    </w:p>
    <w:p w14:paraId="452A90F1" w14:textId="4F75C1EE"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lastRenderedPageBreak/>
        <w:t xml:space="preserve">Ovplyvňuje zmena regulácie cezhraničné investície (príliv/odliv zahraničných investícií resp. uplatnenie slovenských podnikov na zahraničných trhoch)? </w:t>
      </w:r>
      <w:r w:rsidR="000265CD" w:rsidRPr="008170E6">
        <w:rPr>
          <w:rFonts w:ascii="Times New Roman" w:eastAsia="Calibri" w:hAnsi="Times New Roman" w:cs="Times New Roman"/>
          <w:i/>
        </w:rPr>
        <w:t>- NIE</w:t>
      </w:r>
    </w:p>
    <w:p w14:paraId="0D074838" w14:textId="57E7585D"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Ovplyvní dostupnosť základných zdrojov (financie, pracovná sila, suroviny, mechanizmy, energie atď.)? </w:t>
      </w:r>
      <w:r w:rsidR="000265CD" w:rsidRPr="008170E6">
        <w:rPr>
          <w:rFonts w:ascii="Times New Roman" w:eastAsia="Calibri" w:hAnsi="Times New Roman" w:cs="Times New Roman"/>
          <w:i/>
        </w:rPr>
        <w:t>- NIE</w:t>
      </w:r>
    </w:p>
    <w:p w14:paraId="6B6A3793" w14:textId="3B58A163" w:rsidR="007259CB" w:rsidRPr="008170E6" w:rsidRDefault="007259CB"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Ovplyvňuje zmena regulácie inovácie, vedu a výskum?</w:t>
      </w:r>
      <w:r w:rsidR="000265CD" w:rsidRPr="008170E6">
        <w:rPr>
          <w:rFonts w:ascii="Times New Roman" w:eastAsia="Calibri" w:hAnsi="Times New Roman" w:cs="Times New Roman"/>
          <w:i/>
        </w:rPr>
        <w:t xml:space="preserve"> - NIE</w:t>
      </w:r>
    </w:p>
    <w:p w14:paraId="2DA3F573" w14:textId="77777777" w:rsidR="000265CD" w:rsidRPr="008170E6" w:rsidRDefault="00BA19B0"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Ak bol identifikovaný goldplating</w:t>
      </w:r>
      <w:r w:rsidR="00581EB9" w:rsidRPr="008170E6">
        <w:rPr>
          <w:rFonts w:ascii="Times New Roman" w:eastAsia="Calibri" w:hAnsi="Times New Roman" w:cs="Times New Roman"/>
          <w:i/>
        </w:rPr>
        <w:t>,</w:t>
      </w:r>
      <w:r w:rsidR="00C14655" w:rsidRPr="008170E6">
        <w:rPr>
          <w:rFonts w:ascii="Times New Roman" w:eastAsia="Calibri" w:hAnsi="Times New Roman" w:cs="Times New Roman"/>
          <w:i/>
        </w:rPr>
        <w:t xml:space="preserve"> prispieva k zníženiu konkurencieschopnosti a produktivity?</w:t>
      </w:r>
      <w:r w:rsidR="000265CD" w:rsidRPr="008170E6">
        <w:rPr>
          <w:rFonts w:ascii="Times New Roman" w:eastAsia="Calibri" w:hAnsi="Times New Roman" w:cs="Times New Roman"/>
          <w:i/>
        </w:rPr>
        <w:t xml:space="preserve"> - NEBOL</w:t>
      </w:r>
      <w:r w:rsidR="00581EB9" w:rsidRPr="008170E6">
        <w:rPr>
          <w:rFonts w:ascii="Times New Roman" w:eastAsia="Calibri" w:hAnsi="Times New Roman" w:cs="Times New Roman"/>
          <w:i/>
        </w:rPr>
        <w:t xml:space="preserve"> </w:t>
      </w:r>
    </w:p>
    <w:p w14:paraId="64E2FB2F" w14:textId="672FBE49" w:rsidR="00BA19B0" w:rsidRPr="008170E6" w:rsidRDefault="00581EB9"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Akým spôsobom?</w:t>
      </w:r>
    </w:p>
    <w:p w14:paraId="72CB32C8" w14:textId="2EFA2DE5"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iCs/>
        </w:rPr>
        <w:t>Ako prispieva zmena regulácie k cieľu Slovenska mať najlepšie podnikateľské prostredie spomedzi susediacich krajín EÚ?</w:t>
      </w:r>
      <w:r w:rsidR="000265CD" w:rsidRPr="008170E6">
        <w:rPr>
          <w:rFonts w:ascii="Times New Roman" w:eastAsia="Calibri" w:hAnsi="Times New Roman" w:cs="Times New Roman"/>
          <w:i/>
          <w:iCs/>
        </w:rPr>
        <w:t xml:space="preserve"> - NIJAKO</w:t>
      </w:r>
    </w:p>
    <w:p w14:paraId="78681465" w14:textId="77777777" w:rsidR="00054C41" w:rsidRPr="008170E6" w:rsidRDefault="00054C41" w:rsidP="008170E6">
      <w:pPr>
        <w:spacing w:after="0" w:line="240" w:lineRule="auto"/>
        <w:jc w:val="both"/>
        <w:rPr>
          <w:rFonts w:ascii="Times New Roman" w:eastAsia="Calibri" w:hAnsi="Times New Roman" w:cs="Times New Roman"/>
          <w:i/>
        </w:rPr>
      </w:pPr>
    </w:p>
    <w:p w14:paraId="4BE35CB4" w14:textId="77777777" w:rsidR="00054C41" w:rsidRPr="008170E6" w:rsidRDefault="00054C41" w:rsidP="008170E6">
      <w:pPr>
        <w:spacing w:after="0" w:line="240" w:lineRule="auto"/>
        <w:jc w:val="both"/>
        <w:rPr>
          <w:rFonts w:ascii="Times New Roman" w:eastAsia="Calibri" w:hAnsi="Times New Roman" w:cs="Times New Roman"/>
          <w:b/>
          <w:i/>
        </w:rPr>
      </w:pPr>
      <w:r w:rsidRPr="008170E6">
        <w:rPr>
          <w:rFonts w:ascii="Times New Roman" w:eastAsia="Calibri" w:hAnsi="Times New Roman" w:cs="Times New Roman"/>
          <w:b/>
          <w:i/>
        </w:rPr>
        <w:t>Konkurencieschopnosť:</w:t>
      </w:r>
    </w:p>
    <w:p w14:paraId="6C684286"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Na základe uvedených odpovedí zaškrtnite a popíšte, či materiál konkurencieschopnosť:</w:t>
      </w:r>
    </w:p>
    <w:p w14:paraId="76CD0669" w14:textId="7B4140C1" w:rsidR="00054C41" w:rsidRPr="008170E6" w:rsidRDefault="00560CE3" w:rsidP="008170E6">
      <w:pPr>
        <w:spacing w:after="0" w:line="240" w:lineRule="auto"/>
        <w:jc w:val="both"/>
        <w:rPr>
          <w:rFonts w:ascii="Times New Roman" w:eastAsia="Calibri" w:hAnsi="Times New Roman" w:cs="Times New Roman"/>
          <w:i/>
        </w:rPr>
      </w:pPr>
      <w:sdt>
        <w:sdtPr>
          <w:rPr>
            <w:rFonts w:ascii="Times New Roman" w:eastAsia="Calibri" w:hAnsi="Times New Roman" w:cs="Times New Roman"/>
            <w:i/>
          </w:rPr>
          <w:id w:val="798576880"/>
        </w:sdtPr>
        <w:sdtEndPr/>
        <w:sdtContent>
          <w:sdt>
            <w:sdtPr>
              <w:rPr>
                <w:rFonts w:ascii="Times New Roman" w:eastAsia="Calibri" w:hAnsi="Times New Roman" w:cs="Times New Roman"/>
                <w:i/>
              </w:rPr>
              <w:id w:val="1729873660"/>
            </w:sdtPr>
            <w:sdtEndPr/>
            <w:sdtContent>
              <w:r w:rsidR="00054C41" w:rsidRPr="008170E6">
                <w:rPr>
                  <w:rFonts w:ascii="Segoe UI Symbol" w:eastAsia="Calibri" w:hAnsi="Segoe UI Symbol" w:cs="Segoe UI Symbol"/>
                  <w:i/>
                </w:rPr>
                <w:t>☐</w:t>
              </w:r>
            </w:sdtContent>
          </w:sdt>
        </w:sdtContent>
      </w:sdt>
      <w:r w:rsidR="00054C41" w:rsidRPr="008170E6">
        <w:rPr>
          <w:rFonts w:ascii="Times New Roman" w:eastAsia="Calibri" w:hAnsi="Times New Roman" w:cs="Times New Roman"/>
          <w:i/>
        </w:rPr>
        <w:t xml:space="preserve"> zvyšuje  </w:t>
      </w:r>
      <w:r w:rsidR="00054C41" w:rsidRPr="008170E6">
        <w:rPr>
          <w:rFonts w:ascii="Times New Roman" w:eastAsia="Calibri" w:hAnsi="Times New Roman" w:cs="Times New Roman"/>
          <w:i/>
        </w:rPr>
        <w:tab/>
      </w:r>
      <w:sdt>
        <w:sdtPr>
          <w:rPr>
            <w:rFonts w:ascii="Times New Roman" w:eastAsia="Calibri" w:hAnsi="Times New Roman" w:cs="Times New Roman"/>
            <w:i/>
          </w:rPr>
          <w:id w:val="410579887"/>
        </w:sdtPr>
        <w:sdtEndPr/>
        <w:sdtContent>
          <w:sdt>
            <w:sdtPr>
              <w:rPr>
                <w:rFonts w:ascii="Times New Roman" w:eastAsia="Calibri" w:hAnsi="Times New Roman" w:cs="Times New Roman"/>
                <w:i/>
              </w:rPr>
              <w:id w:val="-80300261"/>
            </w:sdtPr>
            <w:sdtEndPr/>
            <w:sdtContent>
              <w:r w:rsidR="000265CD" w:rsidRPr="008170E6">
                <w:rPr>
                  <w:rFonts w:ascii="Times New Roman" w:eastAsia="Calibri" w:hAnsi="Times New Roman" w:cs="Times New Roman"/>
                  <w:i/>
                </w:rPr>
                <w:sym w:font="Wingdings 2" w:char="F054"/>
              </w:r>
            </w:sdtContent>
          </w:sdt>
        </w:sdtContent>
      </w:sdt>
      <w:r w:rsidR="00054C41" w:rsidRPr="008170E6">
        <w:rPr>
          <w:rFonts w:ascii="Times New Roman" w:eastAsia="Calibri" w:hAnsi="Times New Roman" w:cs="Times New Roman"/>
          <w:i/>
        </w:rPr>
        <w:t xml:space="preserve"> nemení</w:t>
      </w:r>
      <w:r w:rsidR="00054C41" w:rsidRPr="008170E6">
        <w:rPr>
          <w:rFonts w:ascii="Times New Roman" w:eastAsia="Calibri" w:hAnsi="Times New Roman" w:cs="Times New Roman"/>
          <w:i/>
        </w:rPr>
        <w:tab/>
      </w:r>
      <w:sdt>
        <w:sdtPr>
          <w:rPr>
            <w:rFonts w:ascii="Times New Roman" w:eastAsia="Calibri" w:hAnsi="Times New Roman" w:cs="Times New Roman"/>
            <w:i/>
          </w:rPr>
          <w:id w:val="-474604883"/>
        </w:sdtPr>
        <w:sdtEndPr/>
        <w:sdtContent>
          <w:sdt>
            <w:sdtPr>
              <w:rPr>
                <w:rFonts w:ascii="Times New Roman" w:eastAsia="Calibri" w:hAnsi="Times New Roman" w:cs="Times New Roman"/>
                <w:i/>
              </w:rPr>
              <w:id w:val="-1706551548"/>
            </w:sdtPr>
            <w:sdtEndPr/>
            <w:sdtContent>
              <w:r w:rsidR="00054C41" w:rsidRPr="008170E6">
                <w:rPr>
                  <w:rFonts w:ascii="Segoe UI Symbol" w:eastAsia="Calibri" w:hAnsi="Segoe UI Symbol" w:cs="Segoe UI Symbol"/>
                  <w:i/>
                </w:rPr>
                <w:t>☐</w:t>
              </w:r>
            </w:sdtContent>
          </w:sdt>
        </w:sdtContent>
      </w:sdt>
      <w:r w:rsidR="00054C41" w:rsidRPr="008170E6">
        <w:rPr>
          <w:rFonts w:ascii="Times New Roman" w:eastAsia="Calibri" w:hAnsi="Times New Roman" w:cs="Times New Roman"/>
          <w:i/>
        </w:rPr>
        <w:t xml:space="preserve"> znižuje</w:t>
      </w:r>
    </w:p>
    <w:p w14:paraId="327BF48A" w14:textId="77777777" w:rsidR="00054C41" w:rsidRPr="008170E6" w:rsidRDefault="00054C41" w:rsidP="008170E6">
      <w:pPr>
        <w:spacing w:after="0" w:line="240" w:lineRule="auto"/>
        <w:jc w:val="both"/>
        <w:rPr>
          <w:rFonts w:ascii="Times New Roman" w:eastAsia="Calibri" w:hAnsi="Times New Roman" w:cs="Times New Roman"/>
          <w:i/>
        </w:rPr>
      </w:pPr>
    </w:p>
    <w:p w14:paraId="5861187D" w14:textId="77777777" w:rsidR="00054C41" w:rsidRPr="008170E6" w:rsidRDefault="00054C41" w:rsidP="008170E6">
      <w:pPr>
        <w:spacing w:after="0" w:line="240" w:lineRule="auto"/>
        <w:jc w:val="both"/>
        <w:rPr>
          <w:rFonts w:ascii="Times New Roman" w:eastAsia="Calibri" w:hAnsi="Times New Roman" w:cs="Times New Roman"/>
          <w:b/>
          <w:i/>
        </w:rPr>
      </w:pPr>
      <w:r w:rsidRPr="008170E6">
        <w:rPr>
          <w:rFonts w:ascii="Times New Roman" w:eastAsia="Calibri" w:hAnsi="Times New Roman" w:cs="Times New Roman"/>
          <w:b/>
          <w:i/>
        </w:rPr>
        <w:t>Produktivita:</w:t>
      </w:r>
    </w:p>
    <w:p w14:paraId="1FF562C2"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Aký má materiál vplyv na zmenu pomeru medzi produkciou podnikov a ich nákladmi? </w:t>
      </w:r>
    </w:p>
    <w:p w14:paraId="23DA5CCF" w14:textId="77777777" w:rsidR="00054C41" w:rsidRPr="008170E6" w:rsidRDefault="00054C41" w:rsidP="008170E6">
      <w:pPr>
        <w:spacing w:after="0" w:line="240" w:lineRule="auto"/>
        <w:jc w:val="both"/>
        <w:rPr>
          <w:rFonts w:ascii="Times New Roman" w:eastAsia="Calibri" w:hAnsi="Times New Roman" w:cs="Times New Roman"/>
          <w:i/>
        </w:rPr>
      </w:pPr>
    </w:p>
    <w:p w14:paraId="0B272ABF" w14:textId="77777777" w:rsidR="00054C41" w:rsidRPr="008170E6" w:rsidRDefault="00054C41"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Na základe uvedenej odpovede zaškrtnite a popíšte, či materiál produktivitu:</w:t>
      </w:r>
    </w:p>
    <w:p w14:paraId="789FA80A" w14:textId="20D2A1C2" w:rsidR="00054C41" w:rsidRPr="008170E6" w:rsidRDefault="00560CE3" w:rsidP="008170E6">
      <w:pPr>
        <w:spacing w:after="0" w:line="240" w:lineRule="auto"/>
        <w:jc w:val="both"/>
        <w:rPr>
          <w:rFonts w:ascii="Times New Roman" w:eastAsia="Calibri" w:hAnsi="Times New Roman" w:cs="Times New Roman"/>
          <w:i/>
        </w:rPr>
      </w:pPr>
      <w:sdt>
        <w:sdtPr>
          <w:rPr>
            <w:rFonts w:ascii="Times New Roman" w:eastAsia="Calibri" w:hAnsi="Times New Roman" w:cs="Times New Roman"/>
            <w:i/>
          </w:rPr>
          <w:id w:val="-1545903528"/>
        </w:sdtPr>
        <w:sdtEndPr/>
        <w:sdtContent>
          <w:sdt>
            <w:sdtPr>
              <w:rPr>
                <w:rFonts w:ascii="Times New Roman" w:eastAsia="Calibri" w:hAnsi="Times New Roman" w:cs="Times New Roman"/>
                <w:i/>
              </w:rPr>
              <w:id w:val="825715010"/>
            </w:sdtPr>
            <w:sdtEndPr/>
            <w:sdtContent>
              <w:r w:rsidR="00054C41" w:rsidRPr="008170E6">
                <w:rPr>
                  <w:rFonts w:ascii="Segoe UI Symbol" w:eastAsia="Calibri" w:hAnsi="Segoe UI Symbol" w:cs="Segoe UI Symbol"/>
                  <w:i/>
                </w:rPr>
                <w:t>☐</w:t>
              </w:r>
            </w:sdtContent>
          </w:sdt>
        </w:sdtContent>
      </w:sdt>
      <w:r w:rsidR="00054C41" w:rsidRPr="008170E6">
        <w:rPr>
          <w:rFonts w:ascii="Times New Roman" w:eastAsia="Calibri" w:hAnsi="Times New Roman" w:cs="Times New Roman"/>
          <w:i/>
        </w:rPr>
        <w:t xml:space="preserve"> zvyšuje  </w:t>
      </w:r>
      <w:r w:rsidR="00054C41" w:rsidRPr="008170E6">
        <w:rPr>
          <w:rFonts w:ascii="Times New Roman" w:eastAsia="Calibri" w:hAnsi="Times New Roman" w:cs="Times New Roman"/>
          <w:i/>
        </w:rPr>
        <w:tab/>
      </w:r>
      <w:sdt>
        <w:sdtPr>
          <w:rPr>
            <w:rFonts w:ascii="Times New Roman" w:eastAsia="Calibri" w:hAnsi="Times New Roman" w:cs="Times New Roman"/>
            <w:i/>
          </w:rPr>
          <w:id w:val="-353966921"/>
        </w:sdtPr>
        <w:sdtEndPr/>
        <w:sdtContent>
          <w:sdt>
            <w:sdtPr>
              <w:rPr>
                <w:rFonts w:ascii="Times New Roman" w:eastAsia="Calibri" w:hAnsi="Times New Roman" w:cs="Times New Roman"/>
                <w:i/>
              </w:rPr>
              <w:id w:val="-1222205104"/>
            </w:sdtPr>
            <w:sdtEndPr/>
            <w:sdtContent>
              <w:r w:rsidR="000265CD" w:rsidRPr="008170E6">
                <w:rPr>
                  <w:rFonts w:ascii="Times New Roman" w:eastAsia="Calibri" w:hAnsi="Times New Roman" w:cs="Times New Roman"/>
                  <w:i/>
                </w:rPr>
                <w:sym w:font="Wingdings 2" w:char="F054"/>
              </w:r>
            </w:sdtContent>
          </w:sdt>
        </w:sdtContent>
      </w:sdt>
      <w:r w:rsidR="00054C41" w:rsidRPr="008170E6">
        <w:rPr>
          <w:rFonts w:ascii="Times New Roman" w:eastAsia="Calibri" w:hAnsi="Times New Roman" w:cs="Times New Roman"/>
          <w:i/>
        </w:rPr>
        <w:t xml:space="preserve"> nemení</w:t>
      </w:r>
      <w:r w:rsidR="00054C41" w:rsidRPr="008170E6">
        <w:rPr>
          <w:rFonts w:ascii="Times New Roman" w:eastAsia="Calibri" w:hAnsi="Times New Roman" w:cs="Times New Roman"/>
          <w:i/>
        </w:rPr>
        <w:tab/>
      </w:r>
      <w:sdt>
        <w:sdtPr>
          <w:rPr>
            <w:rFonts w:ascii="Times New Roman" w:eastAsia="Calibri" w:hAnsi="Times New Roman" w:cs="Times New Roman"/>
            <w:i/>
          </w:rPr>
          <w:id w:val="-1457723544"/>
        </w:sdtPr>
        <w:sdtEndPr/>
        <w:sdtContent>
          <w:sdt>
            <w:sdtPr>
              <w:rPr>
                <w:rFonts w:ascii="Times New Roman" w:eastAsia="Calibri" w:hAnsi="Times New Roman" w:cs="Times New Roman"/>
                <w:i/>
              </w:rPr>
              <w:id w:val="-623767955"/>
            </w:sdtPr>
            <w:sdtEndPr/>
            <w:sdtContent>
              <w:r w:rsidR="00054C41" w:rsidRPr="008170E6">
                <w:rPr>
                  <w:rFonts w:ascii="Segoe UI Symbol" w:eastAsia="Calibri" w:hAnsi="Segoe UI Symbol" w:cs="Segoe UI Symbol"/>
                  <w:i/>
                </w:rPr>
                <w:t>☐</w:t>
              </w:r>
            </w:sdtContent>
          </w:sdt>
        </w:sdtContent>
      </w:sdt>
      <w:r w:rsidR="00054C41" w:rsidRPr="008170E6">
        <w:rPr>
          <w:rFonts w:ascii="Times New Roman" w:eastAsia="Calibri" w:hAnsi="Times New Roman" w:cs="Times New Roman"/>
          <w:i/>
        </w:rPr>
        <w:t xml:space="preserve"> znižuje</w:t>
      </w:r>
    </w:p>
    <w:p w14:paraId="1FFE92DA" w14:textId="77777777" w:rsidR="00054C41" w:rsidRPr="008170E6" w:rsidRDefault="00054C41" w:rsidP="008170E6">
      <w:pPr>
        <w:spacing w:after="0" w:line="240" w:lineRule="auto"/>
        <w:jc w:val="both"/>
        <w:rPr>
          <w:rFonts w:ascii="Times New Roman" w:eastAsia="Calibri" w:hAnsi="Times New Roman" w:cs="Times New Roman"/>
          <w:i/>
        </w:rPr>
      </w:pPr>
    </w:p>
    <w:p w14:paraId="0F05F45F" w14:textId="77777777" w:rsidR="00054C41" w:rsidRPr="008170E6" w:rsidRDefault="00054C41" w:rsidP="008170E6">
      <w:pPr>
        <w:spacing w:after="0" w:line="240" w:lineRule="auto"/>
        <w:jc w:val="both"/>
        <w:rPr>
          <w:rFonts w:ascii="Times New Roman" w:eastAsia="Calibri" w:hAnsi="Times New Roman" w:cs="Times New Roman"/>
          <w:b/>
        </w:rPr>
      </w:pPr>
      <w:r w:rsidRPr="008170E6">
        <w:rPr>
          <w:rFonts w:ascii="Times New Roman" w:eastAsia="Calibri" w:hAnsi="Times New Roman" w:cs="Times New Roman"/>
          <w:b/>
        </w:rPr>
        <w:t xml:space="preserve">3.4  Iné vplyvy na podnikateľské prostredie </w:t>
      </w:r>
    </w:p>
    <w:p w14:paraId="727C9A0E" w14:textId="77777777" w:rsidR="00FF414B" w:rsidRPr="008170E6" w:rsidRDefault="00FF414B" w:rsidP="008170E6">
      <w:pPr>
        <w:spacing w:after="0" w:line="240" w:lineRule="auto"/>
        <w:jc w:val="both"/>
        <w:rPr>
          <w:rFonts w:ascii="Times New Roman" w:eastAsia="Calibri" w:hAnsi="Times New Roman" w:cs="Times New Roman"/>
          <w:i/>
        </w:rPr>
      </w:pPr>
      <w:r w:rsidRPr="008170E6">
        <w:rPr>
          <w:rFonts w:ascii="Times New Roman" w:eastAsia="Calibri" w:hAnsi="Times New Roman" w:cs="Times New Roman"/>
          <w:i/>
        </w:rPr>
        <w:t xml:space="preserve">Ak má materiál vplyvy na PP, ktoré nemožno zaradiť do predchádzajúcich častí, či už pozitívne alebo negatívne, tu ich uveďte.  Patria sem: </w:t>
      </w:r>
    </w:p>
    <w:p w14:paraId="312EF81C" w14:textId="77777777" w:rsidR="00FF414B" w:rsidRPr="008170E6" w:rsidRDefault="00FF414B" w:rsidP="008170E6">
      <w:pPr>
        <w:pStyle w:val="Odsekzoznamu"/>
        <w:numPr>
          <w:ilvl w:val="0"/>
          <w:numId w:val="6"/>
        </w:numPr>
        <w:spacing w:after="0" w:line="240" w:lineRule="auto"/>
        <w:contextualSpacing w:val="0"/>
        <w:jc w:val="both"/>
        <w:rPr>
          <w:rFonts w:ascii="Times New Roman" w:eastAsia="Calibri" w:hAnsi="Times New Roman" w:cs="Times New Roman"/>
          <w:i/>
        </w:rPr>
      </w:pPr>
      <w:r w:rsidRPr="008170E6">
        <w:rPr>
          <w:rFonts w:ascii="Times New Roman" w:eastAsia="Calibri" w:hAnsi="Times New Roman" w:cs="Times New Roman"/>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Pr="008170E6" w:rsidRDefault="00FF414B" w:rsidP="008170E6">
      <w:pPr>
        <w:pStyle w:val="Odsekzoznamu"/>
        <w:numPr>
          <w:ilvl w:val="0"/>
          <w:numId w:val="6"/>
        </w:numPr>
        <w:spacing w:after="0" w:line="240" w:lineRule="auto"/>
        <w:contextualSpacing w:val="0"/>
        <w:jc w:val="both"/>
        <w:rPr>
          <w:rFonts w:ascii="Times New Roman" w:eastAsia="Calibri" w:hAnsi="Times New Roman" w:cs="Times New Roman"/>
          <w:i/>
        </w:rPr>
      </w:pPr>
      <w:r w:rsidRPr="008170E6">
        <w:rPr>
          <w:rFonts w:ascii="Times New Roman" w:eastAsia="Calibri" w:hAnsi="Times New Roman" w:cs="Times New Roman"/>
          <w:i/>
        </w:rPr>
        <w:t>regulované ceny podľa zákona č. 18/1996 Z. z. o cenách;</w:t>
      </w:r>
    </w:p>
    <w:p w14:paraId="46E907D6" w14:textId="77777777" w:rsidR="00FF414B" w:rsidRPr="008170E6" w:rsidRDefault="00FF414B" w:rsidP="008170E6">
      <w:pPr>
        <w:pStyle w:val="Odsekzoznamu"/>
        <w:numPr>
          <w:ilvl w:val="0"/>
          <w:numId w:val="6"/>
        </w:numPr>
        <w:spacing w:after="0" w:line="240" w:lineRule="auto"/>
        <w:contextualSpacing w:val="0"/>
        <w:jc w:val="both"/>
        <w:rPr>
          <w:rFonts w:ascii="Times New Roman" w:eastAsia="Calibri" w:hAnsi="Times New Roman" w:cs="Times New Roman"/>
          <w:i/>
        </w:rPr>
      </w:pPr>
      <w:r w:rsidRPr="008170E6">
        <w:rPr>
          <w:rFonts w:ascii="Times New Roman" w:eastAsia="Calibri" w:hAnsi="Times New Roman" w:cs="Times New Roman"/>
          <w:i/>
        </w:rPr>
        <w:t>iné vplyvy, ktoré predpokladá materiál, ale nemožno ich zaradiť do častí 3.1 a 3.3.</w:t>
      </w:r>
      <w:r w:rsidR="00E214C0" w:rsidRPr="008170E6">
        <w:rPr>
          <w:rFonts w:ascii="Times New Roman" w:eastAsia="Calibri" w:hAnsi="Times New Roman" w:cs="Times New Roman"/>
          <w:i/>
        </w:rPr>
        <w:t>,</w:t>
      </w:r>
    </w:p>
    <w:p w14:paraId="74DE7A2D" w14:textId="77777777" w:rsidR="00D114ED" w:rsidRPr="008170E6" w:rsidRDefault="00D114ED" w:rsidP="008170E6">
      <w:pPr>
        <w:pStyle w:val="Odsekzoznamu"/>
        <w:numPr>
          <w:ilvl w:val="0"/>
          <w:numId w:val="6"/>
        </w:numPr>
        <w:spacing w:after="0" w:line="240" w:lineRule="auto"/>
        <w:contextualSpacing w:val="0"/>
        <w:jc w:val="both"/>
        <w:rPr>
          <w:rFonts w:ascii="Times New Roman" w:eastAsia="Calibri" w:hAnsi="Times New Roman" w:cs="Times New Roman"/>
          <w:i/>
        </w:rPr>
      </w:pPr>
      <w:r w:rsidRPr="008170E6">
        <w:rPr>
          <w:rFonts w:ascii="Times New Roman" w:eastAsia="Calibri" w:hAnsi="Times New Roman" w:cs="Times New Roman"/>
          <w:i/>
        </w:rPr>
        <w:t>iné vplyvy podľa písm. a) až c), ktoré sú goldplatingom.</w:t>
      </w:r>
    </w:p>
    <w:p w14:paraId="20297BE3" w14:textId="77777777" w:rsidR="002C0100" w:rsidRDefault="002C0100" w:rsidP="002C0100">
      <w:pPr>
        <w:spacing w:after="0" w:line="240" w:lineRule="auto"/>
        <w:jc w:val="both"/>
        <w:rPr>
          <w:rFonts w:ascii="Times New Roman" w:eastAsia="Times New Roman" w:hAnsi="Times New Roman" w:cs="Times New Roman"/>
          <w:bCs/>
          <w:lang w:eastAsia="sk-SK"/>
        </w:rPr>
      </w:pPr>
    </w:p>
    <w:p w14:paraId="6F92F3BC" w14:textId="6E8FDD4B" w:rsidR="002C0100" w:rsidRPr="008170E6" w:rsidRDefault="002C0100" w:rsidP="002C0100">
      <w:pPr>
        <w:spacing w:after="0" w:line="240" w:lineRule="auto"/>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Zvýšenie regulácie zahŕňa:</w:t>
      </w:r>
    </w:p>
    <w:p w14:paraId="739D6CE7"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 xml:space="preserve">v rámci starostlivosti o poľnohospodársku pôdu povinnosť zabránenia šíreniu biotických škodcov z odstránených drevín, </w:t>
      </w:r>
    </w:p>
    <w:p w14:paraId="7967D2A0"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zvýšenie nákladov na odvody za odnímanie každej poľnohospodárskej pôdy,</w:t>
      </w:r>
    </w:p>
    <w:p w14:paraId="1F0835F2"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zvýšenie hornej hranice sadzby pokuty za najzávažnejšie priestupky a dolnej hranice sadzby pokuty za iné správne delikty.</w:t>
      </w:r>
    </w:p>
    <w:p w14:paraId="190A3518" w14:textId="77777777" w:rsidR="002C0100" w:rsidRPr="008170E6" w:rsidRDefault="002C0100" w:rsidP="002C0100">
      <w:pPr>
        <w:spacing w:after="0" w:line="240" w:lineRule="auto"/>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Zníženie regulácie zahŕňa:</w:t>
      </w:r>
    </w:p>
    <w:p w14:paraId="37A3ABB1"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predchádzanie šíreniu burín a náletov len mimo hranice zastavaného územia obce,</w:t>
      </w:r>
    </w:p>
    <w:p w14:paraId="1CFE7434"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zvýšenie výmery pozemku, pri ktorej nie je v hraniciach zastavaného územia obce potrebné vydať rozhodnutie o odňatí, sa zvyšuje z 500 m</w:t>
      </w:r>
      <w:r w:rsidRPr="008170E6">
        <w:rPr>
          <w:rFonts w:ascii="Times New Roman" w:eastAsia="Times New Roman" w:hAnsi="Times New Roman" w:cs="Times New Roman"/>
          <w:bCs/>
          <w:vertAlign w:val="superscript"/>
          <w:lang w:eastAsia="sk-SK"/>
        </w:rPr>
        <w:t>2</w:t>
      </w:r>
      <w:r w:rsidRPr="008170E6">
        <w:rPr>
          <w:rFonts w:ascii="Times New Roman" w:eastAsia="Times New Roman" w:hAnsi="Times New Roman" w:cs="Times New Roman"/>
          <w:bCs/>
          <w:lang w:eastAsia="sk-SK"/>
        </w:rPr>
        <w:t xml:space="preserve"> na 1000 m</w:t>
      </w:r>
      <w:r w:rsidRPr="008170E6">
        <w:rPr>
          <w:rFonts w:ascii="Times New Roman" w:eastAsia="Times New Roman" w:hAnsi="Times New Roman" w:cs="Times New Roman"/>
          <w:bCs/>
          <w:vertAlign w:val="superscript"/>
          <w:lang w:eastAsia="sk-SK"/>
        </w:rPr>
        <w:t>2</w:t>
      </w:r>
      <w:r w:rsidRPr="008170E6">
        <w:rPr>
          <w:rFonts w:ascii="Times New Roman" w:eastAsia="Times New Roman" w:hAnsi="Times New Roman" w:cs="Times New Roman"/>
          <w:bCs/>
          <w:lang w:eastAsia="sk-SK"/>
        </w:rPr>
        <w:t>,</w:t>
      </w:r>
    </w:p>
    <w:p w14:paraId="68BCACA1"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zrušenie povinnosti predkladať v konaní o zmene druhu pozemku a v konaní o vyňatí poľnohosp. pôdy, ak ide o vinicu, prílohu obsahujúcu zhodnotenie historických súvislostí a zámerov regionálneho rozvoja,</w:t>
      </w:r>
    </w:p>
    <w:p w14:paraId="2937901B"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zrušenie povinnosti žiadateľa predkladať prílohu s časovým harmonogramom a ekonomickým prepočtom nákladov,</w:t>
      </w:r>
    </w:p>
    <w:p w14:paraId="53A019B3"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zrušenie povinnosti žiadateľa doložiť výpočet výšky odvodu,</w:t>
      </w:r>
    </w:p>
    <w:p w14:paraId="4006C337"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rozšírenie výnimky z potreby rozhodnutia o odňatí poľnohosp. pôdy aj na prípady umiestnenia inžinierskej stavby,</w:t>
      </w:r>
    </w:p>
    <w:p w14:paraId="5E7BF0FE" w14:textId="77777777" w:rsidR="002C0100" w:rsidRPr="008170E6" w:rsidRDefault="002C0100" w:rsidP="002C0100">
      <w:pPr>
        <w:pStyle w:val="Odsekzoznamu"/>
        <w:numPr>
          <w:ilvl w:val="0"/>
          <w:numId w:val="17"/>
        </w:numPr>
        <w:spacing w:after="0" w:line="240" w:lineRule="auto"/>
        <w:contextualSpacing w:val="0"/>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zníženie požiadavky na obsah org. látok v dnových sedimentoch s cieľom rozšíriť možnosť ich aplikácie na pôdu a predísť ich skládkovaniu.</w:t>
      </w:r>
    </w:p>
    <w:p w14:paraId="53D91C36" w14:textId="77777777" w:rsidR="002C0100" w:rsidRPr="008170E6" w:rsidRDefault="002C0100" w:rsidP="002C0100">
      <w:pPr>
        <w:spacing w:after="0" w:line="240" w:lineRule="auto"/>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 xml:space="preserve">Tieto regulácie a zníženia regulácie predstavujú zvýšenie ako aj zníženie priamych finančných nákladov, nepriamych finančných nákladov a administratívnych nákladov. Ich konkrétnu výšku však nie je možné presne ani približne kvantifikovať, pretože nie je možné predpokladať počet, výmeru, kvalitu ani ostatné parametre a ukazovatele, ktoré budú ovplyvňovať zvýšenie alebo zníženie nákladov, </w:t>
      </w:r>
      <w:r w:rsidRPr="008170E6">
        <w:rPr>
          <w:rFonts w:ascii="Times New Roman" w:eastAsia="Times New Roman" w:hAnsi="Times New Roman" w:cs="Times New Roman"/>
          <w:bCs/>
          <w:lang w:eastAsia="sk-SK"/>
        </w:rPr>
        <w:lastRenderedPageBreak/>
        <w:t>a to ani na základe údajov z minulosti, ktoré nemožno zovšeobecniť vzhľadom na ich vysokú subjektívnu premenlivosť. Konkrétnej kvantifikácii bráni neznámy konkrétny počet subjektov, ktoré v budúcnosti budú žiadať o zmenu druhu pozemku, o odňatie poľnohosp. pôdy, ktoré sa dopustia správnych deliktov a v akej závažnosti, neznáma výmera pôdy v ha, ktorá je kritériom pre odvody ako aj pre pokuty. Modelovanie konkrétneho príkladu by bolo zbytočné a nič nehovoriace vzhľadom na vysoký a pritom neznámy počet dotknutých subjektov a ich subjektívnych charakteristík aj vzhľadom na to, že výmera poľnohospodárskych pozemkov je 2,3 mil ha, pričom počet vlastníckych a užívacích vzťahov presahuje 100 mil. (na zmenu druhu pozemku je potrebný súhlas vlastníka, resp. spoluvlastníkov s nadpol. podielom).</w:t>
      </w:r>
    </w:p>
    <w:p w14:paraId="4B1C1896" w14:textId="77777777" w:rsidR="002C0100" w:rsidRPr="008170E6" w:rsidRDefault="002C0100" w:rsidP="002C0100">
      <w:pPr>
        <w:spacing w:after="0" w:line="240" w:lineRule="auto"/>
        <w:ind w:firstLine="708"/>
        <w:jc w:val="both"/>
        <w:rPr>
          <w:rFonts w:ascii="Times New Roman" w:eastAsia="Times New Roman" w:hAnsi="Times New Roman" w:cs="Times New Roman"/>
          <w:lang w:eastAsia="sk-SK"/>
        </w:rPr>
      </w:pPr>
      <w:r w:rsidRPr="008170E6">
        <w:rPr>
          <w:rFonts w:ascii="Times New Roman" w:eastAsia="Times New Roman" w:hAnsi="Times New Roman" w:cs="Times New Roman"/>
          <w:lang w:eastAsia="sk-SK"/>
        </w:rPr>
        <w:t>Predkladateľ vychádza z priemernej ročnej výšky uhradených odvodov za odňatie poľnohospodárskej pôdy (PP) za roky 2021 až 2023, ktorá predstavuje 2 927 187 eur:</w:t>
      </w:r>
    </w:p>
    <w:p w14:paraId="0FE80B96" w14:textId="77777777" w:rsidR="002C0100" w:rsidRPr="008170E6" w:rsidRDefault="002C0100" w:rsidP="002C0100">
      <w:pPr>
        <w:spacing w:after="0" w:line="240" w:lineRule="auto"/>
        <w:ind w:firstLine="708"/>
        <w:jc w:val="both"/>
        <w:rPr>
          <w:rFonts w:ascii="Times New Roman" w:eastAsia="Times New Roman" w:hAnsi="Times New Roman" w:cs="Times New Roman"/>
          <w:lang w:eastAsia="sk-SK"/>
        </w:rPr>
      </w:pPr>
    </w:p>
    <w:p w14:paraId="54112BD8" w14:textId="77777777" w:rsidR="002C0100" w:rsidRPr="008170E6" w:rsidRDefault="002C0100" w:rsidP="002C0100">
      <w:pPr>
        <w:spacing w:after="0" w:line="240" w:lineRule="auto"/>
        <w:ind w:left="-567" w:right="-709"/>
        <w:jc w:val="both"/>
        <w:rPr>
          <w:rFonts w:ascii="Times New Roman" w:eastAsia="Times New Roman" w:hAnsi="Times New Roman" w:cs="Times New Roman"/>
          <w:lang w:eastAsia="sk-SK"/>
        </w:rPr>
      </w:pPr>
      <w:r w:rsidRPr="008170E6">
        <w:rPr>
          <w:rFonts w:ascii="Times New Roman" w:hAnsi="Times New Roman" w:cs="Times New Roman"/>
          <w:noProof/>
          <w:lang w:eastAsia="sk-SK"/>
        </w:rPr>
        <w:drawing>
          <wp:inline distT="0" distB="0" distL="0" distR="0" wp14:anchorId="0E30ACCC" wp14:editId="7C61D18B">
            <wp:extent cx="6460750" cy="1005840"/>
            <wp:effectExtent l="0" t="0" r="0" b="381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2466" cy="1007664"/>
                    </a:xfrm>
                    <a:prstGeom prst="rect">
                      <a:avLst/>
                    </a:prstGeom>
                    <a:noFill/>
                    <a:ln>
                      <a:noFill/>
                    </a:ln>
                  </pic:spPr>
                </pic:pic>
              </a:graphicData>
            </a:graphic>
          </wp:inline>
        </w:drawing>
      </w:r>
    </w:p>
    <w:p w14:paraId="31CBD9B5" w14:textId="77777777" w:rsidR="002C0100" w:rsidRPr="008170E6" w:rsidRDefault="002C0100" w:rsidP="002C0100">
      <w:pPr>
        <w:tabs>
          <w:tab w:val="num" w:pos="1080"/>
        </w:tabs>
        <w:spacing w:after="0" w:line="240" w:lineRule="auto"/>
        <w:jc w:val="both"/>
        <w:rPr>
          <w:rFonts w:ascii="Times New Roman" w:eastAsia="Times New Roman" w:hAnsi="Times New Roman" w:cs="Times New Roman"/>
          <w:bCs/>
          <w:lang w:eastAsia="sk-SK"/>
        </w:rPr>
      </w:pPr>
    </w:p>
    <w:p w14:paraId="746BBF3B" w14:textId="77777777" w:rsidR="002C0100" w:rsidRPr="008170E6" w:rsidRDefault="002C0100" w:rsidP="002C0100">
      <w:pPr>
        <w:tabs>
          <w:tab w:val="num" w:pos="1080"/>
        </w:tabs>
        <w:spacing w:after="0" w:line="240" w:lineRule="auto"/>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Doteraz, t. j. v sledovanom trojročnom období, podliehalo odvodom cca 30 % výmery PP v každom katastrálnom území, pričom súhrnný počet dotknutých povinných subjektov sa pohyboval cca od 5 300 do 6 400 (teda okolo 5850). Návrh zákona má za cieľ zaťažiť odvodom odňatie PP v celom katastrálnom území, t. j. pri 100 % výmery PP v katastrálnom území pôjde približne o trojnásobok dnes zaťaženej výmery. Výsledkom môže byť teda trojnásobná suma odvodov, t. j. asi 10 mil. eur/rok, čo je nárast priameho fin. nákladu o cca 70 %, t. j. o 7 mil. eur. Tento odhad je samozrejme tiež zaťažený neurčitosťou, pretože nie je možné predpovedať rozsah ani štruktúru budúcich záberov PP ani z hľadiska kvality PP (a teda príslušnej sadzby odvodu za odňatie) ani z hľadiska účelu (a teda prípadného oslobodenia od odvodu). Navyše, predpokladáme posilnenie odstrašujúceho účinku sprísnenia právnej úpravy platenia odvodov, čo zákonite povedie k zníženiu záberov najkvalitnejšej PP. To je napokon účelom návrhu zákona – znížiť zábery najkvalitnejšej pôdy prostredníctvom ich spoplatnenia.</w:t>
      </w:r>
    </w:p>
    <w:p w14:paraId="64942967" w14:textId="77777777" w:rsidR="002C0100" w:rsidRPr="008170E6" w:rsidRDefault="002C0100" w:rsidP="002C0100">
      <w:pPr>
        <w:tabs>
          <w:tab w:val="num" w:pos="1080"/>
        </w:tabs>
        <w:spacing w:after="0" w:line="240" w:lineRule="auto"/>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Analogicky je možné vyrátať zaťaženie správnym poplatkom. Správny poplatok za odňatie PP je 50 eur. Pri orientačnom počte žiadateľov 5850 išlo o celkovú sumu správnych poplatkov 292 500 eur. Preto je možné počítať s budúcou trojnásobnou sumou cca 880 000 eur, avšak iba za predpokladu stabilného počtu žiadostí.</w:t>
      </w:r>
    </w:p>
    <w:p w14:paraId="23052EB5" w14:textId="77777777" w:rsidR="002C0100" w:rsidRPr="008170E6" w:rsidRDefault="002C0100" w:rsidP="002C0100">
      <w:pPr>
        <w:tabs>
          <w:tab w:val="num" w:pos="1080"/>
        </w:tabs>
        <w:spacing w:after="0" w:line="240" w:lineRule="auto"/>
        <w:jc w:val="both"/>
        <w:rPr>
          <w:rFonts w:ascii="Times New Roman" w:eastAsia="Times New Roman" w:hAnsi="Times New Roman" w:cs="Times New Roman"/>
          <w:bCs/>
          <w:lang w:eastAsia="sk-SK"/>
        </w:rPr>
      </w:pPr>
      <w:r w:rsidRPr="008170E6">
        <w:rPr>
          <w:rFonts w:ascii="Times New Roman" w:eastAsia="Times New Roman" w:hAnsi="Times New Roman" w:cs="Times New Roman"/>
          <w:bCs/>
          <w:lang w:eastAsia="sk-SK"/>
        </w:rPr>
        <w:t>Predkladateľ nezohľadňuje pri odhade vplyvu na podnik. prostredie budúci možný nárast ukladaných pokút spôsobený úpravou hornej hranice sadzby pokuty za priestupok a dolnej hranice sadzby pokuty za iný správny delikt. Údaje z predchádzajúcich troch rokov sú len orientačné a neposkytujú bázu pre odhad do budúcnosti, nakoľko nevypovedajú nič o výmere PP v ha, ktorá je základom pre výpočet pokút za iné správne delikty. Nemožno ani anticipovať budúcu mieru porušovanosti povinností, ktorej následkom by bolo uloženie pokuty. Pri priestupkoch pritom nie je ustanovená dolná hranica sadzby. Rozptyl uložených pokút sa pohybuje od desiatok eur po desiatky tisíc eur v jednotlivých prípadoch, ktorých bolo v priemere 427. Úprava hornej, resp. dolnej hranice sadzby sa pritom v celkovej sume uloženej pokuty nemusí prejaviť, takže o prognóze nie je možné formulovať ani len všeobecný odhad. Predkladateľ uvádza pre kontext údaje z rokov 2021 až 2023 o uložených pokutách, z ktorých vyplýva priemerná ročná suma uložených pokút cca 120 000 eur:</w:t>
      </w:r>
    </w:p>
    <w:p w14:paraId="18DDAAE0" w14:textId="77777777" w:rsidR="002C0100" w:rsidRPr="008170E6" w:rsidRDefault="002C0100" w:rsidP="002C0100">
      <w:pPr>
        <w:tabs>
          <w:tab w:val="num" w:pos="1080"/>
        </w:tabs>
        <w:spacing w:after="0" w:line="240" w:lineRule="auto"/>
        <w:jc w:val="both"/>
        <w:rPr>
          <w:rFonts w:ascii="Times New Roman" w:eastAsia="Times New Roman" w:hAnsi="Times New Roman" w:cs="Times New Roman"/>
          <w:bCs/>
          <w:lang w:eastAsia="sk-SK"/>
        </w:rPr>
      </w:pPr>
    </w:p>
    <w:p w14:paraId="5D9A941B" w14:textId="437572DF" w:rsidR="002C0100" w:rsidRPr="008170E6" w:rsidRDefault="002C0100" w:rsidP="000B2B8D">
      <w:pPr>
        <w:tabs>
          <w:tab w:val="num" w:pos="1080"/>
        </w:tabs>
        <w:spacing w:after="0" w:line="240" w:lineRule="auto"/>
        <w:jc w:val="both"/>
        <w:rPr>
          <w:rFonts w:ascii="Times New Roman" w:eastAsia="Calibri" w:hAnsi="Times New Roman" w:cs="Times New Roman"/>
          <w:bCs/>
          <w:i/>
          <w:iCs/>
          <w:color w:val="000000"/>
        </w:rPr>
      </w:pPr>
      <w:r w:rsidRPr="008170E6">
        <w:rPr>
          <w:rFonts w:ascii="Times New Roman" w:hAnsi="Times New Roman" w:cs="Times New Roman"/>
          <w:noProof/>
          <w:lang w:eastAsia="sk-SK"/>
        </w:rPr>
        <w:drawing>
          <wp:inline distT="0" distB="0" distL="0" distR="0" wp14:anchorId="4FB0AD9E" wp14:editId="4801646F">
            <wp:extent cx="5760720" cy="1200697"/>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200697"/>
                    </a:xfrm>
                    <a:prstGeom prst="rect">
                      <a:avLst/>
                    </a:prstGeom>
                    <a:noFill/>
                    <a:ln>
                      <a:noFill/>
                    </a:ln>
                  </pic:spPr>
                </pic:pic>
              </a:graphicData>
            </a:graphic>
          </wp:inline>
        </w:drawing>
      </w:r>
    </w:p>
    <w:p w14:paraId="424DBDFC" w14:textId="77777777" w:rsidR="00B21D1F" w:rsidRPr="008170E6" w:rsidRDefault="00B21D1F" w:rsidP="008170E6">
      <w:pPr>
        <w:spacing w:after="0" w:line="240" w:lineRule="auto"/>
        <w:jc w:val="center"/>
        <w:rPr>
          <w:rFonts w:ascii="Times New Roman" w:eastAsia="Times New Roman" w:hAnsi="Times New Roman" w:cs="Times New Roman"/>
          <w:b/>
          <w:lang w:eastAsia="sk-SK"/>
        </w:rPr>
      </w:pPr>
    </w:p>
    <w:sectPr w:rsidR="00B21D1F" w:rsidRPr="008170E6" w:rsidSect="00560CE3">
      <w:pgSz w:w="11906" w:h="16838"/>
      <w:pgMar w:top="1417" w:right="1417" w:bottom="1417" w:left="1417"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B8E1D" w14:textId="77777777" w:rsidR="00CE53A1" w:rsidRDefault="00CE53A1" w:rsidP="00054C41">
      <w:pPr>
        <w:spacing w:after="0" w:line="240" w:lineRule="auto"/>
      </w:pPr>
      <w:r>
        <w:separator/>
      </w:r>
    </w:p>
  </w:endnote>
  <w:endnote w:type="continuationSeparator" w:id="0">
    <w:p w14:paraId="7DC6A2AE" w14:textId="77777777" w:rsidR="00CE53A1" w:rsidRDefault="00CE53A1"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706214995"/>
      <w:docPartObj>
        <w:docPartGallery w:val="Page Numbers (Bottom of Page)"/>
        <w:docPartUnique/>
      </w:docPartObj>
    </w:sdtPr>
    <w:sdtEndPr/>
    <w:sdtContent>
      <w:p w14:paraId="20FE6A4A" w14:textId="35DA3D85" w:rsidR="00CE53A1" w:rsidRPr="008170E6" w:rsidRDefault="008170E6" w:rsidP="008170E6">
        <w:pPr>
          <w:pStyle w:val="Pta"/>
          <w:jc w:val="center"/>
          <w:rPr>
            <w:rFonts w:ascii="Times New Roman" w:hAnsi="Times New Roman" w:cs="Times New Roman"/>
            <w:sz w:val="24"/>
          </w:rPr>
        </w:pPr>
        <w:r w:rsidRPr="008170E6">
          <w:rPr>
            <w:rFonts w:ascii="Times New Roman" w:hAnsi="Times New Roman" w:cs="Times New Roman"/>
            <w:sz w:val="24"/>
          </w:rPr>
          <w:fldChar w:fldCharType="begin"/>
        </w:r>
        <w:r w:rsidRPr="008170E6">
          <w:rPr>
            <w:rFonts w:ascii="Times New Roman" w:hAnsi="Times New Roman" w:cs="Times New Roman"/>
            <w:sz w:val="24"/>
          </w:rPr>
          <w:instrText>PAGE   \* MERGEFORMAT</w:instrText>
        </w:r>
        <w:r w:rsidRPr="008170E6">
          <w:rPr>
            <w:rFonts w:ascii="Times New Roman" w:hAnsi="Times New Roman" w:cs="Times New Roman"/>
            <w:sz w:val="24"/>
          </w:rPr>
          <w:fldChar w:fldCharType="separate"/>
        </w:r>
        <w:r w:rsidR="00560CE3">
          <w:rPr>
            <w:rFonts w:ascii="Times New Roman" w:hAnsi="Times New Roman" w:cs="Times New Roman"/>
            <w:noProof/>
            <w:sz w:val="24"/>
          </w:rPr>
          <w:t>24</w:t>
        </w:r>
        <w:r w:rsidRPr="008170E6">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472B" w14:textId="77777777" w:rsidR="00CE53A1" w:rsidRDefault="00CE53A1" w:rsidP="00054C41">
      <w:pPr>
        <w:spacing w:after="0" w:line="240" w:lineRule="auto"/>
      </w:pPr>
      <w:r>
        <w:separator/>
      </w:r>
    </w:p>
  </w:footnote>
  <w:footnote w:type="continuationSeparator" w:id="0">
    <w:p w14:paraId="31E40756" w14:textId="77777777" w:rsidR="00CE53A1" w:rsidRDefault="00CE53A1" w:rsidP="00054C41">
      <w:pPr>
        <w:spacing w:after="0" w:line="240" w:lineRule="auto"/>
      </w:pPr>
      <w:r>
        <w:continuationSeparator/>
      </w:r>
    </w:p>
  </w:footnote>
  <w:footnote w:id="1">
    <w:p w14:paraId="6CC680CB" w14:textId="6BF8CDC6" w:rsidR="00CE53A1" w:rsidRPr="000A6B7F" w:rsidRDefault="00CE53A1"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CE53A1" w:rsidRPr="00804BC8" w:rsidRDefault="00CE53A1"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CE53A1" w:rsidRDefault="00CE53A1" w:rsidP="00512BA7">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A421B93"/>
    <w:multiLevelType w:val="hybridMultilevel"/>
    <w:tmpl w:val="115C4B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33C5448"/>
    <w:multiLevelType w:val="hybridMultilevel"/>
    <w:tmpl w:val="B93602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ED21D9"/>
    <w:multiLevelType w:val="hybridMultilevel"/>
    <w:tmpl w:val="875C6470"/>
    <w:lvl w:ilvl="0" w:tplc="BB8EF196">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2A326E0"/>
    <w:multiLevelType w:val="hybridMultilevel"/>
    <w:tmpl w:val="41CA46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9463DFB"/>
    <w:multiLevelType w:val="hybridMultilevel"/>
    <w:tmpl w:val="D38665F0"/>
    <w:lvl w:ilvl="0" w:tplc="64CAFFA4">
      <w:start w:val="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14"/>
  </w:num>
  <w:num w:numId="3">
    <w:abstractNumId w:val="15"/>
  </w:num>
  <w:num w:numId="4">
    <w:abstractNumId w:val="13"/>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
  </w:num>
  <w:num w:numId="11">
    <w:abstractNumId w:val="8"/>
  </w:num>
  <w:num w:numId="12">
    <w:abstractNumId w:val="0"/>
  </w:num>
  <w:num w:numId="13">
    <w:abstractNumId w:val="16"/>
  </w:num>
  <w:num w:numId="14">
    <w:abstractNumId w:val="10"/>
  </w:num>
  <w:num w:numId="15">
    <w:abstractNumId w:val="5"/>
  </w:num>
  <w:num w:numId="16">
    <w:abstractNumId w:val="6"/>
  </w:num>
  <w:num w:numId="17">
    <w:abstractNumId w:val="9"/>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265CD"/>
    <w:rsid w:val="00047C70"/>
    <w:rsid w:val="00050AAB"/>
    <w:rsid w:val="00054A53"/>
    <w:rsid w:val="00054C41"/>
    <w:rsid w:val="00060DA1"/>
    <w:rsid w:val="00061E85"/>
    <w:rsid w:val="000820E0"/>
    <w:rsid w:val="00091A43"/>
    <w:rsid w:val="0009490E"/>
    <w:rsid w:val="000A6B7F"/>
    <w:rsid w:val="000B2B8D"/>
    <w:rsid w:val="000C5419"/>
    <w:rsid w:val="000C5E9A"/>
    <w:rsid w:val="000D15F0"/>
    <w:rsid w:val="0011003B"/>
    <w:rsid w:val="001133DA"/>
    <w:rsid w:val="00126A2B"/>
    <w:rsid w:val="00142154"/>
    <w:rsid w:val="001476A4"/>
    <w:rsid w:val="00162C6C"/>
    <w:rsid w:val="0016512E"/>
    <w:rsid w:val="0018715C"/>
    <w:rsid w:val="001A1561"/>
    <w:rsid w:val="001B4C03"/>
    <w:rsid w:val="001C7B91"/>
    <w:rsid w:val="001D1083"/>
    <w:rsid w:val="001D3FA0"/>
    <w:rsid w:val="001E24E8"/>
    <w:rsid w:val="001E53CB"/>
    <w:rsid w:val="00207F43"/>
    <w:rsid w:val="002232D3"/>
    <w:rsid w:val="00225A83"/>
    <w:rsid w:val="00231B8F"/>
    <w:rsid w:val="002362C2"/>
    <w:rsid w:val="00270EA5"/>
    <w:rsid w:val="002712B9"/>
    <w:rsid w:val="00284B8C"/>
    <w:rsid w:val="0029483F"/>
    <w:rsid w:val="002A193D"/>
    <w:rsid w:val="002B4823"/>
    <w:rsid w:val="002C0100"/>
    <w:rsid w:val="002C2FC0"/>
    <w:rsid w:val="002C464B"/>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58B8"/>
    <w:rsid w:val="003F06D7"/>
    <w:rsid w:val="00400224"/>
    <w:rsid w:val="00400BA5"/>
    <w:rsid w:val="00410E62"/>
    <w:rsid w:val="00414FA7"/>
    <w:rsid w:val="00420090"/>
    <w:rsid w:val="004239D1"/>
    <w:rsid w:val="004262B0"/>
    <w:rsid w:val="00445638"/>
    <w:rsid w:val="00446432"/>
    <w:rsid w:val="00446512"/>
    <w:rsid w:val="00466D7A"/>
    <w:rsid w:val="0048237B"/>
    <w:rsid w:val="00484D16"/>
    <w:rsid w:val="00491853"/>
    <w:rsid w:val="004A14CD"/>
    <w:rsid w:val="004A2C6B"/>
    <w:rsid w:val="004B7A61"/>
    <w:rsid w:val="004D20CB"/>
    <w:rsid w:val="004D65B2"/>
    <w:rsid w:val="004D681D"/>
    <w:rsid w:val="004E2324"/>
    <w:rsid w:val="004F63E6"/>
    <w:rsid w:val="005103DA"/>
    <w:rsid w:val="00511F8F"/>
    <w:rsid w:val="00512BA7"/>
    <w:rsid w:val="00515726"/>
    <w:rsid w:val="00560CE3"/>
    <w:rsid w:val="00562527"/>
    <w:rsid w:val="00562A1E"/>
    <w:rsid w:val="00563427"/>
    <w:rsid w:val="00581EB9"/>
    <w:rsid w:val="005B4E6E"/>
    <w:rsid w:val="005B56E4"/>
    <w:rsid w:val="005C795C"/>
    <w:rsid w:val="005D0E50"/>
    <w:rsid w:val="005D39D8"/>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D7AD8"/>
    <w:rsid w:val="006F1D57"/>
    <w:rsid w:val="0070364C"/>
    <w:rsid w:val="0070588E"/>
    <w:rsid w:val="00710EDF"/>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170E6"/>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5170D"/>
    <w:rsid w:val="00952CF6"/>
    <w:rsid w:val="00960413"/>
    <w:rsid w:val="00981995"/>
    <w:rsid w:val="00981C7F"/>
    <w:rsid w:val="00985515"/>
    <w:rsid w:val="00990813"/>
    <w:rsid w:val="009912BB"/>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EE3"/>
    <w:rsid w:val="00A83E11"/>
    <w:rsid w:val="00A94A0F"/>
    <w:rsid w:val="00AA3C6D"/>
    <w:rsid w:val="00AB57C4"/>
    <w:rsid w:val="00B11CF5"/>
    <w:rsid w:val="00B209FA"/>
    <w:rsid w:val="00B21D1F"/>
    <w:rsid w:val="00B410BA"/>
    <w:rsid w:val="00B43D68"/>
    <w:rsid w:val="00B44A3A"/>
    <w:rsid w:val="00B5600C"/>
    <w:rsid w:val="00B66E33"/>
    <w:rsid w:val="00B72FB1"/>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15C3D"/>
    <w:rsid w:val="00C21399"/>
    <w:rsid w:val="00C446E2"/>
    <w:rsid w:val="00C535F5"/>
    <w:rsid w:val="00C560C4"/>
    <w:rsid w:val="00C618C8"/>
    <w:rsid w:val="00C6748F"/>
    <w:rsid w:val="00C74337"/>
    <w:rsid w:val="00C75DC8"/>
    <w:rsid w:val="00C929AE"/>
    <w:rsid w:val="00CA4344"/>
    <w:rsid w:val="00CA6348"/>
    <w:rsid w:val="00CB1232"/>
    <w:rsid w:val="00CB17A0"/>
    <w:rsid w:val="00CC3B7D"/>
    <w:rsid w:val="00CD5AE4"/>
    <w:rsid w:val="00CD5E86"/>
    <w:rsid w:val="00CE3B21"/>
    <w:rsid w:val="00CE53A1"/>
    <w:rsid w:val="00CF4D09"/>
    <w:rsid w:val="00D005F2"/>
    <w:rsid w:val="00D03A8E"/>
    <w:rsid w:val="00D114ED"/>
    <w:rsid w:val="00D3032C"/>
    <w:rsid w:val="00D31A3B"/>
    <w:rsid w:val="00D5309D"/>
    <w:rsid w:val="00D631FA"/>
    <w:rsid w:val="00D71064"/>
    <w:rsid w:val="00D73BDB"/>
    <w:rsid w:val="00D811BB"/>
    <w:rsid w:val="00D82356"/>
    <w:rsid w:val="00D84EEE"/>
    <w:rsid w:val="00D90A61"/>
    <w:rsid w:val="00D946EF"/>
    <w:rsid w:val="00D95553"/>
    <w:rsid w:val="00DC355F"/>
    <w:rsid w:val="00DD1E4C"/>
    <w:rsid w:val="00DE331A"/>
    <w:rsid w:val="00DE6ACB"/>
    <w:rsid w:val="00DF02CE"/>
    <w:rsid w:val="00DF1462"/>
    <w:rsid w:val="00E030DA"/>
    <w:rsid w:val="00E214C0"/>
    <w:rsid w:val="00E30D85"/>
    <w:rsid w:val="00E3415C"/>
    <w:rsid w:val="00E444EB"/>
    <w:rsid w:val="00E77A69"/>
    <w:rsid w:val="00E81A42"/>
    <w:rsid w:val="00E961E8"/>
    <w:rsid w:val="00E96244"/>
    <w:rsid w:val="00E96DE0"/>
    <w:rsid w:val="00EB2BEC"/>
    <w:rsid w:val="00EB74BF"/>
    <w:rsid w:val="00EC0704"/>
    <w:rsid w:val="00EC508B"/>
    <w:rsid w:val="00ED6B5D"/>
    <w:rsid w:val="00EE4C99"/>
    <w:rsid w:val="00EE61E3"/>
    <w:rsid w:val="00F153D7"/>
    <w:rsid w:val="00F1599C"/>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A5A34AE-E371-4FF7-8A55-B4093279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8</Pages>
  <Words>2374</Words>
  <Characters>13534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Benová Tímea</cp:lastModifiedBy>
  <cp:revision>16</cp:revision>
  <cp:lastPrinted>2024-10-23T06:38:00Z</cp:lastPrinted>
  <dcterms:created xsi:type="dcterms:W3CDTF">2023-09-13T07:31:00Z</dcterms:created>
  <dcterms:modified xsi:type="dcterms:W3CDTF">2024-10-23T06:38:00Z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