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AE4" w:rsidRPr="00612E08" w:rsidRDefault="00A340BB" w:rsidP="001B23B7">
      <w:pPr>
        <w:spacing w:after="0" w:line="240" w:lineRule="auto"/>
        <w:jc w:val="center"/>
        <w:rPr>
          <w:rFonts w:ascii="Times New Roman" w:eastAsia="Times New Roman" w:hAnsi="Times New Roman" w:cs="Times New Roman"/>
          <w:b/>
          <w:sz w:val="28"/>
          <w:szCs w:val="28"/>
          <w:lang w:eastAsia="sk-SK"/>
        </w:rPr>
      </w:pPr>
      <w:bookmarkStart w:id="0" w:name="_GoBack"/>
      <w:bookmarkEnd w:id="0"/>
      <w:r w:rsidRPr="00612E08">
        <w:rPr>
          <w:rFonts w:ascii="Times New Roman" w:eastAsia="Times New Roman" w:hAnsi="Times New Roman" w:cs="Times New Roman"/>
          <w:b/>
          <w:sz w:val="28"/>
          <w:szCs w:val="28"/>
          <w:lang w:eastAsia="sk-SK"/>
        </w:rPr>
        <w:t>D</w:t>
      </w:r>
      <w:r w:rsidR="001B23B7" w:rsidRPr="00612E08">
        <w:rPr>
          <w:rFonts w:ascii="Times New Roman" w:eastAsia="Times New Roman" w:hAnsi="Times New Roman" w:cs="Times New Roman"/>
          <w:b/>
          <w:sz w:val="28"/>
          <w:szCs w:val="28"/>
          <w:lang w:eastAsia="sk-SK"/>
        </w:rPr>
        <w:t>oložka vybraných vplyvov</w:t>
      </w:r>
    </w:p>
    <w:p w:rsidR="001B23B7" w:rsidRPr="00612E08" w:rsidRDefault="001B23B7" w:rsidP="001B23B7">
      <w:pPr>
        <w:spacing w:after="0" w:line="240" w:lineRule="auto"/>
        <w:jc w:val="center"/>
        <w:rPr>
          <w:rFonts w:ascii="Times New Roman" w:eastAsia="Times New Roman" w:hAnsi="Times New Roman" w:cs="Times New Roman"/>
          <w:b/>
          <w:sz w:val="28"/>
          <w:szCs w:val="28"/>
          <w:lang w:eastAsia="sk-SK"/>
        </w:rPr>
      </w:pPr>
    </w:p>
    <w:p w:rsidR="001B23B7" w:rsidRPr="00612E08" w:rsidRDefault="001B23B7" w:rsidP="001B23B7">
      <w:pPr>
        <w:spacing w:after="200" w:line="276" w:lineRule="auto"/>
        <w:ind w:left="426"/>
        <w:contextualSpacing/>
        <w:rPr>
          <w:rFonts w:ascii="Calibri" w:eastAsia="Calibri" w:hAnsi="Calibri" w:cs="Times New Roman"/>
          <w:b/>
        </w:rPr>
      </w:pPr>
    </w:p>
    <w:tbl>
      <w:tblPr>
        <w:tblStyle w:val="Mriekatabuky1"/>
        <w:tblW w:w="9209" w:type="dxa"/>
        <w:tblLayout w:type="fixed"/>
        <w:tblLook w:val="04A0" w:firstRow="1" w:lastRow="0" w:firstColumn="1" w:lastColumn="0" w:noHBand="0" w:noVBand="1"/>
      </w:tblPr>
      <w:tblGrid>
        <w:gridCol w:w="3812"/>
        <w:gridCol w:w="400"/>
        <w:gridCol w:w="141"/>
        <w:gridCol w:w="564"/>
        <w:gridCol w:w="748"/>
        <w:gridCol w:w="284"/>
        <w:gridCol w:w="254"/>
        <w:gridCol w:w="1133"/>
        <w:gridCol w:w="284"/>
        <w:gridCol w:w="263"/>
        <w:gridCol w:w="1326"/>
      </w:tblGrid>
      <w:tr w:rsidR="00612E08" w:rsidRPr="00612E08" w:rsidTr="00B76A73">
        <w:tc>
          <w:tcPr>
            <w:tcW w:w="9209" w:type="dxa"/>
            <w:gridSpan w:val="11"/>
            <w:tcBorders>
              <w:bottom w:val="single" w:sz="4" w:space="0" w:color="FFFFFF"/>
            </w:tcBorders>
            <w:shd w:val="clear" w:color="auto" w:fill="E2E2E2"/>
          </w:tcPr>
          <w:p w:rsidR="001B23B7" w:rsidRPr="00612E08" w:rsidRDefault="001B23B7" w:rsidP="00F541B7">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Základné údaje</w:t>
            </w:r>
          </w:p>
        </w:tc>
      </w:tr>
      <w:tr w:rsidR="00612E08" w:rsidRPr="00612E08" w:rsidTr="00B76A73">
        <w:tc>
          <w:tcPr>
            <w:tcW w:w="9209" w:type="dxa"/>
            <w:gridSpan w:val="11"/>
            <w:tcBorders>
              <w:bottom w:val="single" w:sz="4" w:space="0" w:color="FFFFFF"/>
            </w:tcBorders>
            <w:shd w:val="clear" w:color="auto" w:fill="E2E2E2"/>
          </w:tcPr>
          <w:p w:rsidR="001B23B7" w:rsidRPr="00612E08" w:rsidRDefault="001B23B7" w:rsidP="00F541B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Názov materiálu</w:t>
            </w:r>
          </w:p>
        </w:tc>
      </w:tr>
      <w:tr w:rsidR="00612E08" w:rsidRPr="00612E08" w:rsidTr="00B76A73">
        <w:tc>
          <w:tcPr>
            <w:tcW w:w="9209" w:type="dxa"/>
            <w:gridSpan w:val="11"/>
            <w:tcBorders>
              <w:top w:val="single" w:sz="4" w:space="0" w:color="FFFFFF"/>
              <w:bottom w:val="single" w:sz="4" w:space="0" w:color="auto"/>
            </w:tcBorders>
          </w:tcPr>
          <w:p w:rsidR="001B23B7" w:rsidRPr="00612E08" w:rsidRDefault="001D30C3" w:rsidP="00F541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Stavebný zákon</w:t>
            </w:r>
          </w:p>
          <w:p w:rsidR="001B23B7" w:rsidRPr="00612E08" w:rsidRDefault="001B23B7" w:rsidP="00F541B7">
            <w:pPr>
              <w:rPr>
                <w:rFonts w:ascii="Times New Roman" w:eastAsia="Times New Roman" w:hAnsi="Times New Roman" w:cs="Times New Roman"/>
                <w:sz w:val="20"/>
                <w:szCs w:val="20"/>
                <w:lang w:eastAsia="sk-SK"/>
              </w:rPr>
            </w:pPr>
          </w:p>
        </w:tc>
      </w:tr>
      <w:tr w:rsidR="00612E08" w:rsidRPr="00612E08" w:rsidTr="00B76A73">
        <w:tc>
          <w:tcPr>
            <w:tcW w:w="9209" w:type="dxa"/>
            <w:gridSpan w:val="11"/>
            <w:tcBorders>
              <w:top w:val="single" w:sz="4" w:space="0" w:color="auto"/>
              <w:left w:val="single" w:sz="4" w:space="0" w:color="auto"/>
              <w:bottom w:val="single" w:sz="4" w:space="0" w:color="FFFFFF"/>
            </w:tcBorders>
            <w:shd w:val="clear" w:color="auto" w:fill="E2E2E2"/>
          </w:tcPr>
          <w:p w:rsidR="001B23B7" w:rsidRPr="00612E08" w:rsidRDefault="001B23B7" w:rsidP="00F541B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Predkladateľ (a spolupredkladateľ)</w:t>
            </w:r>
          </w:p>
        </w:tc>
      </w:tr>
      <w:tr w:rsidR="00612E08" w:rsidRPr="00612E08" w:rsidTr="00B76A73">
        <w:tc>
          <w:tcPr>
            <w:tcW w:w="9209" w:type="dxa"/>
            <w:gridSpan w:val="11"/>
            <w:tcBorders>
              <w:top w:val="single" w:sz="4" w:space="0" w:color="FFFFFF"/>
              <w:left w:val="single" w:sz="4" w:space="0" w:color="auto"/>
              <w:bottom w:val="single" w:sz="4" w:space="0" w:color="auto"/>
            </w:tcBorders>
            <w:shd w:val="clear" w:color="auto" w:fill="FFFFFF"/>
          </w:tcPr>
          <w:p w:rsidR="001B23B7" w:rsidRPr="00612E08" w:rsidRDefault="001B23B7" w:rsidP="00F541B7">
            <w:pPr>
              <w:rPr>
                <w:rFonts w:ascii="Times New Roman" w:eastAsia="Times New Roman" w:hAnsi="Times New Roman" w:cs="Times New Roman"/>
                <w:sz w:val="20"/>
                <w:szCs w:val="20"/>
                <w:lang w:eastAsia="sk-SK"/>
              </w:rPr>
            </w:pPr>
          </w:p>
          <w:p w:rsidR="001B23B7" w:rsidRPr="00612E08" w:rsidRDefault="001D30C3" w:rsidP="00F541B7">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Ministerstvo dopravy</w:t>
            </w:r>
            <w:r w:rsidR="00EC263F">
              <w:rPr>
                <w:rFonts w:ascii="Times New Roman" w:eastAsia="Times New Roman" w:hAnsi="Times New Roman" w:cs="Times New Roman"/>
                <w:sz w:val="20"/>
                <w:szCs w:val="20"/>
                <w:lang w:eastAsia="sk-SK"/>
              </w:rPr>
              <w:t xml:space="preserve"> Slovenskej republiky</w:t>
            </w:r>
          </w:p>
        </w:tc>
      </w:tr>
      <w:tr w:rsidR="00612E08" w:rsidRPr="00612E08" w:rsidTr="00B76A73">
        <w:tc>
          <w:tcPr>
            <w:tcW w:w="4212" w:type="dxa"/>
            <w:gridSpan w:val="2"/>
            <w:vMerge w:val="restart"/>
            <w:tcBorders>
              <w:top w:val="single" w:sz="4" w:space="0" w:color="auto"/>
              <w:left w:val="single" w:sz="4" w:space="0" w:color="auto"/>
              <w:bottom w:val="single" w:sz="4" w:space="0" w:color="FFFFFF"/>
            </w:tcBorders>
            <w:shd w:val="clear" w:color="auto" w:fill="E2E2E2"/>
            <w:vAlign w:val="center"/>
          </w:tcPr>
          <w:p w:rsidR="001B23B7" w:rsidRPr="00612E08" w:rsidRDefault="001B23B7" w:rsidP="00F541B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Charakter predkladaného materiálu</w:t>
            </w:r>
          </w:p>
        </w:tc>
        <w:sdt>
          <w:sdtPr>
            <w:rPr>
              <w:rFonts w:ascii="Times New Roman" w:eastAsia="Times New Roman" w:hAnsi="Times New Roman" w:cs="Times New Roman"/>
              <w:sz w:val="20"/>
              <w:szCs w:val="20"/>
              <w:lang w:eastAsia="sk-SK"/>
            </w:rPr>
            <w:id w:val="901099221"/>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F541B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92" w:type="dxa"/>
            <w:gridSpan w:val="7"/>
            <w:tcBorders>
              <w:top w:val="single" w:sz="4" w:space="0" w:color="auto"/>
              <w:left w:val="nil"/>
              <w:bottom w:val="single" w:sz="4" w:space="0" w:color="auto"/>
              <w:right w:val="single" w:sz="4" w:space="0" w:color="auto"/>
            </w:tcBorders>
            <w:shd w:val="clear" w:color="auto" w:fill="FFFFFF"/>
          </w:tcPr>
          <w:p w:rsidR="001B23B7" w:rsidRPr="00612E08" w:rsidRDefault="001B23B7" w:rsidP="00F541B7">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nelegislatívnej povahy</w:t>
            </w:r>
          </w:p>
        </w:tc>
      </w:tr>
      <w:tr w:rsidR="00612E08" w:rsidRPr="00612E08" w:rsidTr="00B76A73">
        <w:tc>
          <w:tcPr>
            <w:tcW w:w="4212" w:type="dxa"/>
            <w:gridSpan w:val="2"/>
            <w:vMerge/>
            <w:tcBorders>
              <w:top w:val="nil"/>
              <w:left w:val="single" w:sz="4" w:space="0" w:color="auto"/>
              <w:bottom w:val="single" w:sz="4" w:space="0" w:color="FFFFFF"/>
            </w:tcBorders>
            <w:shd w:val="clear" w:color="auto" w:fill="E2E2E2"/>
          </w:tcPr>
          <w:p w:rsidR="001B23B7" w:rsidRPr="00612E08" w:rsidRDefault="001B23B7" w:rsidP="00F541B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281381661"/>
            <w14:checkbox>
              <w14:checked w14:val="1"/>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1D30C3" w:rsidP="00203EE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4292" w:type="dxa"/>
            <w:gridSpan w:val="7"/>
            <w:tcBorders>
              <w:top w:val="single" w:sz="4" w:space="0" w:color="auto"/>
              <w:left w:val="nil"/>
              <w:bottom w:val="single" w:sz="4" w:space="0" w:color="auto"/>
            </w:tcBorders>
            <w:shd w:val="clear" w:color="auto" w:fill="FFFFFF"/>
          </w:tcPr>
          <w:p w:rsidR="001B23B7" w:rsidRPr="00612E08" w:rsidRDefault="001B23B7" w:rsidP="00F541B7">
            <w:pPr>
              <w:ind w:left="175" w:hanging="175"/>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Materiál legislatívnej povahy</w:t>
            </w:r>
          </w:p>
        </w:tc>
      </w:tr>
      <w:tr w:rsidR="00612E08" w:rsidRPr="00612E08" w:rsidTr="00B76A73">
        <w:tc>
          <w:tcPr>
            <w:tcW w:w="4212" w:type="dxa"/>
            <w:gridSpan w:val="2"/>
            <w:vMerge/>
            <w:tcBorders>
              <w:top w:val="nil"/>
              <w:left w:val="single" w:sz="4" w:space="0" w:color="auto"/>
              <w:bottom w:val="single" w:sz="4" w:space="0" w:color="auto"/>
            </w:tcBorders>
            <w:shd w:val="clear" w:color="auto" w:fill="E2E2E2"/>
          </w:tcPr>
          <w:p w:rsidR="001B23B7" w:rsidRPr="00612E08" w:rsidRDefault="001B23B7" w:rsidP="00F541B7">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1821804044"/>
            <w14:checkbox>
              <w14:checked w14:val="0"/>
              <w14:checkedState w14:val="2612" w14:font="MS Gothic"/>
              <w14:uncheckedState w14:val="2610" w14:font="MS Gothic"/>
            </w14:checkbox>
          </w:sdtPr>
          <w:sdtEndPr/>
          <w:sdtContent>
            <w:tc>
              <w:tcPr>
                <w:tcW w:w="705" w:type="dxa"/>
                <w:gridSpan w:val="2"/>
                <w:tcBorders>
                  <w:top w:val="single" w:sz="4" w:space="0" w:color="auto"/>
                  <w:left w:val="single" w:sz="4" w:space="0" w:color="auto"/>
                  <w:bottom w:val="single" w:sz="4" w:space="0" w:color="auto"/>
                  <w:right w:val="nil"/>
                </w:tcBorders>
                <w:shd w:val="clear" w:color="auto" w:fill="FFFFFF"/>
              </w:tcPr>
              <w:p w:rsidR="001B23B7" w:rsidRPr="00612E08" w:rsidRDefault="000013C3" w:rsidP="00F541B7">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4292" w:type="dxa"/>
            <w:gridSpan w:val="7"/>
            <w:tcBorders>
              <w:top w:val="single" w:sz="4" w:space="0" w:color="auto"/>
              <w:left w:val="nil"/>
              <w:bottom w:val="single" w:sz="4" w:space="0" w:color="auto"/>
            </w:tcBorders>
            <w:shd w:val="clear" w:color="auto" w:fill="FFFFFF"/>
          </w:tcPr>
          <w:p w:rsidR="001B23B7" w:rsidRPr="00612E08" w:rsidRDefault="001B23B7" w:rsidP="00ED165A">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Transpozícia</w:t>
            </w:r>
            <w:r w:rsidR="00ED165A" w:rsidRPr="00612E08">
              <w:rPr>
                <w:rFonts w:ascii="Times New Roman" w:eastAsia="Times New Roman" w:hAnsi="Times New Roman" w:cs="Times New Roman"/>
                <w:sz w:val="20"/>
                <w:szCs w:val="20"/>
                <w:lang w:eastAsia="sk-SK"/>
              </w:rPr>
              <w:t>/ implementácia</w:t>
            </w:r>
            <w:r w:rsidRPr="00612E08">
              <w:rPr>
                <w:rFonts w:ascii="Times New Roman" w:eastAsia="Times New Roman" w:hAnsi="Times New Roman" w:cs="Times New Roman"/>
                <w:sz w:val="20"/>
                <w:szCs w:val="20"/>
                <w:lang w:eastAsia="sk-SK"/>
              </w:rPr>
              <w:t xml:space="preserve"> práva EÚ</w:t>
            </w:r>
          </w:p>
        </w:tc>
      </w:tr>
      <w:tr w:rsidR="00612E08" w:rsidRPr="00612E08" w:rsidTr="00B76A73">
        <w:tc>
          <w:tcPr>
            <w:tcW w:w="9209" w:type="dxa"/>
            <w:gridSpan w:val="11"/>
            <w:tcBorders>
              <w:top w:val="single" w:sz="4" w:space="0" w:color="auto"/>
              <w:left w:val="single" w:sz="4" w:space="0" w:color="auto"/>
              <w:bottom w:val="single" w:sz="4" w:space="0" w:color="FFFFFF"/>
            </w:tcBorders>
            <w:shd w:val="clear" w:color="auto" w:fill="FFFFFF"/>
          </w:tcPr>
          <w:p w:rsidR="001B23B7" w:rsidRPr="00612E08" w:rsidRDefault="001B23B7" w:rsidP="00F541B7">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V prípade transpozície</w:t>
            </w:r>
            <w:r w:rsidR="00156064" w:rsidRPr="00612E08">
              <w:rPr>
                <w:rFonts w:ascii="Times New Roman" w:eastAsia="Times New Roman" w:hAnsi="Times New Roman" w:cs="Times New Roman"/>
                <w:i/>
                <w:sz w:val="20"/>
                <w:szCs w:val="20"/>
                <w:lang w:eastAsia="sk-SK"/>
              </w:rPr>
              <w:t>/implementácie</w:t>
            </w:r>
            <w:r w:rsidRPr="00612E08">
              <w:rPr>
                <w:rFonts w:ascii="Times New Roman" w:eastAsia="Times New Roman" w:hAnsi="Times New Roman" w:cs="Times New Roman"/>
                <w:i/>
                <w:sz w:val="20"/>
                <w:szCs w:val="20"/>
                <w:lang w:eastAsia="sk-SK"/>
              </w:rPr>
              <w:t xml:space="preserve"> uveďte zoznam transponovaných</w:t>
            </w:r>
            <w:r w:rsidR="00156064" w:rsidRPr="00612E08">
              <w:rPr>
                <w:rFonts w:ascii="Times New Roman" w:eastAsia="Times New Roman" w:hAnsi="Times New Roman" w:cs="Times New Roman"/>
                <w:i/>
                <w:sz w:val="20"/>
                <w:szCs w:val="20"/>
                <w:lang w:eastAsia="sk-SK"/>
              </w:rPr>
              <w:t>/implementovaných</w:t>
            </w:r>
            <w:r w:rsidRPr="00612E08">
              <w:rPr>
                <w:rFonts w:ascii="Times New Roman" w:eastAsia="Times New Roman" w:hAnsi="Times New Roman" w:cs="Times New Roman"/>
                <w:i/>
                <w:sz w:val="20"/>
                <w:szCs w:val="20"/>
                <w:lang w:eastAsia="sk-SK"/>
              </w:rPr>
              <w:t xml:space="preserve"> predpisov:</w:t>
            </w:r>
          </w:p>
          <w:p w:rsidR="001B23B7" w:rsidRPr="00612E08" w:rsidRDefault="001B23B7" w:rsidP="00F541B7">
            <w:pPr>
              <w:rPr>
                <w:rFonts w:ascii="Times New Roman" w:eastAsia="Times New Roman" w:hAnsi="Times New Roman" w:cs="Times New Roman"/>
                <w:sz w:val="20"/>
                <w:szCs w:val="20"/>
                <w:lang w:eastAsia="sk-SK"/>
              </w:rPr>
            </w:pPr>
          </w:p>
        </w:tc>
      </w:tr>
      <w:tr w:rsidR="00612E08" w:rsidRPr="00612E08" w:rsidTr="00B76A73">
        <w:tc>
          <w:tcPr>
            <w:tcW w:w="5949" w:type="dxa"/>
            <w:gridSpan w:val="6"/>
            <w:tcBorders>
              <w:top w:val="single" w:sz="4" w:space="0" w:color="000000"/>
              <w:left w:val="single" w:sz="4" w:space="0" w:color="auto"/>
              <w:bottom w:val="single" w:sz="4" w:space="0" w:color="FFFFFF"/>
              <w:right w:val="single" w:sz="4" w:space="0" w:color="auto"/>
            </w:tcBorders>
            <w:shd w:val="clear" w:color="auto" w:fill="E2E2E2"/>
          </w:tcPr>
          <w:p w:rsidR="001B23B7" w:rsidRPr="00612E08" w:rsidRDefault="001B23B7" w:rsidP="00F541B7">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Termín začiatku a ukončenia PPK</w:t>
            </w:r>
          </w:p>
        </w:tc>
        <w:tc>
          <w:tcPr>
            <w:tcW w:w="3260" w:type="dxa"/>
            <w:gridSpan w:val="5"/>
            <w:tcBorders>
              <w:top w:val="single" w:sz="4" w:space="0" w:color="000000"/>
              <w:left w:val="single" w:sz="4" w:space="0" w:color="auto"/>
              <w:bottom w:val="single" w:sz="4" w:space="0" w:color="auto"/>
              <w:right w:val="single" w:sz="4" w:space="0" w:color="auto"/>
            </w:tcBorders>
          </w:tcPr>
          <w:p w:rsidR="001B23B7" w:rsidRPr="00612E08" w:rsidRDefault="001B23B7" w:rsidP="00F54EE1">
            <w:pPr>
              <w:rPr>
                <w:rFonts w:ascii="Times New Roman" w:eastAsia="Times New Roman" w:hAnsi="Times New Roman" w:cs="Times New Roman"/>
                <w:i/>
                <w:sz w:val="20"/>
                <w:szCs w:val="20"/>
                <w:lang w:eastAsia="sk-SK"/>
              </w:rPr>
            </w:pPr>
          </w:p>
        </w:tc>
      </w:tr>
      <w:tr w:rsidR="00612E08" w:rsidRPr="00612E08" w:rsidTr="00B76A7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A340BB">
            <w:pPr>
              <w:spacing w:after="200" w:line="276" w:lineRule="auto"/>
              <w:ind w:left="142"/>
              <w:contextualSpacing/>
              <w:rPr>
                <w:rFonts w:ascii="Times New Roman" w:eastAsia="Calibri" w:hAnsi="Times New Roman" w:cs="Times New Roman"/>
                <w:b/>
              </w:rPr>
            </w:pPr>
            <w:r w:rsidRPr="00612E08">
              <w:rPr>
                <w:rFonts w:ascii="Times New Roman" w:eastAsia="Calibri" w:hAnsi="Times New Roman" w:cs="Times New Roman"/>
                <w:b/>
              </w:rPr>
              <w:t xml:space="preserve">Predpokladaný termín predloženia na </w:t>
            </w:r>
            <w:r w:rsidR="00A340BB" w:rsidRPr="00612E08">
              <w:rPr>
                <w:rFonts w:ascii="Times New Roman" w:eastAsia="Calibri" w:hAnsi="Times New Roman" w:cs="Times New Roman"/>
                <w:b/>
              </w:rPr>
              <w:t>pripomienkové konanie</w:t>
            </w:r>
          </w:p>
        </w:tc>
        <w:tc>
          <w:tcPr>
            <w:tcW w:w="3260" w:type="dxa"/>
            <w:gridSpan w:val="5"/>
            <w:tcBorders>
              <w:top w:val="single" w:sz="4" w:space="0" w:color="auto"/>
              <w:left w:val="single" w:sz="4" w:space="0" w:color="auto"/>
              <w:bottom w:val="single" w:sz="4" w:space="0" w:color="auto"/>
              <w:right w:val="single" w:sz="4" w:space="0" w:color="auto"/>
            </w:tcBorders>
          </w:tcPr>
          <w:p w:rsidR="001B23B7" w:rsidRPr="00612E08" w:rsidRDefault="00EC263F" w:rsidP="00E6743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2</w:t>
            </w:r>
            <w:r w:rsidR="00E67432">
              <w:rPr>
                <w:rFonts w:ascii="Times New Roman" w:eastAsia="Times New Roman" w:hAnsi="Times New Roman" w:cs="Times New Roman"/>
                <w:i/>
                <w:sz w:val="20"/>
                <w:szCs w:val="20"/>
                <w:lang w:eastAsia="sk-SK"/>
              </w:rPr>
              <w:t>6</w:t>
            </w:r>
            <w:r w:rsidR="006F23A5">
              <w:rPr>
                <w:rFonts w:ascii="Times New Roman" w:eastAsia="Times New Roman" w:hAnsi="Times New Roman" w:cs="Times New Roman"/>
                <w:i/>
                <w:sz w:val="20"/>
                <w:szCs w:val="20"/>
                <w:lang w:eastAsia="sk-SK"/>
              </w:rPr>
              <w:t>.</w:t>
            </w:r>
            <w:r w:rsidR="00F54EE1">
              <w:rPr>
                <w:rFonts w:ascii="Times New Roman" w:eastAsia="Times New Roman" w:hAnsi="Times New Roman" w:cs="Times New Roman"/>
                <w:i/>
                <w:sz w:val="20"/>
                <w:szCs w:val="20"/>
                <w:lang w:eastAsia="sk-SK"/>
              </w:rPr>
              <w:t xml:space="preserve"> júl</w:t>
            </w:r>
            <w:r w:rsidR="006F23A5">
              <w:rPr>
                <w:rFonts w:ascii="Times New Roman" w:eastAsia="Times New Roman" w:hAnsi="Times New Roman" w:cs="Times New Roman"/>
                <w:i/>
                <w:sz w:val="20"/>
                <w:szCs w:val="20"/>
                <w:lang w:eastAsia="sk-SK"/>
              </w:rPr>
              <w:t xml:space="preserve"> -</w:t>
            </w:r>
            <w:r w:rsidR="00E67432">
              <w:rPr>
                <w:rFonts w:ascii="Times New Roman" w:eastAsia="Times New Roman" w:hAnsi="Times New Roman" w:cs="Times New Roman"/>
                <w:i/>
                <w:sz w:val="20"/>
                <w:szCs w:val="20"/>
                <w:lang w:eastAsia="sk-SK"/>
              </w:rPr>
              <w:t xml:space="preserve"> 16</w:t>
            </w:r>
            <w:r w:rsidR="006F23A5">
              <w:rPr>
                <w:rFonts w:ascii="Times New Roman" w:eastAsia="Times New Roman" w:hAnsi="Times New Roman" w:cs="Times New Roman"/>
                <w:i/>
                <w:sz w:val="20"/>
                <w:szCs w:val="20"/>
                <w:lang w:eastAsia="sk-SK"/>
              </w:rPr>
              <w:t xml:space="preserve">. </w:t>
            </w:r>
            <w:r w:rsidR="00F54EE1">
              <w:rPr>
                <w:rFonts w:ascii="Times New Roman" w:eastAsia="Times New Roman" w:hAnsi="Times New Roman" w:cs="Times New Roman"/>
                <w:i/>
                <w:sz w:val="20"/>
                <w:szCs w:val="20"/>
                <w:lang w:eastAsia="sk-SK"/>
              </w:rPr>
              <w:t>august</w:t>
            </w:r>
            <w:r w:rsidR="006F23A5">
              <w:rPr>
                <w:rFonts w:ascii="Times New Roman" w:eastAsia="Times New Roman" w:hAnsi="Times New Roman" w:cs="Times New Roman"/>
                <w:i/>
                <w:sz w:val="20"/>
                <w:szCs w:val="20"/>
                <w:lang w:eastAsia="sk-SK"/>
              </w:rPr>
              <w:t xml:space="preserve"> 2024</w:t>
            </w:r>
          </w:p>
        </w:tc>
      </w:tr>
      <w:tr w:rsidR="00612E08" w:rsidRPr="00612E08" w:rsidTr="00B76A73">
        <w:trPr>
          <w:trHeight w:val="320"/>
        </w:trPr>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D2313B">
            <w:pPr>
              <w:spacing w:line="276" w:lineRule="auto"/>
              <w:ind w:left="142"/>
              <w:contextualSpacing/>
              <w:rPr>
                <w:rFonts w:ascii="Calibri" w:eastAsia="Calibri" w:hAnsi="Calibri" w:cs="Times New Roman"/>
                <w:b/>
              </w:rPr>
            </w:pPr>
            <w:r w:rsidRPr="00612E08">
              <w:rPr>
                <w:rFonts w:ascii="Times New Roman" w:eastAsia="Calibri" w:hAnsi="Times New Roman" w:cs="Times New Roman"/>
                <w:b/>
              </w:rPr>
              <w:t>Predpokladaný termín začiatku a ukončenia ZP**</w:t>
            </w:r>
            <w:r w:rsidRPr="00612E08">
              <w:rPr>
                <w:rFonts w:ascii="Calibri" w:eastAsia="Calibri" w:hAnsi="Calibri" w:cs="Times New Roman"/>
                <w:b/>
              </w:rPr>
              <w:t xml:space="preserve"> </w:t>
            </w:r>
          </w:p>
        </w:tc>
        <w:tc>
          <w:tcPr>
            <w:tcW w:w="3260" w:type="dxa"/>
            <w:gridSpan w:val="5"/>
            <w:tcBorders>
              <w:top w:val="single" w:sz="4" w:space="0" w:color="auto"/>
              <w:left w:val="single" w:sz="4" w:space="0" w:color="auto"/>
              <w:bottom w:val="single" w:sz="4" w:space="0" w:color="auto"/>
              <w:right w:val="single" w:sz="4" w:space="0" w:color="auto"/>
            </w:tcBorders>
          </w:tcPr>
          <w:p w:rsidR="001B23B7" w:rsidRPr="00612E08" w:rsidRDefault="001B23B7">
            <w:pPr>
              <w:rPr>
                <w:rFonts w:ascii="Times New Roman" w:eastAsia="Times New Roman" w:hAnsi="Times New Roman" w:cs="Times New Roman"/>
                <w:i/>
                <w:sz w:val="20"/>
                <w:szCs w:val="20"/>
                <w:lang w:eastAsia="sk-SK"/>
              </w:rPr>
            </w:pPr>
          </w:p>
        </w:tc>
      </w:tr>
      <w:tr w:rsidR="00612E08" w:rsidRPr="00612E08" w:rsidTr="00B76A73">
        <w:tc>
          <w:tcPr>
            <w:tcW w:w="5949" w:type="dxa"/>
            <w:gridSpan w:val="6"/>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F541B7">
            <w:pPr>
              <w:spacing w:after="200" w:line="276" w:lineRule="auto"/>
              <w:ind w:left="142"/>
              <w:contextualSpacing/>
              <w:jc w:val="both"/>
              <w:rPr>
                <w:rFonts w:ascii="Times New Roman" w:eastAsia="Calibri" w:hAnsi="Times New Roman" w:cs="Times New Roman"/>
                <w:b/>
              </w:rPr>
            </w:pPr>
            <w:r w:rsidRPr="00612E08">
              <w:rPr>
                <w:rFonts w:ascii="Times New Roman" w:eastAsia="Calibri" w:hAnsi="Times New Roman" w:cs="Times New Roman"/>
                <w:b/>
              </w:rPr>
              <w:t>Predpokladaný termín predloženia na rokovanie vlády SR*</w:t>
            </w:r>
          </w:p>
        </w:tc>
        <w:tc>
          <w:tcPr>
            <w:tcW w:w="3260" w:type="dxa"/>
            <w:gridSpan w:val="5"/>
            <w:tcBorders>
              <w:top w:val="single" w:sz="4" w:space="0" w:color="auto"/>
              <w:left w:val="single" w:sz="4" w:space="0" w:color="auto"/>
              <w:bottom w:val="single" w:sz="4" w:space="0" w:color="auto"/>
              <w:right w:val="single" w:sz="4" w:space="0" w:color="auto"/>
            </w:tcBorders>
          </w:tcPr>
          <w:p w:rsidR="001B23B7" w:rsidRPr="00612E08" w:rsidRDefault="006F23A5" w:rsidP="006F23A5">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október 2024</w:t>
            </w:r>
          </w:p>
        </w:tc>
      </w:tr>
      <w:tr w:rsidR="00612E08" w:rsidRPr="00612E08" w:rsidTr="00B76A73">
        <w:tc>
          <w:tcPr>
            <w:tcW w:w="9209" w:type="dxa"/>
            <w:gridSpan w:val="11"/>
            <w:tcBorders>
              <w:top w:val="single" w:sz="4" w:space="0" w:color="auto"/>
              <w:left w:val="nil"/>
              <w:bottom w:val="single" w:sz="4" w:space="0" w:color="auto"/>
              <w:right w:val="nil"/>
            </w:tcBorders>
            <w:shd w:val="clear" w:color="auto" w:fill="FFFFFF"/>
          </w:tcPr>
          <w:p w:rsidR="001B23B7" w:rsidRPr="00612E08" w:rsidRDefault="001B23B7" w:rsidP="00F541B7">
            <w:pPr>
              <w:rPr>
                <w:rFonts w:ascii="Times New Roman" w:eastAsia="Times New Roman" w:hAnsi="Times New Roman" w:cs="Times New Roman"/>
                <w:sz w:val="20"/>
                <w:szCs w:val="20"/>
                <w:lang w:eastAsia="sk-SK"/>
              </w:rPr>
            </w:pPr>
          </w:p>
        </w:tc>
      </w:tr>
      <w:tr w:rsidR="00612E08" w:rsidRPr="00612E08" w:rsidTr="00B76A73">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F541B7">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Definovanie problému</w:t>
            </w:r>
          </w:p>
        </w:tc>
      </w:tr>
      <w:tr w:rsidR="00612E08" w:rsidRPr="00612E08" w:rsidTr="00B76A73">
        <w:trPr>
          <w:trHeight w:val="718"/>
        </w:trPr>
        <w:tc>
          <w:tcPr>
            <w:tcW w:w="9209" w:type="dxa"/>
            <w:gridSpan w:val="11"/>
            <w:tcBorders>
              <w:top w:val="single" w:sz="4" w:space="0" w:color="FFFFFF"/>
              <w:left w:val="single" w:sz="4" w:space="0" w:color="auto"/>
              <w:bottom w:val="single" w:sz="4" w:space="0" w:color="auto"/>
              <w:right w:val="single" w:sz="4" w:space="0" w:color="auto"/>
            </w:tcBorders>
            <w:shd w:val="clear" w:color="auto" w:fill="FFFFFF"/>
          </w:tcPr>
          <w:p w:rsidR="00C2390A" w:rsidRPr="00C2390A" w:rsidRDefault="00C2390A" w:rsidP="00C2390A">
            <w:pPr>
              <w:spacing w:after="120"/>
              <w:ind w:right="74" w:firstLine="708"/>
              <w:jc w:val="both"/>
              <w:rPr>
                <w:rFonts w:ascii="Times New Roman" w:hAnsi="Times New Roman" w:cs="Times New Roman"/>
                <w:sz w:val="20"/>
                <w:szCs w:val="20"/>
              </w:rPr>
            </w:pPr>
            <w:r w:rsidRPr="00C2390A">
              <w:rPr>
                <w:rFonts w:ascii="Times New Roman" w:hAnsi="Times New Roman" w:cs="Times New Roman"/>
                <w:sz w:val="20"/>
                <w:szCs w:val="20"/>
              </w:rPr>
              <w:t>Návrh stavebného zákona (ďalej len „návrh zákona“). Návrh zákona pripravuje Ministerstvo dopravy SR ako prioritnú úlohu vyplývajúcu z Programového vyhlásenia vlády Slovenskej republiky na roky 2023 - 2027, časť Doprava a výstavba, s cieľom akcelerovania prípravných a povoľovacích procesov.</w:t>
            </w:r>
          </w:p>
          <w:p w:rsidR="00C2390A" w:rsidRPr="00C2390A" w:rsidRDefault="00C2390A" w:rsidP="00C2390A">
            <w:pPr>
              <w:spacing w:after="120"/>
              <w:ind w:right="74" w:firstLine="708"/>
              <w:jc w:val="both"/>
              <w:rPr>
                <w:rFonts w:ascii="Times New Roman" w:hAnsi="Times New Roman" w:cs="Times New Roman"/>
                <w:sz w:val="20"/>
                <w:szCs w:val="20"/>
              </w:rPr>
            </w:pPr>
            <w:r w:rsidRPr="00C2390A">
              <w:rPr>
                <w:rFonts w:ascii="Times New Roman" w:hAnsi="Times New Roman" w:cs="Times New Roman"/>
                <w:sz w:val="20"/>
                <w:szCs w:val="20"/>
              </w:rPr>
              <w:t xml:space="preserve">Novelou zákona č. 200/2022 Z .z. o územnom plánovaní a súvisiacich predpisov zákonom č. 46/2024 Z. z. ktorým sa mení a dopĺňa zákon č. 50/1976 Zb. o územnom plánovaní a stavebnom poriadku (stavebný zákon) v znení neskorších predpisov a ktorým sa menia a dopĺňajú niektoré zákony, zabezpečila vláda </w:t>
            </w:r>
            <w:r w:rsidR="0021107F">
              <w:rPr>
                <w:rFonts w:ascii="Times New Roman" w:hAnsi="Times New Roman" w:cs="Times New Roman"/>
                <w:sz w:val="20"/>
                <w:szCs w:val="20"/>
              </w:rPr>
              <w:t xml:space="preserve">SR </w:t>
            </w:r>
            <w:r w:rsidRPr="00C2390A">
              <w:rPr>
                <w:rFonts w:ascii="Times New Roman" w:hAnsi="Times New Roman" w:cs="Times New Roman"/>
                <w:sz w:val="20"/>
                <w:szCs w:val="20"/>
              </w:rPr>
              <w:t xml:space="preserve">požiadavku oddialiť účinnosť zákona č. 201/2022 Z. z. o výstavbe v znení neskorších predpisov (ďalej len „zákon o výstavbe“) v súvislosti s nepripravenosťou na spustenie povoľovacích procesov v zmysle novej legislatívy o výstavbe o 1 rok, t. j. do 01. 04. 2025. Hlavnými dôvodmi bola nepripravenosť integrácie povoľovacích procesov stavieb s EIA, časový sklz pri príprave vyhláškového aparátu, nutnosť opravy vád a chýbajúcich častí právnej úpravy nadväzujúcej na zákon o výstavbe, časový sklz formulárov a digitalizácie konaní vo výstavbe a technického vybavenia, nedostatočné personálne obsadenie Úradu </w:t>
            </w:r>
            <w:r w:rsidR="0021107F" w:rsidRPr="00894C1D">
              <w:rPr>
                <w:rFonts w:ascii="Times New Roman" w:eastAsia="Times New Roman" w:hAnsi="Times New Roman" w:cs="Times New Roman"/>
                <w:sz w:val="20"/>
                <w:szCs w:val="20"/>
                <w:lang w:eastAsia="sk-SK"/>
              </w:rPr>
              <w:t>pre územné plánovanie a výstavbu Slovenskej republiky</w:t>
            </w:r>
            <w:r w:rsidR="0021107F">
              <w:rPr>
                <w:rFonts w:ascii="Times New Roman" w:eastAsia="Times New Roman" w:hAnsi="Times New Roman" w:cs="Times New Roman"/>
                <w:sz w:val="20"/>
                <w:szCs w:val="20"/>
                <w:lang w:eastAsia="sk-SK"/>
              </w:rPr>
              <w:t xml:space="preserve"> </w:t>
            </w:r>
            <w:r w:rsidR="0021107F" w:rsidRPr="002F667C">
              <w:rPr>
                <w:rFonts w:ascii="Times New Roman" w:hAnsi="Times New Roman" w:cs="Times New Roman"/>
                <w:sz w:val="20"/>
                <w:szCs w:val="20"/>
                <w:lang w:eastAsia="sk-SK"/>
              </w:rPr>
              <w:t>(ÚUPaV SR),</w:t>
            </w:r>
            <w:r w:rsidR="0021107F">
              <w:rPr>
                <w:rFonts w:ascii="Times New Roman" w:hAnsi="Times New Roman" w:cs="Times New Roman"/>
                <w:sz w:val="20"/>
                <w:szCs w:val="20"/>
                <w:lang w:eastAsia="sk-SK"/>
              </w:rPr>
              <w:t xml:space="preserve"> </w:t>
            </w:r>
            <w:r w:rsidRPr="00C2390A">
              <w:rPr>
                <w:rFonts w:ascii="Times New Roman" w:hAnsi="Times New Roman" w:cs="Times New Roman"/>
                <w:sz w:val="20"/>
                <w:szCs w:val="20"/>
              </w:rPr>
              <w:t>vyškolenými odbornými zamestnancami pre realizáciu preberaného rozsahu povoľovacích konaní.</w:t>
            </w:r>
          </w:p>
          <w:p w:rsidR="001B23B7" w:rsidRPr="003412E7" w:rsidRDefault="00154407" w:rsidP="003412E7">
            <w:pPr>
              <w:spacing w:after="120"/>
              <w:ind w:right="74"/>
              <w:jc w:val="both"/>
              <w:rPr>
                <w:rFonts w:ascii="Times New Roman" w:hAnsi="Times New Roman" w:cs="Times New Roman"/>
                <w:sz w:val="20"/>
                <w:szCs w:val="20"/>
              </w:rPr>
            </w:pPr>
            <w:r>
              <w:rPr>
                <w:rFonts w:ascii="Times New Roman" w:hAnsi="Times New Roman" w:cs="Times New Roman"/>
                <w:sz w:val="20"/>
                <w:szCs w:val="20"/>
              </w:rPr>
              <w:t xml:space="preserve">               </w:t>
            </w:r>
            <w:r w:rsidR="00C2390A" w:rsidRPr="00C2390A">
              <w:rPr>
                <w:rFonts w:ascii="Times New Roman" w:hAnsi="Times New Roman" w:cs="Times New Roman"/>
                <w:sz w:val="20"/>
                <w:szCs w:val="20"/>
              </w:rPr>
              <w:t>Nov</w:t>
            </w:r>
            <w:r w:rsidR="00C2390A">
              <w:rPr>
                <w:rFonts w:ascii="Times New Roman" w:hAnsi="Times New Roman" w:cs="Times New Roman"/>
                <w:sz w:val="20"/>
                <w:szCs w:val="20"/>
              </w:rPr>
              <w:t>ý</w:t>
            </w:r>
            <w:r w:rsidR="00C2390A" w:rsidRPr="00C2390A">
              <w:rPr>
                <w:rFonts w:ascii="Times New Roman" w:hAnsi="Times New Roman" w:cs="Times New Roman"/>
                <w:sz w:val="20"/>
                <w:szCs w:val="20"/>
              </w:rPr>
              <w:t xml:space="preserve"> stavebn</w:t>
            </w:r>
            <w:r w:rsidR="00C2390A">
              <w:rPr>
                <w:rFonts w:ascii="Times New Roman" w:hAnsi="Times New Roman" w:cs="Times New Roman"/>
                <w:sz w:val="20"/>
                <w:szCs w:val="20"/>
              </w:rPr>
              <w:t>ý zákon</w:t>
            </w:r>
            <w:r w:rsidR="00C2390A" w:rsidRPr="00C2390A">
              <w:rPr>
                <w:rFonts w:ascii="Times New Roman" w:hAnsi="Times New Roman" w:cs="Times New Roman"/>
                <w:sz w:val="20"/>
                <w:szCs w:val="20"/>
              </w:rPr>
              <w:t xml:space="preserve"> nahrad</w:t>
            </w:r>
            <w:r w:rsidR="00C2390A">
              <w:rPr>
                <w:rFonts w:ascii="Times New Roman" w:hAnsi="Times New Roman" w:cs="Times New Roman"/>
                <w:sz w:val="20"/>
                <w:szCs w:val="20"/>
              </w:rPr>
              <w:t>í</w:t>
            </w:r>
            <w:r w:rsidR="00C2390A" w:rsidRPr="00C2390A">
              <w:rPr>
                <w:rFonts w:ascii="Times New Roman" w:hAnsi="Times New Roman" w:cs="Times New Roman"/>
                <w:sz w:val="20"/>
                <w:szCs w:val="20"/>
              </w:rPr>
              <w:t xml:space="preserve"> v súčasnosti platný a účinný  zákon č. 50/1976 Zb. o územnom plánovaní a stavebnom poriadku (stavebný zákon) v znení neskorších predpisov aj platný zákon č. 201/2022 Z. z. o výstavbe s odlo</w:t>
            </w:r>
            <w:r w:rsidR="003412E7">
              <w:rPr>
                <w:rFonts w:ascii="Times New Roman" w:hAnsi="Times New Roman" w:cs="Times New Roman"/>
                <w:sz w:val="20"/>
                <w:szCs w:val="20"/>
              </w:rPr>
              <w:t>ženou účinnosťou od 01.04.2025.</w:t>
            </w:r>
          </w:p>
        </w:tc>
      </w:tr>
      <w:tr w:rsidR="00612E08" w:rsidRPr="00612E08" w:rsidTr="00103841">
        <w:tc>
          <w:tcPr>
            <w:tcW w:w="9209" w:type="dxa"/>
            <w:gridSpan w:val="11"/>
            <w:tcBorders>
              <w:top w:val="single" w:sz="4" w:space="0" w:color="auto"/>
              <w:left w:val="single" w:sz="4" w:space="0" w:color="auto"/>
              <w:bottom w:val="single" w:sz="4" w:space="0" w:color="auto"/>
              <w:right w:val="single" w:sz="4" w:space="0" w:color="auto"/>
            </w:tcBorders>
            <w:shd w:val="clear" w:color="auto" w:fill="E2E2E2"/>
          </w:tcPr>
          <w:p w:rsidR="001B23B7" w:rsidRPr="00612E08" w:rsidRDefault="001B23B7" w:rsidP="00F541B7">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Ciele a výsledný stav</w:t>
            </w:r>
          </w:p>
        </w:tc>
      </w:tr>
      <w:tr w:rsidR="001D30C3" w:rsidRPr="00612E08" w:rsidTr="00103841">
        <w:trPr>
          <w:trHeight w:val="741"/>
        </w:trPr>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rsidR="002F667C" w:rsidRPr="00154407" w:rsidRDefault="002F667C" w:rsidP="002F667C">
            <w:pPr>
              <w:spacing w:after="120"/>
              <w:ind w:right="74" w:firstLine="708"/>
              <w:jc w:val="both"/>
              <w:rPr>
                <w:rFonts w:ascii="Times New Roman" w:hAnsi="Times New Roman" w:cs="Times New Roman"/>
                <w:sz w:val="20"/>
                <w:szCs w:val="20"/>
              </w:rPr>
            </w:pPr>
            <w:r w:rsidRPr="00154407">
              <w:rPr>
                <w:rFonts w:ascii="Times New Roman" w:hAnsi="Times New Roman" w:cs="Times New Roman"/>
                <w:sz w:val="20"/>
                <w:szCs w:val="20"/>
              </w:rPr>
              <w:t>Zákon č. 201/2022 Z.</w:t>
            </w:r>
            <w:r w:rsidR="0021107F">
              <w:rPr>
                <w:rFonts w:ascii="Times New Roman" w:hAnsi="Times New Roman" w:cs="Times New Roman"/>
                <w:sz w:val="20"/>
                <w:szCs w:val="20"/>
              </w:rPr>
              <w:t xml:space="preserve"> </w:t>
            </w:r>
            <w:r w:rsidRPr="00154407">
              <w:rPr>
                <w:rFonts w:ascii="Times New Roman" w:hAnsi="Times New Roman" w:cs="Times New Roman"/>
                <w:sz w:val="20"/>
                <w:szCs w:val="20"/>
              </w:rPr>
              <w:t>z. o výstavbe bol schválený v súčinnosti so zákonom č. 200/2022 Z.</w:t>
            </w:r>
            <w:r w:rsidR="0021107F">
              <w:rPr>
                <w:rFonts w:ascii="Times New Roman" w:hAnsi="Times New Roman" w:cs="Times New Roman"/>
                <w:sz w:val="20"/>
                <w:szCs w:val="20"/>
              </w:rPr>
              <w:t xml:space="preserve"> </w:t>
            </w:r>
            <w:r w:rsidRPr="00154407">
              <w:rPr>
                <w:rFonts w:ascii="Times New Roman" w:hAnsi="Times New Roman" w:cs="Times New Roman"/>
                <w:sz w:val="20"/>
                <w:szCs w:val="20"/>
              </w:rPr>
              <w:t xml:space="preserve">z. o územnom plánovaní </w:t>
            </w:r>
            <w:r w:rsidR="00065DE5" w:rsidRPr="00154407">
              <w:rPr>
                <w:rFonts w:ascii="Times New Roman" w:hAnsi="Times New Roman" w:cs="Times New Roman"/>
                <w:sz w:val="20"/>
                <w:szCs w:val="20"/>
              </w:rPr>
              <w:t xml:space="preserve">(zákon o územnom plánovaní) </w:t>
            </w:r>
            <w:r w:rsidRPr="00154407">
              <w:rPr>
                <w:rFonts w:ascii="Times New Roman" w:hAnsi="Times New Roman" w:cs="Times New Roman"/>
                <w:sz w:val="20"/>
                <w:szCs w:val="20"/>
              </w:rPr>
              <w:t>a novelou zákona</w:t>
            </w:r>
            <w:r w:rsidR="005E2DE6" w:rsidRPr="00154407">
              <w:rPr>
                <w:rFonts w:ascii="Times New Roman" w:hAnsi="Times New Roman" w:cs="Times New Roman"/>
                <w:sz w:val="20"/>
                <w:szCs w:val="20"/>
              </w:rPr>
              <w:t xml:space="preserve"> </w:t>
            </w:r>
            <w:r w:rsidR="005E2DE6" w:rsidRPr="00103841">
              <w:rPr>
                <w:rFonts w:ascii="Times New Roman" w:hAnsi="Times New Roman" w:cs="Times New Roman"/>
                <w:sz w:val="20"/>
                <w:szCs w:val="20"/>
                <w:shd w:val="clear" w:color="auto" w:fill="FFFFFF"/>
              </w:rPr>
              <w:t xml:space="preserve">č. 575/2001 Z. z. o organizácii činnosti vlády a organizácii ústrednej štátnej správy v znení neskorších predpisov a ktorým sa menia a dopĺňajú niektoré zákony </w:t>
            </w:r>
            <w:r w:rsidR="00243F5A" w:rsidRPr="00103841">
              <w:rPr>
                <w:rFonts w:ascii="Times New Roman" w:hAnsi="Times New Roman" w:cs="Times New Roman"/>
                <w:sz w:val="20"/>
                <w:szCs w:val="20"/>
                <w:shd w:val="clear" w:color="auto" w:fill="FFFFFF"/>
              </w:rPr>
              <w:t>(</w:t>
            </w:r>
            <w:r w:rsidRPr="00154407">
              <w:rPr>
                <w:rFonts w:ascii="Times New Roman" w:hAnsi="Times New Roman" w:cs="Times New Roman"/>
                <w:sz w:val="20"/>
                <w:szCs w:val="20"/>
              </w:rPr>
              <w:t>kompetenčný zákon</w:t>
            </w:r>
            <w:r w:rsidR="00243F5A" w:rsidRPr="00154407">
              <w:rPr>
                <w:rFonts w:ascii="Times New Roman" w:hAnsi="Times New Roman" w:cs="Times New Roman"/>
                <w:sz w:val="20"/>
                <w:szCs w:val="20"/>
              </w:rPr>
              <w:t>)</w:t>
            </w:r>
            <w:r w:rsidRPr="00154407">
              <w:rPr>
                <w:rFonts w:ascii="Times New Roman" w:hAnsi="Times New Roman" w:cs="Times New Roman"/>
                <w:sz w:val="20"/>
                <w:szCs w:val="20"/>
              </w:rPr>
              <w:t xml:space="preserve">. </w:t>
            </w:r>
            <w:r w:rsidRPr="00154407">
              <w:rPr>
                <w:rFonts w:ascii="Times New Roman" w:eastAsia="Times New Roman" w:hAnsi="Times New Roman" w:cs="Times New Roman"/>
                <w:sz w:val="20"/>
                <w:szCs w:val="20"/>
                <w:lang w:eastAsia="sk-SK"/>
              </w:rPr>
              <w:t>Táto </w:t>
            </w:r>
            <w:r w:rsidRPr="00154407">
              <w:rPr>
                <w:rFonts w:ascii="Times New Roman" w:eastAsia="Times New Roman" w:hAnsi="Times New Roman" w:cs="Times New Roman"/>
                <w:b/>
                <w:bCs/>
                <w:sz w:val="20"/>
                <w:szCs w:val="20"/>
                <w:lang w:eastAsia="sk-SK"/>
              </w:rPr>
              <w:t>trojica zákonov</w:t>
            </w:r>
            <w:r w:rsidRPr="00154407">
              <w:rPr>
                <w:rFonts w:ascii="Times New Roman" w:hAnsi="Times New Roman" w:cs="Times New Roman"/>
                <w:b/>
                <w:bCs/>
                <w:sz w:val="20"/>
                <w:szCs w:val="20"/>
                <w:lang w:eastAsia="sk-SK"/>
              </w:rPr>
              <w:t xml:space="preserve"> bola </w:t>
            </w:r>
            <w:r w:rsidRPr="00154407">
              <w:rPr>
                <w:rFonts w:ascii="Times New Roman" w:eastAsia="Times New Roman" w:hAnsi="Times New Roman" w:cs="Times New Roman"/>
                <w:sz w:val="20"/>
                <w:szCs w:val="20"/>
                <w:lang w:eastAsia="sk-SK"/>
              </w:rPr>
              <w:t xml:space="preserve">navzájom prepojená </w:t>
            </w:r>
            <w:r w:rsidRPr="00154407">
              <w:rPr>
                <w:rFonts w:ascii="Times New Roman" w:hAnsi="Times New Roman" w:cs="Times New Roman"/>
                <w:sz w:val="20"/>
                <w:szCs w:val="20"/>
                <w:lang w:eastAsia="sk-SK"/>
              </w:rPr>
              <w:t>a</w:t>
            </w:r>
            <w:r w:rsidRPr="00154407">
              <w:rPr>
                <w:rFonts w:ascii="Times New Roman" w:eastAsia="Times New Roman" w:hAnsi="Times New Roman" w:cs="Times New Roman"/>
                <w:sz w:val="20"/>
                <w:szCs w:val="20"/>
                <w:lang w:eastAsia="sk-SK"/>
              </w:rPr>
              <w:t xml:space="preserve"> vecne, časovo, prevádzkovo aj finančne podporujúca a tak tvor</w:t>
            </w:r>
            <w:r w:rsidR="001073C4" w:rsidRPr="00154407">
              <w:rPr>
                <w:rFonts w:ascii="Times New Roman" w:eastAsia="Times New Roman" w:hAnsi="Times New Roman" w:cs="Times New Roman"/>
                <w:sz w:val="20"/>
                <w:szCs w:val="20"/>
                <w:lang w:eastAsia="sk-SK"/>
              </w:rPr>
              <w:t>ila</w:t>
            </w:r>
            <w:r w:rsidRPr="00154407">
              <w:rPr>
                <w:rFonts w:ascii="Times New Roman" w:eastAsia="Times New Roman" w:hAnsi="Times New Roman" w:cs="Times New Roman"/>
                <w:sz w:val="20"/>
                <w:szCs w:val="20"/>
                <w:lang w:eastAsia="sk-SK"/>
              </w:rPr>
              <w:t xml:space="preserve"> jeden ucelený programový rámec zmeny v oblasti stavebníctva SR.</w:t>
            </w:r>
            <w:r w:rsidR="00065DE5" w:rsidRPr="00154407">
              <w:rPr>
                <w:rFonts w:ascii="Times New Roman" w:eastAsia="Times New Roman" w:hAnsi="Times New Roman" w:cs="Times New Roman"/>
                <w:sz w:val="20"/>
                <w:szCs w:val="20"/>
                <w:lang w:eastAsia="sk-SK"/>
              </w:rPr>
              <w:t xml:space="preserve"> Pri ich schvaľovaní boli posudzované vplyvy spoločne a väčšina z nich sa aj implementovala.  </w:t>
            </w:r>
          </w:p>
          <w:p w:rsidR="002F667C" w:rsidRPr="00894C1D" w:rsidRDefault="00154407" w:rsidP="00103841">
            <w:pPr>
              <w:spacing w:before="144" w:after="144" w:line="240" w:lineRule="atLeast"/>
              <w:jc w:val="both"/>
              <w:rPr>
                <w:rFonts w:ascii="Times New Roman" w:eastAsia="Times New Roman" w:hAnsi="Times New Roman" w:cs="Times New Roman"/>
                <w:sz w:val="20"/>
                <w:szCs w:val="20"/>
                <w:lang w:eastAsia="sk-SK"/>
              </w:rPr>
            </w:pPr>
            <w:r>
              <w:rPr>
                <w:rFonts w:ascii="Times New Roman" w:hAnsi="Times New Roman" w:cs="Times New Roman"/>
                <w:sz w:val="20"/>
                <w:szCs w:val="20"/>
                <w:lang w:eastAsia="sk-SK"/>
              </w:rPr>
              <w:t xml:space="preserve">               </w:t>
            </w:r>
            <w:r w:rsidR="002F667C" w:rsidRPr="002F667C">
              <w:rPr>
                <w:rFonts w:ascii="Times New Roman" w:hAnsi="Times New Roman" w:cs="Times New Roman"/>
                <w:sz w:val="20"/>
                <w:szCs w:val="20"/>
                <w:lang w:eastAsia="sk-SK"/>
              </w:rPr>
              <w:t xml:space="preserve">Na základe uvedených predpisov bol od 1.6.2022 zriadený </w:t>
            </w:r>
            <w:r w:rsidR="002F667C" w:rsidRPr="00894C1D">
              <w:rPr>
                <w:rFonts w:ascii="Times New Roman" w:eastAsia="Times New Roman" w:hAnsi="Times New Roman" w:cs="Times New Roman"/>
                <w:sz w:val="20"/>
                <w:szCs w:val="20"/>
                <w:lang w:eastAsia="sk-SK"/>
              </w:rPr>
              <w:t xml:space="preserve"> Úrad pre územné plánovanie a výstavbu Slovenskej republiky</w:t>
            </w:r>
            <w:r>
              <w:rPr>
                <w:rFonts w:ascii="Times New Roman" w:eastAsia="Times New Roman" w:hAnsi="Times New Roman" w:cs="Times New Roman"/>
                <w:sz w:val="20"/>
                <w:szCs w:val="20"/>
                <w:lang w:eastAsia="sk-SK"/>
              </w:rPr>
              <w:t xml:space="preserve"> </w:t>
            </w:r>
            <w:r w:rsidR="002F667C" w:rsidRPr="002F667C">
              <w:rPr>
                <w:rFonts w:ascii="Times New Roman" w:hAnsi="Times New Roman" w:cs="Times New Roman"/>
                <w:sz w:val="20"/>
                <w:szCs w:val="20"/>
                <w:lang w:eastAsia="sk-SK"/>
              </w:rPr>
              <w:t xml:space="preserve">(ÚUPaV SR), ktorý je </w:t>
            </w:r>
            <w:r w:rsidR="002F667C" w:rsidRPr="00894C1D">
              <w:rPr>
                <w:rFonts w:ascii="Times New Roman" w:eastAsia="Times New Roman" w:hAnsi="Times New Roman" w:cs="Times New Roman"/>
                <w:sz w:val="20"/>
                <w:szCs w:val="20"/>
                <w:lang w:eastAsia="sk-SK"/>
              </w:rPr>
              <w:t xml:space="preserve"> gestorom interoperability procesov, kvality a dostupnosti údajov o území a elektronického výkonu verejnej moci ako predpokladu pre efektivity a kvality procesov výstavby.</w:t>
            </w:r>
            <w:r w:rsidR="002F667C" w:rsidRPr="002F667C">
              <w:rPr>
                <w:rFonts w:ascii="Times New Roman" w:hAnsi="Times New Roman" w:cs="Times New Roman"/>
                <w:sz w:val="20"/>
                <w:szCs w:val="20"/>
                <w:lang w:eastAsia="sk-SK"/>
              </w:rPr>
              <w:t xml:space="preserve"> Úlohou ÚUPaV SR je </w:t>
            </w:r>
            <w:r w:rsidR="002F667C" w:rsidRPr="00894C1D">
              <w:rPr>
                <w:rFonts w:ascii="Times New Roman" w:eastAsia="Times New Roman" w:hAnsi="Times New Roman" w:cs="Times New Roman"/>
                <w:sz w:val="20"/>
                <w:szCs w:val="20"/>
                <w:lang w:eastAsia="sk-SK"/>
              </w:rPr>
              <w:t>zav</w:t>
            </w:r>
            <w:r w:rsidR="002F667C" w:rsidRPr="002F667C">
              <w:rPr>
                <w:rFonts w:ascii="Times New Roman" w:hAnsi="Times New Roman" w:cs="Times New Roman"/>
                <w:sz w:val="20"/>
                <w:szCs w:val="20"/>
                <w:lang w:eastAsia="sk-SK"/>
              </w:rPr>
              <w:t>iesť</w:t>
            </w:r>
            <w:r w:rsidR="002F667C" w:rsidRPr="00894C1D">
              <w:rPr>
                <w:rFonts w:ascii="Times New Roman" w:eastAsia="Times New Roman" w:hAnsi="Times New Roman" w:cs="Times New Roman"/>
                <w:sz w:val="20"/>
                <w:szCs w:val="20"/>
                <w:lang w:eastAsia="sk-SK"/>
              </w:rPr>
              <w:t xml:space="preserve"> jednotný proces pre získavanie, zhromažďovanie, spracúvanie, sprístupňovanie, poskytovanie, prenos, ukladanie, archiváci</w:t>
            </w:r>
            <w:r w:rsidR="00EC263F">
              <w:rPr>
                <w:rFonts w:ascii="Times New Roman" w:eastAsia="Times New Roman" w:hAnsi="Times New Roman" w:cs="Times New Roman"/>
                <w:sz w:val="20"/>
                <w:szCs w:val="20"/>
                <w:lang w:eastAsia="sk-SK"/>
              </w:rPr>
              <w:t>u</w:t>
            </w:r>
            <w:r w:rsidR="002F667C" w:rsidRPr="00894C1D">
              <w:rPr>
                <w:rFonts w:ascii="Times New Roman" w:eastAsia="Times New Roman" w:hAnsi="Times New Roman" w:cs="Times New Roman"/>
                <w:sz w:val="20"/>
                <w:szCs w:val="20"/>
                <w:lang w:eastAsia="sk-SK"/>
              </w:rPr>
              <w:t xml:space="preserve"> a likvidáci</w:t>
            </w:r>
            <w:r w:rsidR="00EC263F">
              <w:rPr>
                <w:rFonts w:ascii="Times New Roman" w:eastAsia="Times New Roman" w:hAnsi="Times New Roman" w:cs="Times New Roman"/>
                <w:sz w:val="20"/>
                <w:szCs w:val="20"/>
                <w:lang w:eastAsia="sk-SK"/>
              </w:rPr>
              <w:t>u</w:t>
            </w:r>
            <w:r w:rsidR="002F667C" w:rsidRPr="00894C1D">
              <w:rPr>
                <w:rFonts w:ascii="Times New Roman" w:eastAsia="Times New Roman" w:hAnsi="Times New Roman" w:cs="Times New Roman"/>
                <w:sz w:val="20"/>
                <w:szCs w:val="20"/>
                <w:lang w:eastAsia="sk-SK"/>
              </w:rPr>
              <w:t xml:space="preserve"> údajov, umožnenie poskytovania súvisiacich elektronických služieb používateľom s príslušným oprávnením na zabezpečenie a skvalitnenie výkonu verejnej </w:t>
            </w:r>
            <w:r w:rsidR="002F667C" w:rsidRPr="00894C1D">
              <w:rPr>
                <w:rFonts w:ascii="Times New Roman" w:eastAsia="Times New Roman" w:hAnsi="Times New Roman" w:cs="Times New Roman"/>
                <w:sz w:val="20"/>
                <w:szCs w:val="20"/>
                <w:lang w:eastAsia="sk-SK"/>
              </w:rPr>
              <w:lastRenderedPageBreak/>
              <w:t>moci na úseku správy v oblasti územného plánovania, výstavby a správy stavby; pričom predpokladom je podpora informačným systémom.</w:t>
            </w:r>
            <w:r w:rsidR="00243F5A">
              <w:rPr>
                <w:rFonts w:ascii="Times New Roman" w:eastAsia="Times New Roman" w:hAnsi="Times New Roman" w:cs="Times New Roman"/>
                <w:sz w:val="20"/>
                <w:szCs w:val="20"/>
                <w:lang w:eastAsia="sk-SK"/>
              </w:rPr>
              <w:t xml:space="preserve"> </w:t>
            </w:r>
          </w:p>
          <w:p w:rsidR="002F667C" w:rsidRPr="002F667C" w:rsidRDefault="00154407" w:rsidP="00103841">
            <w:pPr>
              <w:spacing w:before="144" w:after="144" w:line="240" w:lineRule="atLeast"/>
              <w:jc w:val="both"/>
              <w:rPr>
                <w:rFonts w:ascii="Times New Roman" w:hAnsi="Times New Roman" w:cs="Times New Roman"/>
                <w:sz w:val="20"/>
                <w:szCs w:val="20"/>
              </w:rPr>
            </w:pPr>
            <w:r>
              <w:rPr>
                <w:rFonts w:ascii="Times New Roman" w:hAnsi="Times New Roman" w:cs="Times New Roman"/>
                <w:sz w:val="20"/>
                <w:szCs w:val="20"/>
              </w:rPr>
              <w:t xml:space="preserve">              </w:t>
            </w:r>
            <w:r w:rsidR="002F667C" w:rsidRPr="002F667C">
              <w:rPr>
                <w:rFonts w:ascii="Times New Roman" w:hAnsi="Times New Roman" w:cs="Times New Roman"/>
                <w:sz w:val="20"/>
                <w:szCs w:val="20"/>
              </w:rPr>
              <w:t>Cieľ, ktorý si kládol zákon č. 201/2022 Z. z. o</w:t>
            </w:r>
            <w:r w:rsidR="00065DE5">
              <w:rPr>
                <w:rFonts w:ascii="Times New Roman" w:hAnsi="Times New Roman" w:cs="Times New Roman"/>
                <w:sz w:val="20"/>
                <w:szCs w:val="20"/>
              </w:rPr>
              <w:t> </w:t>
            </w:r>
            <w:r w:rsidR="002F667C" w:rsidRPr="002F667C">
              <w:rPr>
                <w:rFonts w:ascii="Times New Roman" w:hAnsi="Times New Roman" w:cs="Times New Roman"/>
                <w:sz w:val="20"/>
                <w:szCs w:val="20"/>
              </w:rPr>
              <w:t>výstavbe</w:t>
            </w:r>
            <w:r w:rsidR="00065DE5">
              <w:rPr>
                <w:rFonts w:ascii="Times New Roman" w:hAnsi="Times New Roman" w:cs="Times New Roman"/>
                <w:sz w:val="20"/>
                <w:szCs w:val="20"/>
              </w:rPr>
              <w:t xml:space="preserve">, ktorý sa navrhuje nahradiť predkladaným novým predpisom, </w:t>
            </w:r>
            <w:r w:rsidR="002F667C" w:rsidRPr="002F667C">
              <w:rPr>
                <w:rFonts w:ascii="Times New Roman" w:hAnsi="Times New Roman" w:cs="Times New Roman"/>
                <w:sz w:val="20"/>
                <w:szCs w:val="20"/>
              </w:rPr>
              <w:t xml:space="preserve"> t.j. vytvoriť právny rámec na skvalitnenie, zjednodušenie a urýchlenie výstavby, zníženie administratívnej náročnosti povoľovacích konaní a nastolenie transparentnosti v tejto oblasti ostáva. Ukázalo sa ale, že aplikácia zákona je vzhľadom na vysoko postavené ciele v lehotách jeho účinnosti nereálna. S nasadením celého informačného systému sa uvažuje až </w:t>
            </w:r>
            <w:r w:rsidR="00EC263F">
              <w:rPr>
                <w:rFonts w:ascii="Times New Roman" w:hAnsi="Times New Roman" w:cs="Times New Roman"/>
                <w:sz w:val="20"/>
                <w:szCs w:val="20"/>
              </w:rPr>
              <w:t>od</w:t>
            </w:r>
            <w:r w:rsidR="002F667C" w:rsidRPr="002F667C">
              <w:rPr>
                <w:rFonts w:ascii="Times New Roman" w:hAnsi="Times New Roman" w:cs="Times New Roman"/>
                <w:sz w:val="20"/>
                <w:szCs w:val="20"/>
              </w:rPr>
              <w:t xml:space="preserve"> roku 203</w:t>
            </w:r>
            <w:r w:rsidR="00065DE5">
              <w:rPr>
                <w:rFonts w:ascii="Times New Roman" w:hAnsi="Times New Roman" w:cs="Times New Roman"/>
                <w:sz w:val="20"/>
                <w:szCs w:val="20"/>
              </w:rPr>
              <w:t>2</w:t>
            </w:r>
            <w:r w:rsidR="002F667C" w:rsidRPr="002F667C">
              <w:rPr>
                <w:rFonts w:ascii="Times New Roman" w:hAnsi="Times New Roman" w:cs="Times New Roman"/>
                <w:sz w:val="20"/>
                <w:szCs w:val="20"/>
              </w:rPr>
              <w:t>, čo by predpokladalo výkon stavebnej správy až do tohto termínu v režime prechodných úprav.</w:t>
            </w:r>
          </w:p>
          <w:p w:rsidR="003412E7" w:rsidRPr="002F667C" w:rsidRDefault="002F667C" w:rsidP="002F667C">
            <w:pPr>
              <w:spacing w:after="120" w:line="276" w:lineRule="auto"/>
              <w:ind w:right="74"/>
              <w:jc w:val="both"/>
              <w:rPr>
                <w:rFonts w:ascii="Times New Roman" w:hAnsi="Times New Roman" w:cs="Times New Roman"/>
                <w:sz w:val="20"/>
                <w:szCs w:val="20"/>
              </w:rPr>
            </w:pPr>
            <w:r>
              <w:rPr>
                <w:rFonts w:ascii="Times New Roman" w:hAnsi="Times New Roman" w:cs="Times New Roman"/>
                <w:sz w:val="20"/>
                <w:szCs w:val="20"/>
              </w:rPr>
              <w:t>Nová ú</w:t>
            </w:r>
            <w:r w:rsidR="003412E7" w:rsidRPr="002F667C">
              <w:rPr>
                <w:rFonts w:ascii="Times New Roman" w:hAnsi="Times New Roman" w:cs="Times New Roman"/>
                <w:sz w:val="20"/>
                <w:szCs w:val="20"/>
              </w:rPr>
              <w:t>prava smeruje do nasledovných oblastí:</w:t>
            </w:r>
          </w:p>
          <w:p w:rsidR="003412E7" w:rsidRPr="002F667C" w:rsidRDefault="003412E7" w:rsidP="003412E7">
            <w:pPr>
              <w:pStyle w:val="Odsekzoznamu"/>
              <w:numPr>
                <w:ilvl w:val="0"/>
                <w:numId w:val="4"/>
              </w:numPr>
              <w:spacing w:after="120"/>
              <w:ind w:left="284" w:right="74" w:hanging="284"/>
              <w:jc w:val="both"/>
              <w:rPr>
                <w:b/>
                <w:sz w:val="20"/>
                <w:szCs w:val="20"/>
              </w:rPr>
            </w:pPr>
            <w:r w:rsidRPr="002F667C">
              <w:rPr>
                <w:b/>
                <w:sz w:val="20"/>
                <w:szCs w:val="20"/>
              </w:rPr>
              <w:t>Úprava Verejnej správy vo výstavbe</w:t>
            </w:r>
          </w:p>
          <w:p w:rsidR="003412E7" w:rsidRPr="002F667C" w:rsidRDefault="00EC263F" w:rsidP="003412E7">
            <w:pPr>
              <w:pStyle w:val="Odsekzoznamu"/>
              <w:numPr>
                <w:ilvl w:val="0"/>
                <w:numId w:val="5"/>
              </w:numPr>
              <w:autoSpaceDN w:val="0"/>
              <w:ind w:left="709" w:right="-1"/>
              <w:jc w:val="both"/>
              <w:rPr>
                <w:sz w:val="20"/>
                <w:szCs w:val="20"/>
              </w:rPr>
            </w:pPr>
            <w:r>
              <w:rPr>
                <w:sz w:val="20"/>
                <w:szCs w:val="20"/>
              </w:rPr>
              <w:t>O</w:t>
            </w:r>
            <w:r w:rsidR="003412E7" w:rsidRPr="002F667C">
              <w:rPr>
                <w:sz w:val="20"/>
                <w:szCs w:val="20"/>
              </w:rPr>
              <w:t>rgán</w:t>
            </w:r>
            <w:r>
              <w:rPr>
                <w:sz w:val="20"/>
                <w:szCs w:val="20"/>
              </w:rPr>
              <w:t>y verejnej správy vo výstavbe</w:t>
            </w:r>
            <w:r w:rsidR="003412E7" w:rsidRPr="002F667C">
              <w:rPr>
                <w:sz w:val="20"/>
                <w:szCs w:val="20"/>
              </w:rPr>
              <w:t xml:space="preserve"> </w:t>
            </w:r>
          </w:p>
          <w:p w:rsidR="0002550B" w:rsidRDefault="0002550B" w:rsidP="00F541B7">
            <w:pPr>
              <w:pStyle w:val="Odsekzoznamu"/>
              <w:numPr>
                <w:ilvl w:val="0"/>
                <w:numId w:val="8"/>
              </w:numPr>
              <w:autoSpaceDN w:val="0"/>
              <w:ind w:left="709" w:right="-1"/>
              <w:jc w:val="both"/>
              <w:rPr>
                <w:sz w:val="20"/>
                <w:szCs w:val="20"/>
              </w:rPr>
            </w:pPr>
            <w:r>
              <w:rPr>
                <w:sz w:val="20"/>
                <w:szCs w:val="20"/>
              </w:rPr>
              <w:t>o</w:t>
            </w:r>
            <w:r w:rsidR="00EC263F" w:rsidRPr="0002550B">
              <w:rPr>
                <w:sz w:val="20"/>
                <w:szCs w:val="20"/>
              </w:rPr>
              <w:t xml:space="preserve">proti návrhu zákonom č. 201/2022 Z.z. o výstavbe, podľa ktorého sa mal zrušiť prenesený výkon štátnej správy na úseku stavebného poriadku na obce a mali ho vykonávať regionálne úrady Úradu pre územné plánovanie a výstavbu sa navrhuje </w:t>
            </w:r>
            <w:r w:rsidRPr="0002550B">
              <w:rPr>
                <w:sz w:val="20"/>
                <w:szCs w:val="20"/>
              </w:rPr>
              <w:t xml:space="preserve">ponechať prenesený výkon štátnej správy na obce s tým, že </w:t>
            </w:r>
            <w:r w:rsidR="003412E7" w:rsidRPr="0002550B">
              <w:rPr>
                <w:sz w:val="20"/>
                <w:szCs w:val="20"/>
              </w:rPr>
              <w:t xml:space="preserve">miestna pôsobnosť všeobecného stavebného úradu ako </w:t>
            </w:r>
            <w:r w:rsidR="00EC263F" w:rsidRPr="0002550B">
              <w:rPr>
                <w:sz w:val="20"/>
                <w:szCs w:val="20"/>
              </w:rPr>
              <w:t>prvostupňového správneho orgánu</w:t>
            </w:r>
            <w:r w:rsidRPr="0002550B">
              <w:rPr>
                <w:sz w:val="20"/>
                <w:szCs w:val="20"/>
              </w:rPr>
              <w:t xml:space="preserve"> sa bude vykonávať v stavebných obvodoch, ktoré vytvoria obce v zmysle ustanovení zákona o obecnom zriadení</w:t>
            </w:r>
            <w:r>
              <w:rPr>
                <w:sz w:val="20"/>
                <w:szCs w:val="20"/>
              </w:rPr>
              <w:t>;</w:t>
            </w:r>
          </w:p>
          <w:p w:rsidR="003412E7" w:rsidRPr="002F667C" w:rsidRDefault="003412E7" w:rsidP="003412E7">
            <w:pPr>
              <w:pStyle w:val="Odsekzoznamu"/>
              <w:numPr>
                <w:ilvl w:val="0"/>
                <w:numId w:val="8"/>
              </w:numPr>
              <w:autoSpaceDN w:val="0"/>
              <w:ind w:left="709" w:right="-1"/>
              <w:jc w:val="both"/>
              <w:rPr>
                <w:sz w:val="20"/>
                <w:szCs w:val="20"/>
              </w:rPr>
            </w:pPr>
            <w:r w:rsidRPr="002F667C">
              <w:rPr>
                <w:sz w:val="20"/>
                <w:szCs w:val="20"/>
              </w:rPr>
              <w:t xml:space="preserve">obec, ktorá bude sídlom stavebného obvodu určí vedúceho stavebného úradu, ktorý bude zodpovedať za činnosť stavebného úradu, </w:t>
            </w:r>
            <w:r w:rsidR="0002550B">
              <w:rPr>
                <w:sz w:val="20"/>
                <w:szCs w:val="20"/>
              </w:rPr>
              <w:t>starosta obce (každej v stavebnom obvode) môže poveriť vedúceho stavebného úradu rozhodovaním v rozsahu svojej miestnej príslušnosti</w:t>
            </w:r>
            <w:r w:rsidRPr="002F667C">
              <w:rPr>
                <w:sz w:val="20"/>
                <w:szCs w:val="20"/>
              </w:rPr>
              <w:t>;</w:t>
            </w:r>
          </w:p>
          <w:p w:rsidR="003412E7" w:rsidRPr="002F667C" w:rsidRDefault="003412E7" w:rsidP="003412E7">
            <w:pPr>
              <w:pStyle w:val="Odsekzoznamu"/>
              <w:numPr>
                <w:ilvl w:val="0"/>
                <w:numId w:val="8"/>
              </w:numPr>
              <w:autoSpaceDN w:val="0"/>
              <w:ind w:left="709" w:right="-1"/>
              <w:jc w:val="both"/>
              <w:rPr>
                <w:sz w:val="20"/>
                <w:szCs w:val="20"/>
              </w:rPr>
            </w:pPr>
            <w:r w:rsidRPr="002F667C">
              <w:rPr>
                <w:sz w:val="20"/>
                <w:szCs w:val="20"/>
              </w:rPr>
              <w:t>obec bude vykonávať iba návrhové konania (za správne poplatky); ex offo konania nadväzujúce na zistenia štátneho stavebného dohľadu, ich výkon a sankcie bude vykonávať štát (Úrad pre územné plánovanie a výstavbu (ďalej len „Úrad“), resp. jeho orgány stavebnej inšpekcie);</w:t>
            </w:r>
          </w:p>
          <w:p w:rsidR="003412E7" w:rsidRPr="003F392A" w:rsidRDefault="003412E7" w:rsidP="003F392A">
            <w:pPr>
              <w:pStyle w:val="Odsekzoznamu"/>
              <w:numPr>
                <w:ilvl w:val="0"/>
                <w:numId w:val="8"/>
              </w:numPr>
              <w:ind w:left="709" w:right="72"/>
              <w:jc w:val="both"/>
              <w:rPr>
                <w:sz w:val="20"/>
                <w:szCs w:val="20"/>
              </w:rPr>
            </w:pPr>
            <w:r w:rsidRPr="002F667C">
              <w:rPr>
                <w:sz w:val="20"/>
                <w:szCs w:val="20"/>
              </w:rPr>
              <w:t>ustanov</w:t>
            </w:r>
            <w:r w:rsidR="0002550B">
              <w:rPr>
                <w:sz w:val="20"/>
                <w:szCs w:val="20"/>
              </w:rPr>
              <w:t xml:space="preserve">uje sa </w:t>
            </w:r>
            <w:r w:rsidR="003F392A">
              <w:rPr>
                <w:sz w:val="20"/>
                <w:szCs w:val="20"/>
              </w:rPr>
              <w:t>pôsobnosť</w:t>
            </w:r>
            <w:r w:rsidRPr="002F667C">
              <w:rPr>
                <w:sz w:val="20"/>
                <w:szCs w:val="20"/>
              </w:rPr>
              <w:t xml:space="preserve"> regionáln</w:t>
            </w:r>
            <w:r w:rsidR="003F392A">
              <w:rPr>
                <w:sz w:val="20"/>
                <w:szCs w:val="20"/>
              </w:rPr>
              <w:t>eho</w:t>
            </w:r>
            <w:r w:rsidRPr="002F667C">
              <w:rPr>
                <w:sz w:val="20"/>
                <w:szCs w:val="20"/>
              </w:rPr>
              <w:t xml:space="preserve"> úrad</w:t>
            </w:r>
            <w:r w:rsidR="003F392A">
              <w:rPr>
                <w:sz w:val="20"/>
                <w:szCs w:val="20"/>
              </w:rPr>
              <w:t>u</w:t>
            </w:r>
            <w:r w:rsidRPr="002F667C">
              <w:rPr>
                <w:sz w:val="20"/>
                <w:szCs w:val="20"/>
              </w:rPr>
              <w:t xml:space="preserve"> Úradu (v sídle kraja) ako odvolac</w:t>
            </w:r>
            <w:r w:rsidR="003F392A">
              <w:rPr>
                <w:sz w:val="20"/>
                <w:szCs w:val="20"/>
              </w:rPr>
              <w:t>ieho</w:t>
            </w:r>
            <w:r w:rsidRPr="002F667C">
              <w:rPr>
                <w:sz w:val="20"/>
                <w:szCs w:val="20"/>
              </w:rPr>
              <w:t xml:space="preserve"> orgán</w:t>
            </w:r>
            <w:r w:rsidR="003F392A">
              <w:rPr>
                <w:sz w:val="20"/>
                <w:szCs w:val="20"/>
              </w:rPr>
              <w:t>u</w:t>
            </w:r>
            <w:r w:rsidRPr="002F667C">
              <w:rPr>
                <w:sz w:val="20"/>
                <w:szCs w:val="20"/>
              </w:rPr>
              <w:t xml:space="preserve"> voči rozhodnutiu stavebného úradu v stavebnom obvode; v prípade, že bude I. stupňom regionálny úrad Úradu, ustanov</w:t>
            </w:r>
            <w:r w:rsidR="003F392A">
              <w:rPr>
                <w:sz w:val="20"/>
                <w:szCs w:val="20"/>
              </w:rPr>
              <w:t xml:space="preserve">uje sa </w:t>
            </w:r>
            <w:r w:rsidRPr="002F667C">
              <w:rPr>
                <w:sz w:val="20"/>
                <w:szCs w:val="20"/>
              </w:rPr>
              <w:t xml:space="preserve">Úrad ako odvolací orgán); </w:t>
            </w:r>
            <w:r w:rsidRPr="003F392A">
              <w:rPr>
                <w:sz w:val="20"/>
                <w:szCs w:val="20"/>
              </w:rPr>
              <w:t xml:space="preserve"> </w:t>
            </w:r>
          </w:p>
          <w:p w:rsidR="003412E7" w:rsidRPr="002F667C" w:rsidRDefault="003412E7" w:rsidP="003412E7">
            <w:pPr>
              <w:pStyle w:val="Odsekzoznamu"/>
              <w:numPr>
                <w:ilvl w:val="0"/>
                <w:numId w:val="8"/>
              </w:numPr>
              <w:autoSpaceDN w:val="0"/>
              <w:ind w:left="709" w:right="-1"/>
              <w:jc w:val="both"/>
              <w:rPr>
                <w:sz w:val="20"/>
                <w:szCs w:val="20"/>
              </w:rPr>
            </w:pPr>
            <w:r w:rsidRPr="002F667C">
              <w:rPr>
                <w:rFonts w:eastAsiaTheme="minorEastAsia"/>
                <w:sz w:val="20"/>
                <w:szCs w:val="20"/>
                <w:lang w:eastAsia="en-US"/>
              </w:rPr>
              <w:t>uprav</w:t>
            </w:r>
            <w:r w:rsidR="003F392A">
              <w:rPr>
                <w:rFonts w:eastAsiaTheme="minorEastAsia"/>
                <w:sz w:val="20"/>
                <w:szCs w:val="20"/>
                <w:lang w:eastAsia="en-US"/>
              </w:rPr>
              <w:t xml:space="preserve">uje sa </w:t>
            </w:r>
            <w:r w:rsidRPr="002F667C">
              <w:rPr>
                <w:rFonts w:eastAsiaTheme="minorEastAsia"/>
                <w:sz w:val="20"/>
                <w:szCs w:val="20"/>
                <w:lang w:eastAsia="en-US"/>
              </w:rPr>
              <w:t>pôsobnosť „špeciálnych stavebných úradov“; (ponech</w:t>
            </w:r>
            <w:r w:rsidR="003F392A">
              <w:rPr>
                <w:rFonts w:eastAsiaTheme="minorEastAsia"/>
                <w:sz w:val="20"/>
                <w:szCs w:val="20"/>
                <w:lang w:eastAsia="en-US"/>
              </w:rPr>
              <w:t>áva sa</w:t>
            </w:r>
            <w:r w:rsidRPr="002F667C">
              <w:rPr>
                <w:rFonts w:eastAsiaTheme="minorEastAsia"/>
                <w:sz w:val="20"/>
                <w:szCs w:val="20"/>
                <w:lang w:eastAsia="en-US"/>
              </w:rPr>
              <w:t xml:space="preserve"> podľa osobitných predpisov a</w:t>
            </w:r>
            <w:r w:rsidR="003F392A">
              <w:rPr>
                <w:rFonts w:eastAsiaTheme="minorEastAsia"/>
                <w:sz w:val="20"/>
                <w:szCs w:val="20"/>
                <w:lang w:eastAsia="en-US"/>
              </w:rPr>
              <w:t> </w:t>
            </w:r>
            <w:r w:rsidRPr="002F667C">
              <w:rPr>
                <w:rFonts w:eastAsiaTheme="minorEastAsia"/>
                <w:sz w:val="20"/>
                <w:szCs w:val="20"/>
                <w:lang w:eastAsia="en-US"/>
              </w:rPr>
              <w:t>rešpekt</w:t>
            </w:r>
            <w:r w:rsidR="003F392A">
              <w:rPr>
                <w:rFonts w:eastAsiaTheme="minorEastAsia"/>
                <w:sz w:val="20"/>
                <w:szCs w:val="20"/>
                <w:lang w:eastAsia="en-US"/>
              </w:rPr>
              <w:t>uje sa a</w:t>
            </w:r>
            <w:r w:rsidRPr="002F667C">
              <w:rPr>
                <w:rFonts w:eastAsiaTheme="minorEastAsia"/>
                <w:sz w:val="20"/>
                <w:szCs w:val="20"/>
                <w:lang w:eastAsia="en-US"/>
              </w:rPr>
              <w:t>ktuálne znenie podľa zákona č. 46/2024 Z. z.);</w:t>
            </w:r>
          </w:p>
          <w:p w:rsidR="003412E7" w:rsidRPr="003F392A" w:rsidRDefault="003412E7" w:rsidP="00F541B7">
            <w:pPr>
              <w:pStyle w:val="Odsekzoznamu"/>
              <w:numPr>
                <w:ilvl w:val="0"/>
                <w:numId w:val="5"/>
              </w:numPr>
              <w:ind w:left="709"/>
              <w:jc w:val="both"/>
              <w:rPr>
                <w:sz w:val="20"/>
                <w:szCs w:val="20"/>
              </w:rPr>
            </w:pPr>
            <w:r w:rsidRPr="003F392A">
              <w:rPr>
                <w:sz w:val="20"/>
                <w:szCs w:val="20"/>
              </w:rPr>
              <w:t>Uprav</w:t>
            </w:r>
            <w:r w:rsidR="003F392A" w:rsidRPr="003F392A">
              <w:rPr>
                <w:sz w:val="20"/>
                <w:szCs w:val="20"/>
              </w:rPr>
              <w:t xml:space="preserve">uje sa </w:t>
            </w:r>
            <w:r w:rsidRPr="003F392A">
              <w:rPr>
                <w:sz w:val="20"/>
                <w:szCs w:val="20"/>
              </w:rPr>
              <w:t>postavenie Slovenskej stavebnej inšpekcie</w:t>
            </w:r>
            <w:r w:rsidR="003F392A" w:rsidRPr="003F392A">
              <w:rPr>
                <w:sz w:val="20"/>
                <w:szCs w:val="20"/>
              </w:rPr>
              <w:t>. Zrušuje sa ako samostatná rozpočtová organizácia Úradu a</w:t>
            </w:r>
            <w:r w:rsidR="003F392A">
              <w:rPr>
                <w:sz w:val="20"/>
                <w:szCs w:val="20"/>
              </w:rPr>
              <w:t xml:space="preserve"> začleňuje sa </w:t>
            </w:r>
            <w:r w:rsidRPr="003F392A">
              <w:rPr>
                <w:sz w:val="20"/>
                <w:szCs w:val="20"/>
              </w:rPr>
              <w:t>do organizačnej štruktúry Úradu a jeho regionálnych úradov a</w:t>
            </w:r>
            <w:r w:rsidR="003F392A">
              <w:rPr>
                <w:sz w:val="20"/>
                <w:szCs w:val="20"/>
              </w:rPr>
              <w:t> </w:t>
            </w:r>
            <w:r w:rsidRPr="003F392A">
              <w:rPr>
                <w:sz w:val="20"/>
                <w:szCs w:val="20"/>
              </w:rPr>
              <w:t>uprav</w:t>
            </w:r>
            <w:r w:rsidR="003F392A">
              <w:rPr>
                <w:sz w:val="20"/>
                <w:szCs w:val="20"/>
              </w:rPr>
              <w:t xml:space="preserve">uje sa </w:t>
            </w:r>
            <w:r w:rsidRPr="003F392A">
              <w:rPr>
                <w:sz w:val="20"/>
                <w:szCs w:val="20"/>
              </w:rPr>
              <w:t>obsah výkonu štátneho stavebného dohľadu.</w:t>
            </w:r>
          </w:p>
          <w:p w:rsidR="003412E7" w:rsidRPr="002F667C" w:rsidRDefault="003412E7" w:rsidP="003412E7">
            <w:pPr>
              <w:ind w:left="709"/>
              <w:jc w:val="both"/>
              <w:rPr>
                <w:rFonts w:ascii="Times New Roman" w:hAnsi="Times New Roman" w:cs="Times New Roman"/>
                <w:sz w:val="20"/>
                <w:szCs w:val="20"/>
              </w:rPr>
            </w:pPr>
            <w:r w:rsidRPr="002F667C">
              <w:rPr>
                <w:rFonts w:ascii="Times New Roman" w:hAnsi="Times New Roman" w:cs="Times New Roman"/>
                <w:sz w:val="20"/>
                <w:szCs w:val="20"/>
              </w:rPr>
              <w:t xml:space="preserve">Ako inšpekčná zložka bude vykonávať štátny stavebný dohľad pre všeobecné stavby, kontrolovať realizáciu stavieb, dávať výzvy na nápravu, kontrolovať ich plnenie, nariaďovať opatrenia vo verejnom záujme, zabezpečovať ich výkon, prejednávať priestupky a správne delikty a ukladať pokuty;  (Pozn.: Zjednodušenie postupov povoľovania musí byť vyvážené tým, že budú vytvorené efektívne nástroje na posilnenie zodpovednosti osôb vo výstavbe za kvalitu stavieb a budú vytvorené podmienky pre zvýšenie analytickej, kontrolnej a dozornej činnosti štátu vo výstavbe.) </w:t>
            </w:r>
          </w:p>
          <w:p w:rsidR="003412E7" w:rsidRPr="002F667C" w:rsidRDefault="003412E7" w:rsidP="003412E7">
            <w:pPr>
              <w:pStyle w:val="Odsekzoznamu"/>
              <w:numPr>
                <w:ilvl w:val="0"/>
                <w:numId w:val="7"/>
              </w:numPr>
              <w:ind w:right="74"/>
              <w:jc w:val="both"/>
              <w:rPr>
                <w:sz w:val="20"/>
                <w:szCs w:val="20"/>
              </w:rPr>
            </w:pPr>
            <w:r w:rsidRPr="002F667C">
              <w:rPr>
                <w:sz w:val="20"/>
                <w:szCs w:val="20"/>
              </w:rPr>
              <w:t>Uprav</w:t>
            </w:r>
            <w:r w:rsidR="003F392A">
              <w:rPr>
                <w:sz w:val="20"/>
                <w:szCs w:val="20"/>
              </w:rPr>
              <w:t xml:space="preserve">ujú sa </w:t>
            </w:r>
            <w:r w:rsidRPr="002F667C">
              <w:rPr>
                <w:sz w:val="20"/>
                <w:szCs w:val="20"/>
              </w:rPr>
              <w:t>priestupky a iné správne delikty a</w:t>
            </w:r>
            <w:r w:rsidR="003F392A">
              <w:rPr>
                <w:sz w:val="20"/>
                <w:szCs w:val="20"/>
              </w:rPr>
              <w:t> </w:t>
            </w:r>
            <w:r w:rsidRPr="002F667C">
              <w:rPr>
                <w:sz w:val="20"/>
                <w:szCs w:val="20"/>
              </w:rPr>
              <w:t>rozš</w:t>
            </w:r>
            <w:r w:rsidR="003F392A">
              <w:rPr>
                <w:sz w:val="20"/>
                <w:szCs w:val="20"/>
              </w:rPr>
              <w:t xml:space="preserve">iruje sa </w:t>
            </w:r>
            <w:r w:rsidRPr="002F667C">
              <w:rPr>
                <w:sz w:val="20"/>
                <w:szCs w:val="20"/>
              </w:rPr>
              <w:t xml:space="preserve">okruh sankcionovaných osôb aj na ďalšie osoby vo výstavbe (na zhotoviteľov stavieb, na osoby vykonávajúce stavebný dozor), pretože pri prevažujúcom dodávateľskom spôsobe výstavby stavebník je len objednávateľom služby (výstavby) a osobne neriadi výstavbu; za porušenia zákona má zodpovedať ten, kto ich spôsobil (zhotoviteľ), a nie objednávateľ služby (stavebník); </w:t>
            </w:r>
          </w:p>
          <w:p w:rsidR="003412E7" w:rsidRPr="002F667C" w:rsidRDefault="003412E7" w:rsidP="003412E7">
            <w:pPr>
              <w:jc w:val="both"/>
              <w:rPr>
                <w:rFonts w:ascii="Times New Roman" w:hAnsi="Times New Roman" w:cs="Times New Roman"/>
                <w:sz w:val="20"/>
                <w:szCs w:val="20"/>
              </w:rPr>
            </w:pPr>
          </w:p>
          <w:p w:rsidR="003412E7" w:rsidRPr="002F667C" w:rsidRDefault="003412E7" w:rsidP="003412E7">
            <w:pPr>
              <w:pStyle w:val="Odsekzoznamu"/>
              <w:numPr>
                <w:ilvl w:val="0"/>
                <w:numId w:val="4"/>
              </w:numPr>
              <w:spacing w:after="120"/>
              <w:ind w:left="426" w:right="74"/>
              <w:jc w:val="both"/>
              <w:rPr>
                <w:b/>
                <w:sz w:val="20"/>
                <w:szCs w:val="20"/>
              </w:rPr>
            </w:pPr>
            <w:r w:rsidRPr="002F667C">
              <w:rPr>
                <w:b/>
                <w:sz w:val="20"/>
                <w:szCs w:val="20"/>
              </w:rPr>
              <w:t>Úprava procesov povoľovania stavieb</w:t>
            </w:r>
          </w:p>
          <w:p w:rsidR="003412E7" w:rsidRPr="002F667C" w:rsidRDefault="003412E7" w:rsidP="003412E7">
            <w:pPr>
              <w:pStyle w:val="Odsekzoznamu"/>
              <w:spacing w:after="120"/>
              <w:ind w:left="1068" w:right="74"/>
              <w:jc w:val="both"/>
              <w:rPr>
                <w:b/>
                <w:sz w:val="20"/>
                <w:szCs w:val="20"/>
              </w:rPr>
            </w:pPr>
          </w:p>
          <w:p w:rsidR="003412E7" w:rsidRPr="002F667C" w:rsidRDefault="003412E7" w:rsidP="003412E7">
            <w:pPr>
              <w:pStyle w:val="Odsekzoznamu"/>
              <w:numPr>
                <w:ilvl w:val="0"/>
                <w:numId w:val="6"/>
              </w:numPr>
              <w:ind w:left="709" w:hanging="283"/>
              <w:jc w:val="both"/>
              <w:rPr>
                <w:sz w:val="20"/>
                <w:szCs w:val="20"/>
              </w:rPr>
            </w:pPr>
            <w:r w:rsidRPr="002F667C">
              <w:rPr>
                <w:sz w:val="20"/>
                <w:szCs w:val="20"/>
              </w:rPr>
              <w:t xml:space="preserve">na rozdiel od úpravy v zákone č. 201/2022 Z. z. o výstavbe ponechať rozhodovanie v procese posudzovania vplyvov na životné prostredie (EIA) ako samostatný proces; vzhľadom na zložitosť a komplexnosť procesov EIA je integrácia týchto procesov  s konaním o stavebnom zámere nateraz aplikačne nezvládnuteľná; </w:t>
            </w:r>
          </w:p>
          <w:p w:rsidR="003412E7" w:rsidRPr="002F667C" w:rsidRDefault="003412E7" w:rsidP="003412E7">
            <w:pPr>
              <w:pStyle w:val="Odsekzoznamu"/>
              <w:numPr>
                <w:ilvl w:val="0"/>
                <w:numId w:val="6"/>
              </w:numPr>
              <w:ind w:left="709" w:hanging="283"/>
              <w:jc w:val="both"/>
              <w:rPr>
                <w:sz w:val="20"/>
                <w:szCs w:val="20"/>
              </w:rPr>
            </w:pPr>
            <w:r w:rsidRPr="002F667C">
              <w:rPr>
                <w:sz w:val="20"/>
                <w:szCs w:val="20"/>
              </w:rPr>
              <w:t>op</w:t>
            </w:r>
            <w:r w:rsidR="003F392A">
              <w:rPr>
                <w:sz w:val="20"/>
                <w:szCs w:val="20"/>
              </w:rPr>
              <w:t>úšťa sa do</w:t>
            </w:r>
            <w:r w:rsidRPr="002F667C">
              <w:rPr>
                <w:sz w:val="20"/>
                <w:szCs w:val="20"/>
              </w:rPr>
              <w:t>terajšie dvojzložkové rozhodovanie (územné rozhodovanie a stavebné povoľovanie) a</w:t>
            </w:r>
            <w:r w:rsidR="003F392A">
              <w:rPr>
                <w:sz w:val="20"/>
                <w:szCs w:val="20"/>
              </w:rPr>
              <w:t> </w:t>
            </w:r>
            <w:r w:rsidRPr="002F667C">
              <w:rPr>
                <w:sz w:val="20"/>
                <w:szCs w:val="20"/>
              </w:rPr>
              <w:t>zav</w:t>
            </w:r>
            <w:r w:rsidR="003F392A">
              <w:rPr>
                <w:sz w:val="20"/>
                <w:szCs w:val="20"/>
              </w:rPr>
              <w:t>ádza sa</w:t>
            </w:r>
            <w:r w:rsidRPr="002F667C">
              <w:rPr>
                <w:sz w:val="20"/>
                <w:szCs w:val="20"/>
              </w:rPr>
              <w:t xml:space="preserve"> len jedno rozhodovanie o stavebnom zámere stavebníka, kde sa rozhodovanie v správnom konaní obmedzí na prerokovanie nevyriešených rozporov z prípravnej fázy; (z úpravy o spojenom ÚK a SK);</w:t>
            </w:r>
          </w:p>
          <w:p w:rsidR="003412E7" w:rsidRPr="002F667C" w:rsidRDefault="003412E7" w:rsidP="003412E7">
            <w:pPr>
              <w:pStyle w:val="Odsekzoznamu"/>
              <w:numPr>
                <w:ilvl w:val="0"/>
                <w:numId w:val="6"/>
              </w:numPr>
              <w:ind w:left="709" w:hanging="283"/>
              <w:jc w:val="both"/>
              <w:rPr>
                <w:sz w:val="20"/>
                <w:szCs w:val="20"/>
              </w:rPr>
            </w:pPr>
            <w:r w:rsidRPr="002F667C">
              <w:rPr>
                <w:sz w:val="20"/>
                <w:szCs w:val="20"/>
              </w:rPr>
              <w:t>zav</w:t>
            </w:r>
            <w:r w:rsidR="003F392A">
              <w:rPr>
                <w:sz w:val="20"/>
                <w:szCs w:val="20"/>
              </w:rPr>
              <w:t xml:space="preserve">ádza sa </w:t>
            </w:r>
            <w:r w:rsidRPr="002F667C">
              <w:rPr>
                <w:sz w:val="20"/>
                <w:szCs w:val="20"/>
              </w:rPr>
              <w:t>povinnosť</w:t>
            </w:r>
            <w:r w:rsidR="003F392A">
              <w:rPr>
                <w:sz w:val="20"/>
                <w:szCs w:val="20"/>
              </w:rPr>
              <w:t xml:space="preserve"> stavebníka, resp. projektanta</w:t>
            </w:r>
            <w:r w:rsidRPr="002F667C">
              <w:rPr>
                <w:sz w:val="20"/>
                <w:szCs w:val="20"/>
              </w:rPr>
              <w:t xml:space="preserve"> prerokovať stavebný zámer s obcou, dotknutými orgánmi a účastníkmi konania v prípravnej fáze ešte pred začatím konania na stavebnom úrade;</w:t>
            </w:r>
          </w:p>
          <w:p w:rsidR="003412E7" w:rsidRPr="002F667C" w:rsidRDefault="003F392A" w:rsidP="003412E7">
            <w:pPr>
              <w:pStyle w:val="Odsekzoznamu"/>
              <w:numPr>
                <w:ilvl w:val="0"/>
                <w:numId w:val="6"/>
              </w:numPr>
              <w:ind w:left="709" w:hanging="283"/>
              <w:jc w:val="both"/>
              <w:rPr>
                <w:sz w:val="20"/>
                <w:szCs w:val="20"/>
              </w:rPr>
            </w:pPr>
            <w:r>
              <w:rPr>
                <w:sz w:val="20"/>
                <w:szCs w:val="20"/>
              </w:rPr>
              <w:t xml:space="preserve">určujú sa režimy povoľovania </w:t>
            </w:r>
            <w:r w:rsidR="003412E7" w:rsidRPr="002F667C">
              <w:rPr>
                <w:sz w:val="20"/>
                <w:szCs w:val="20"/>
              </w:rPr>
              <w:t>stavby podľa náročnosti povoľovania a tomu prispôsob</w:t>
            </w:r>
            <w:r w:rsidR="00B76A73">
              <w:rPr>
                <w:sz w:val="20"/>
                <w:szCs w:val="20"/>
              </w:rPr>
              <w:t>uje</w:t>
            </w:r>
            <w:r w:rsidR="003412E7" w:rsidRPr="002F667C">
              <w:rPr>
                <w:sz w:val="20"/>
                <w:szCs w:val="20"/>
              </w:rPr>
              <w:t xml:space="preserve"> rozsah povoľovacích procesov;</w:t>
            </w:r>
          </w:p>
          <w:p w:rsidR="003412E7" w:rsidRPr="002F667C" w:rsidRDefault="003412E7" w:rsidP="003412E7">
            <w:pPr>
              <w:pStyle w:val="Odsekzoznamu"/>
              <w:numPr>
                <w:ilvl w:val="0"/>
                <w:numId w:val="6"/>
              </w:numPr>
              <w:ind w:left="709" w:hanging="283"/>
              <w:jc w:val="both"/>
              <w:rPr>
                <w:sz w:val="20"/>
                <w:szCs w:val="20"/>
              </w:rPr>
            </w:pPr>
            <w:r w:rsidRPr="002F667C">
              <w:rPr>
                <w:sz w:val="20"/>
                <w:szCs w:val="20"/>
              </w:rPr>
              <w:t>rozš</w:t>
            </w:r>
            <w:r w:rsidR="00B76A73">
              <w:rPr>
                <w:sz w:val="20"/>
                <w:szCs w:val="20"/>
              </w:rPr>
              <w:t>iruje sa</w:t>
            </w:r>
            <w:r w:rsidRPr="002F667C">
              <w:rPr>
                <w:sz w:val="20"/>
                <w:szCs w:val="20"/>
              </w:rPr>
              <w:t xml:space="preserve"> rozsah stavieb, na ktoré postačuje ohlásenie, resp.</w:t>
            </w:r>
            <w:r w:rsidR="00B76A73">
              <w:rPr>
                <w:sz w:val="20"/>
                <w:szCs w:val="20"/>
              </w:rPr>
              <w:t xml:space="preserve"> tých, ktoré</w:t>
            </w:r>
            <w:r w:rsidRPr="002F667C">
              <w:rPr>
                <w:sz w:val="20"/>
                <w:szCs w:val="20"/>
              </w:rPr>
              <w:t xml:space="preserve"> nepotrebujú posúdenie stavebným úradom;</w:t>
            </w:r>
          </w:p>
          <w:p w:rsidR="003412E7" w:rsidRPr="002F667C" w:rsidRDefault="00B76A73" w:rsidP="003412E7">
            <w:pPr>
              <w:pStyle w:val="Odsekzoznamu"/>
              <w:numPr>
                <w:ilvl w:val="0"/>
                <w:numId w:val="6"/>
              </w:numPr>
              <w:ind w:left="709" w:hanging="283"/>
              <w:jc w:val="both"/>
              <w:rPr>
                <w:sz w:val="20"/>
                <w:szCs w:val="20"/>
              </w:rPr>
            </w:pPr>
            <w:r>
              <w:rPr>
                <w:sz w:val="20"/>
                <w:szCs w:val="20"/>
              </w:rPr>
              <w:lastRenderedPageBreak/>
              <w:t xml:space="preserve">zavádzajú sa sprísnené podmienky </w:t>
            </w:r>
            <w:r w:rsidRPr="002F667C">
              <w:rPr>
                <w:sz w:val="20"/>
                <w:szCs w:val="20"/>
              </w:rPr>
              <w:t xml:space="preserve">pre zhotovovanie </w:t>
            </w:r>
            <w:r>
              <w:rPr>
                <w:sz w:val="20"/>
                <w:szCs w:val="20"/>
              </w:rPr>
              <w:t>vyhradených s</w:t>
            </w:r>
            <w:r w:rsidRPr="002F667C">
              <w:rPr>
                <w:sz w:val="20"/>
                <w:szCs w:val="20"/>
              </w:rPr>
              <w:t xml:space="preserve">tavieb </w:t>
            </w:r>
            <w:r w:rsidR="003412E7" w:rsidRPr="002F667C">
              <w:rPr>
                <w:sz w:val="20"/>
                <w:szCs w:val="20"/>
              </w:rPr>
              <w:t>(napr. certifikovaný zhotoviteľ, systém kontrolných prehliadok  v priebehu zhotovovania, zavedenie projektového dohľadu počas zhotovovania);</w:t>
            </w:r>
          </w:p>
          <w:p w:rsidR="003412E7" w:rsidRPr="00B76A73" w:rsidRDefault="003412E7" w:rsidP="00B76A73">
            <w:pPr>
              <w:pStyle w:val="Odsekzoznamu"/>
              <w:numPr>
                <w:ilvl w:val="0"/>
                <w:numId w:val="6"/>
              </w:numPr>
              <w:ind w:left="709" w:hanging="283"/>
              <w:jc w:val="both"/>
              <w:rPr>
                <w:sz w:val="20"/>
                <w:szCs w:val="20"/>
              </w:rPr>
            </w:pPr>
            <w:r w:rsidRPr="002F667C">
              <w:rPr>
                <w:sz w:val="20"/>
                <w:szCs w:val="20"/>
              </w:rPr>
              <w:t>uprav</w:t>
            </w:r>
            <w:r w:rsidR="00B76A73">
              <w:rPr>
                <w:sz w:val="20"/>
                <w:szCs w:val="20"/>
              </w:rPr>
              <w:t>ujú sa</w:t>
            </w:r>
            <w:r w:rsidRPr="002F667C">
              <w:rPr>
                <w:sz w:val="20"/>
                <w:szCs w:val="20"/>
              </w:rPr>
              <w:t xml:space="preserve"> </w:t>
            </w:r>
            <w:r w:rsidR="00B76A73">
              <w:rPr>
                <w:sz w:val="20"/>
                <w:szCs w:val="20"/>
              </w:rPr>
              <w:t xml:space="preserve">nanovo </w:t>
            </w:r>
            <w:r w:rsidRPr="002F667C">
              <w:rPr>
                <w:sz w:val="20"/>
                <w:szCs w:val="20"/>
              </w:rPr>
              <w:t>správne poplatky za konania</w:t>
            </w:r>
            <w:r w:rsidR="00B76A73">
              <w:rPr>
                <w:sz w:val="20"/>
                <w:szCs w:val="20"/>
              </w:rPr>
              <w:t xml:space="preserve"> vzhľadom k tomu, že k zákonu č. 201/2022 Z. z. o výstavbe neboli schválené.</w:t>
            </w:r>
            <w:r w:rsidRPr="002F667C">
              <w:rPr>
                <w:sz w:val="20"/>
                <w:szCs w:val="20"/>
              </w:rPr>
              <w:t xml:space="preserve"> </w:t>
            </w:r>
            <w:r w:rsidRPr="00B76A73">
              <w:rPr>
                <w:sz w:val="20"/>
                <w:szCs w:val="20"/>
              </w:rPr>
              <w:t xml:space="preserve"> </w:t>
            </w:r>
          </w:p>
          <w:p w:rsidR="003412E7" w:rsidRPr="002F667C" w:rsidRDefault="00B76A73" w:rsidP="00B76A73">
            <w:pPr>
              <w:pStyle w:val="Odsekzoznamu"/>
              <w:numPr>
                <w:ilvl w:val="0"/>
                <w:numId w:val="3"/>
              </w:numPr>
              <w:ind w:left="709" w:hanging="283"/>
              <w:jc w:val="both"/>
              <w:rPr>
                <w:sz w:val="20"/>
                <w:szCs w:val="20"/>
              </w:rPr>
            </w:pPr>
            <w:r>
              <w:rPr>
                <w:sz w:val="20"/>
                <w:szCs w:val="20"/>
              </w:rPr>
              <w:t xml:space="preserve">zdôrazňuje sa </w:t>
            </w:r>
            <w:r w:rsidR="003412E7" w:rsidRPr="002F667C">
              <w:rPr>
                <w:sz w:val="20"/>
                <w:szCs w:val="20"/>
              </w:rPr>
              <w:t xml:space="preserve">zodpovednosť projektanta voči stavebníkovi, dotknutým orgánom a stavebnému úradu; projektant je zodpovedný aj za plnenie verejných záujmov upravených zákonmi; </w:t>
            </w:r>
          </w:p>
          <w:p w:rsidR="003412E7" w:rsidRPr="002F667C" w:rsidRDefault="003412E7" w:rsidP="00B76A73">
            <w:pPr>
              <w:pStyle w:val="Odsekzoznamu"/>
              <w:numPr>
                <w:ilvl w:val="0"/>
                <w:numId w:val="3"/>
              </w:numPr>
              <w:ind w:left="709" w:hanging="283"/>
              <w:jc w:val="both"/>
              <w:rPr>
                <w:sz w:val="20"/>
                <w:szCs w:val="20"/>
              </w:rPr>
            </w:pPr>
            <w:r w:rsidRPr="002F667C">
              <w:rPr>
                <w:sz w:val="20"/>
                <w:szCs w:val="20"/>
              </w:rPr>
              <w:t xml:space="preserve">podrobne </w:t>
            </w:r>
            <w:r w:rsidR="00B76A73">
              <w:rPr>
                <w:sz w:val="20"/>
                <w:szCs w:val="20"/>
              </w:rPr>
              <w:t>sa upravujú</w:t>
            </w:r>
            <w:r w:rsidRPr="002F667C">
              <w:rPr>
                <w:sz w:val="20"/>
                <w:szCs w:val="20"/>
              </w:rPr>
              <w:t xml:space="preserve"> práva a povinnosti  jednotlivých odborne spôsobilých osôb vo výstavbe, aby zodpovedali právnym aktom Európskej únie o regulovaných povolaniach.</w:t>
            </w:r>
          </w:p>
          <w:p w:rsidR="003412E7" w:rsidRPr="002F667C" w:rsidRDefault="003412E7" w:rsidP="00B76A73">
            <w:pPr>
              <w:pStyle w:val="Odsekzoznamu"/>
              <w:ind w:left="709" w:hanging="283"/>
              <w:jc w:val="both"/>
              <w:rPr>
                <w:sz w:val="20"/>
                <w:szCs w:val="20"/>
                <w:highlight w:val="yellow"/>
              </w:rPr>
            </w:pPr>
          </w:p>
          <w:p w:rsidR="001D30C3" w:rsidRPr="00B76A73" w:rsidRDefault="00154407" w:rsidP="0057052F">
            <w:pPr>
              <w:jc w:val="both"/>
              <w:rPr>
                <w:rFonts w:ascii="Times New Roman" w:hAnsi="Times New Roman" w:cs="Times New Roman"/>
                <w:sz w:val="20"/>
                <w:szCs w:val="20"/>
              </w:rPr>
            </w:pPr>
            <w:r>
              <w:rPr>
                <w:rFonts w:ascii="Times New Roman" w:hAnsi="Times New Roman" w:cs="Times New Roman"/>
                <w:sz w:val="20"/>
                <w:szCs w:val="20"/>
              </w:rPr>
              <w:t xml:space="preserve">              </w:t>
            </w:r>
            <w:r w:rsidR="00B76A73" w:rsidRPr="00B76A73">
              <w:rPr>
                <w:rFonts w:ascii="Times New Roman" w:hAnsi="Times New Roman" w:cs="Times New Roman"/>
                <w:sz w:val="20"/>
                <w:szCs w:val="20"/>
              </w:rPr>
              <w:t>P</w:t>
            </w:r>
            <w:r w:rsidR="003412E7" w:rsidRPr="00B76A73">
              <w:rPr>
                <w:rFonts w:ascii="Times New Roman" w:hAnsi="Times New Roman" w:cs="Times New Roman"/>
                <w:sz w:val="20"/>
                <w:szCs w:val="20"/>
              </w:rPr>
              <w:t>odmienky pre digitalizáciu agendy štátnej stavebnej správy a vytvorenie jedného úl</w:t>
            </w:r>
            <w:r w:rsidR="00B76A73" w:rsidRPr="00B76A73">
              <w:rPr>
                <w:rFonts w:ascii="Times New Roman" w:hAnsi="Times New Roman" w:cs="Times New Roman"/>
                <w:sz w:val="20"/>
                <w:szCs w:val="20"/>
              </w:rPr>
              <w:t xml:space="preserve">ožiska projektovej dokumentácie sa nastavujú tak, </w:t>
            </w:r>
            <w:r w:rsidR="003412E7" w:rsidRPr="00B76A73">
              <w:rPr>
                <w:rFonts w:ascii="Times New Roman" w:hAnsi="Times New Roman" w:cs="Times New Roman"/>
                <w:sz w:val="20"/>
                <w:szCs w:val="20"/>
              </w:rPr>
              <w:t xml:space="preserve">aby boli reálne, vzhľadom na finančné možnosti </w:t>
            </w:r>
            <w:r w:rsidR="0057052F">
              <w:rPr>
                <w:rFonts w:ascii="Times New Roman" w:hAnsi="Times New Roman" w:cs="Times New Roman"/>
                <w:sz w:val="20"/>
                <w:szCs w:val="20"/>
              </w:rPr>
              <w:t xml:space="preserve">sa </w:t>
            </w:r>
            <w:r w:rsidR="003412E7" w:rsidRPr="00B76A73">
              <w:rPr>
                <w:rFonts w:ascii="Times New Roman" w:hAnsi="Times New Roman" w:cs="Times New Roman"/>
                <w:sz w:val="20"/>
                <w:szCs w:val="20"/>
              </w:rPr>
              <w:t>stanov</w:t>
            </w:r>
            <w:r w:rsidR="0057052F">
              <w:rPr>
                <w:rFonts w:ascii="Times New Roman" w:hAnsi="Times New Roman" w:cs="Times New Roman"/>
                <w:sz w:val="20"/>
                <w:szCs w:val="20"/>
              </w:rPr>
              <w:t>uje</w:t>
            </w:r>
            <w:r w:rsidR="003412E7" w:rsidRPr="00B76A73">
              <w:rPr>
                <w:rFonts w:ascii="Times New Roman" w:hAnsi="Times New Roman" w:cs="Times New Roman"/>
                <w:sz w:val="20"/>
                <w:szCs w:val="20"/>
              </w:rPr>
              <w:t xml:space="preserve"> minimálny rozsah na úložisko projektovej dokumentácie s možnosťou prístupu oprávnených osôb, dotknutých orgánov a zaviesť register stavieb a formuláre jednotlivých podaní.</w:t>
            </w:r>
          </w:p>
        </w:tc>
      </w:tr>
      <w:tr w:rsidR="001D30C3" w:rsidRPr="00612E08" w:rsidTr="00B76A73">
        <w:tc>
          <w:tcPr>
            <w:tcW w:w="9209" w:type="dxa"/>
            <w:gridSpan w:val="11"/>
            <w:tcBorders>
              <w:top w:val="single" w:sz="4" w:space="0" w:color="auto"/>
              <w:left w:val="single" w:sz="4" w:space="0" w:color="auto"/>
              <w:bottom w:val="nil"/>
              <w:right w:val="single" w:sz="4" w:space="0" w:color="auto"/>
            </w:tcBorders>
            <w:shd w:val="clear" w:color="auto" w:fill="E2E2E2"/>
          </w:tcPr>
          <w:p w:rsidR="001D30C3" w:rsidRPr="00612E08" w:rsidRDefault="001D30C3" w:rsidP="001D30C3">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Dotknuté subjekty</w:t>
            </w:r>
          </w:p>
        </w:tc>
      </w:tr>
      <w:tr w:rsidR="001D30C3" w:rsidRPr="00612E08" w:rsidTr="00B76A73">
        <w:tc>
          <w:tcPr>
            <w:tcW w:w="9209" w:type="dxa"/>
            <w:gridSpan w:val="11"/>
            <w:tcBorders>
              <w:top w:val="nil"/>
              <w:left w:val="single" w:sz="4" w:space="0" w:color="auto"/>
              <w:bottom w:val="single" w:sz="4" w:space="0" w:color="auto"/>
              <w:right w:val="single" w:sz="4" w:space="0" w:color="auto"/>
            </w:tcBorders>
            <w:shd w:val="clear" w:color="auto" w:fill="FFFFFF"/>
          </w:tcPr>
          <w:p w:rsidR="001D30C3" w:rsidRPr="00612E08" w:rsidRDefault="001D30C3" w:rsidP="001D30C3">
            <w:pPr>
              <w:rPr>
                <w:rFonts w:ascii="Times New Roman" w:eastAsia="Times New Roman" w:hAnsi="Times New Roman" w:cs="Times New Roman"/>
                <w:b/>
                <w:sz w:val="20"/>
                <w:szCs w:val="20"/>
                <w:lang w:eastAsia="sk-SK"/>
              </w:rPr>
            </w:pPr>
            <w:r>
              <w:rPr>
                <w:rFonts w:ascii="Times" w:hAnsi="Times" w:cs="Times"/>
                <w:sz w:val="20"/>
                <w:szCs w:val="20"/>
              </w:rPr>
              <w:br/>
              <w:t>Orgány verejnej moci, ministerstvá a ostatné ústredné orgány štátnej správy, komory regulovaných profesií, architekti, projektanti, stavební dozory, stavbyvedúci, geodeti a kartografi, zhotovitelia, vlastníci a správcovia dopravnej a technickej infraštruktúry, ostatné právnické osoby, fyzické osoby podnikajúce, fyzické osoby a pod.</w:t>
            </w:r>
          </w:p>
          <w:p w:rsidR="001D30C3" w:rsidRPr="00612E08" w:rsidRDefault="001D30C3" w:rsidP="001D30C3">
            <w:pPr>
              <w:rPr>
                <w:rFonts w:ascii="Times New Roman" w:eastAsia="Times New Roman" w:hAnsi="Times New Roman" w:cs="Times New Roman"/>
                <w:i/>
                <w:sz w:val="20"/>
                <w:szCs w:val="20"/>
                <w:lang w:eastAsia="sk-SK"/>
              </w:rPr>
            </w:pPr>
          </w:p>
        </w:tc>
      </w:tr>
      <w:tr w:rsidR="001D30C3" w:rsidRPr="00612E08" w:rsidTr="00103841">
        <w:tc>
          <w:tcPr>
            <w:tcW w:w="9209" w:type="dxa"/>
            <w:gridSpan w:val="11"/>
            <w:tcBorders>
              <w:top w:val="single" w:sz="4" w:space="0" w:color="auto"/>
              <w:left w:val="single" w:sz="4" w:space="0" w:color="auto"/>
              <w:bottom w:val="single" w:sz="4" w:space="0" w:color="auto"/>
              <w:right w:val="single" w:sz="4" w:space="0" w:color="auto"/>
            </w:tcBorders>
            <w:shd w:val="clear" w:color="auto" w:fill="E2E2E2"/>
          </w:tcPr>
          <w:p w:rsidR="001D30C3" w:rsidRPr="00612E08" w:rsidRDefault="001D30C3" w:rsidP="001D30C3">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Alternatívne riešenia</w:t>
            </w:r>
          </w:p>
        </w:tc>
      </w:tr>
      <w:tr w:rsidR="001D30C3" w:rsidRPr="00612E08" w:rsidTr="00103841">
        <w:trPr>
          <w:trHeight w:val="1524"/>
        </w:trPr>
        <w:tc>
          <w:tcPr>
            <w:tcW w:w="9209" w:type="dxa"/>
            <w:gridSpan w:val="11"/>
            <w:tcBorders>
              <w:top w:val="single" w:sz="4" w:space="0" w:color="auto"/>
              <w:left w:val="single" w:sz="4" w:space="0" w:color="auto"/>
              <w:bottom w:val="single" w:sz="4" w:space="0" w:color="auto"/>
              <w:right w:val="single" w:sz="4" w:space="0" w:color="auto"/>
            </w:tcBorders>
            <w:shd w:val="clear" w:color="auto" w:fill="FFFFFF"/>
          </w:tcPr>
          <w:p w:rsidR="003412E7" w:rsidRPr="006823CF" w:rsidRDefault="001D30C3" w:rsidP="006823CF">
            <w:pPr>
              <w:rPr>
                <w:rFonts w:ascii="Times New Roman" w:hAnsi="Times New Roman" w:cs="Times New Roman"/>
                <w:sz w:val="20"/>
                <w:szCs w:val="20"/>
              </w:rPr>
            </w:pPr>
            <w:r w:rsidRPr="006823CF">
              <w:rPr>
                <w:rFonts w:ascii="Times New Roman" w:hAnsi="Times New Roman" w:cs="Times New Roman"/>
                <w:sz w:val="20"/>
                <w:szCs w:val="20"/>
              </w:rPr>
              <w:t>Neboli identifikované alternatívy k predloženým riešeniam, ktoré by naplnili cieľ</w:t>
            </w:r>
            <w:r w:rsidR="003412E7" w:rsidRPr="006823CF">
              <w:rPr>
                <w:rFonts w:ascii="Times New Roman" w:hAnsi="Times New Roman" w:cs="Times New Roman"/>
                <w:sz w:val="20"/>
                <w:szCs w:val="20"/>
              </w:rPr>
              <w:t>.</w:t>
            </w:r>
          </w:p>
          <w:p w:rsidR="006823CF" w:rsidRDefault="009753FB" w:rsidP="006823CF">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 xml:space="preserve"> </w:t>
            </w:r>
            <w:r w:rsidR="001D30C3" w:rsidRPr="006823CF">
              <w:rPr>
                <w:rFonts w:ascii="Times New Roman" w:hAnsi="Times New Roman" w:cs="Times New Roman"/>
                <w:sz w:val="20"/>
                <w:szCs w:val="20"/>
              </w:rPr>
              <w:t>Nulový variant:</w:t>
            </w:r>
            <w:r w:rsidRPr="006823CF">
              <w:rPr>
                <w:rFonts w:ascii="Times New Roman" w:hAnsi="Times New Roman" w:cs="Times New Roman"/>
                <w:sz w:val="20"/>
                <w:szCs w:val="20"/>
              </w:rPr>
              <w:t xml:space="preserve"> </w:t>
            </w:r>
          </w:p>
          <w:p w:rsidR="006823CF" w:rsidRPr="006823CF" w:rsidRDefault="006823CF" w:rsidP="001201E4">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V nadväznosti na oddialenie legislatívy o výstavbe bolo nevyhnutné prispôsobiť režim zákona</w:t>
            </w:r>
            <w:r w:rsidRPr="006823CF">
              <w:rPr>
                <w:rFonts w:ascii="Times New Roman" w:hAnsi="Times New Roman" w:cs="Times New Roman"/>
                <w:sz w:val="20"/>
                <w:szCs w:val="20"/>
              </w:rPr>
              <w:br/>
              <w:t>č. 50/1976 Zb. stavebný zákon v znení neskorších predpisov (ďalej len „stavebný zákon“) a zákona</w:t>
            </w:r>
            <w:r w:rsidRPr="006823CF">
              <w:rPr>
                <w:rFonts w:ascii="Times New Roman" w:hAnsi="Times New Roman" w:cs="Times New Roman"/>
                <w:sz w:val="20"/>
                <w:szCs w:val="20"/>
              </w:rPr>
              <w:br/>
              <w:t>č. 200/2022 Z. z. o územnom plánovaní v znení neskorších predpisov (ďalej len „zákon o ÚP“) tak, aby boli aplikovateľné súčasne a nadväzovali na seba do doby účinnosti novej legislatívy o výstavbe. Zároveň bolo potrebné urýchlene vykonať legislatívne úpravy existujúcej právnej normy tak, aby sa eliminovalo riziko spustenia nepripravených procesov vo výstavbe a v prechodnej dobe sa v čo najväčšej miere využili existujúce  inštitúty stavebného práva, primerane prebrali aplikovateľné inštitúty navrhované zákonom o výstavbe, nenarušil sa priebeh konaní na stavebných úradoch a zároveň aby sa nezaviedla úprava, ktorá by bola v zásadnom rozpore s už schválenými predpismi.</w:t>
            </w:r>
            <w:r w:rsidR="001201E4">
              <w:rPr>
                <w:rFonts w:ascii="Times New Roman" w:hAnsi="Times New Roman" w:cs="Times New Roman"/>
                <w:sz w:val="20"/>
                <w:szCs w:val="20"/>
              </w:rPr>
              <w:t xml:space="preserve"> To sa naplnilo z</w:t>
            </w:r>
            <w:r w:rsidR="001201E4" w:rsidRPr="00C2390A">
              <w:rPr>
                <w:rFonts w:ascii="Times New Roman" w:hAnsi="Times New Roman" w:cs="Times New Roman"/>
                <w:sz w:val="20"/>
                <w:szCs w:val="20"/>
              </w:rPr>
              <w:t>ákonom č. 46/2024 Z. z. ktorým sa mení a dopĺňa zákon č. 50/1976 Zb. o územnom plánovaní a stavebnom poriadku (stavebný zákon) v znení neskorších predpisov a ktorým sa m</w:t>
            </w:r>
            <w:r w:rsidR="001201E4">
              <w:rPr>
                <w:rFonts w:ascii="Times New Roman" w:hAnsi="Times New Roman" w:cs="Times New Roman"/>
                <w:sz w:val="20"/>
                <w:szCs w:val="20"/>
              </w:rPr>
              <w:t xml:space="preserve">enia a dopĺňajú niektoré zákony. </w:t>
            </w:r>
            <w:r w:rsidRPr="006823CF">
              <w:rPr>
                <w:rFonts w:ascii="Times New Roman" w:hAnsi="Times New Roman" w:cs="Times New Roman"/>
                <w:sz w:val="20"/>
                <w:szCs w:val="20"/>
              </w:rPr>
              <w:t>Z hľadiska vecnej dočasnej úpravy stavebného zákona boli prijaté nástroje umožňujúce zefektívnenie povoľovacích procesov integráciou existujúcich správnych konaní do jedného bez toho, aby sa zasiahlo do pôsobností stavebných úradov a orgánov štátnej správy chrániacich verejné záujmy podľa osobitných predpisov, alebo do práv a oprávnených záujmov účastníkov konania. Do stavebného zákona bola zavedená úprava umožňujúca využiť existujúci inštitút spojeného územného a stavebného konania pre všetky stavby na podklade „záväzného stanoviska“ príslušného orgánu územného plánovania. Tým sa harmonizoval zákon o ÚP so stavebným zákonom a inštitút záväzných stanovísk je možné s akceleračným efektom začať používať aj pred nadobudnutím účinnosti zákona o výstavbe, čím sa môžu orgány územného plánovania v prechodnom období pripraviť na jeho budúcu aplikáciu. Prijatá úprava precizovala  existujúcu právnu úpravu obsiahnutú v § 65 stavebného zákona, podľa ktorej možno spoločne prerokovať a so stavebným konaním spojiť aj iné konania potrebné na uskutočnenie stavby. Konanie vedie a rozhodnutie vydá stavebný úrad príslušný na povolenie hlavnej stavby, ostatné stavebné úrady majú v konaní postavenie dotknutého orgánu, čo umožňuje vykonať integrované povoľovanie súboru stavieb všeobecných a špeciálnych v spoločnom správnom konaní. Takú úpravu obsahuje aj zákon o výstavbe. Ide o opatrenie, od ktorého sa očakáva zníženie administratívnej záťaže a skrátenie lehôt povoľovacích procesov pri zachovaní požiadaviek na kvalitu stavieb a ich vplyvov na okolie bez negatívneho dopadu na možnosti dotknutých orgánov chrániť im zverené záujmy a bez dopadu na práva a právom chránené záujmy účastníkov konania.</w:t>
            </w:r>
          </w:p>
          <w:p w:rsidR="006823CF" w:rsidRPr="006823CF" w:rsidRDefault="006823CF" w:rsidP="006823CF">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Napriek všetkým prijatým úpravám, resp. z dôvodu všetkých prijatých legislatívnych úprav v platnej právnej úprave stavebného zákona je dnes narušená pôvodná systematika stavebného zákona a zákon nezodpovedá požiadavkám zákona č. 400/2015 Z. z. o tvorbe právnych predpisov a o Zbierke zákonov Slovenskej republiky a o zmene a doplnení niektorých zákonov a nie je koncepčne usporiadaný podľa súčasných požiadaviek na vnútorné usporiadanie zákonov.</w:t>
            </w:r>
          </w:p>
          <w:p w:rsidR="006823CF" w:rsidRPr="006823CF" w:rsidRDefault="006823CF" w:rsidP="006823CF">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 xml:space="preserve">Zákon o výstavbe, ktorého účinnosť bola odložená od 01.04.2025 po formálnej stránke zodpovedá zákonným požiadavkám, ale po vecnej stránke úpravy organizácie verejnej správy vo výstavbe, odborného personálneho zabezpečenia stavebných úradov, dotknutých orgánov, procesných postupov, nedoriešenej otázky </w:t>
            </w:r>
            <w:r w:rsidRPr="006823CF">
              <w:rPr>
                <w:rFonts w:ascii="Times New Roman" w:hAnsi="Times New Roman" w:cs="Times New Roman"/>
                <w:sz w:val="20"/>
                <w:szCs w:val="20"/>
              </w:rPr>
              <w:lastRenderedPageBreak/>
              <w:t>správnych poplatkov, neexistenciou spoľahlivého informačného systému podmieňujúceho jeho aplikáciu, sa jeho účinnosť javí nereálnou aj k odloženému termínu.</w:t>
            </w:r>
          </w:p>
          <w:p w:rsidR="0057052F" w:rsidRDefault="006823CF" w:rsidP="006823CF">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 xml:space="preserve">Pri komplexnom pohľade na problematiku upravovanú stavebným zákonom, je potrebné </w:t>
            </w:r>
            <w:r w:rsidR="001201E4">
              <w:rPr>
                <w:rFonts w:ascii="Times New Roman" w:hAnsi="Times New Roman" w:cs="Times New Roman"/>
                <w:sz w:val="20"/>
                <w:szCs w:val="20"/>
              </w:rPr>
              <w:t xml:space="preserve">naďalej </w:t>
            </w:r>
            <w:r w:rsidRPr="006823CF">
              <w:rPr>
                <w:rFonts w:ascii="Times New Roman" w:hAnsi="Times New Roman" w:cs="Times New Roman"/>
                <w:sz w:val="20"/>
                <w:szCs w:val="20"/>
              </w:rPr>
              <w:t xml:space="preserve">riešiť pretrvávajúci celospoločenský problém zníženia úrovne disciplíny účastníkov výstavby, poklesu právneho vedomia, ako aj poklesu vymáhateľnosti nárokov garantovaných právnymi predpismi vo všetkých oblastiach spoločenského života. Štátny stavebný dohľad sa v nedostatočnej miere zameriava na realizačnú fázu výstavby pričom, v prípade zistených nedostatkov na stavbe, mu v stavebnom zákone chýbajú účinné nástroje na zabezpečenie okamžitej nápravy. V tejto súvislosti je potrebné poukázať na to, že nie je zabezpečený dostatočne pružný mechanizmus na výkon rozhodnutí stavebného úradu o odstránení stavby a na zabezpečenie vymáhania nezaplatených peňažných pokút. </w:t>
            </w:r>
          </w:p>
          <w:p w:rsidR="006823CF" w:rsidRPr="006823CF" w:rsidRDefault="006823CF" w:rsidP="006823CF">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Napriek úprave stavebného zákona uskutočnenej zákonom č. 46/2024 Z. z., cieľom ktorej bolo racionalizovať procesné postupy možnosťou zlúčenia konania o umiestnení stavby a stavebného konania s výsledným stavebným povolením a pripustením možnosti spojenia aj iných konaní nevyhnutných na uskutočnenie stavby a tiež zavedením koncentračnej zásady v územnom a stavebnom konaní, v praxi naďalej existujú problémové okruhy v riešení vzťahov upravených stavebným zákonom vo väzbe na osobitné predpisy chrániace verejné záujmy, ktoré zaťažujú účastníkov výstavby i dotknuté orgány. Kompetencie dotknutých orgánov, ktoré chránia osobitné verejné záujmy vo výstavbe sú zakotvené v osobitných zákonoch a vykonávacích predpisoch v pôsobnosti zainteresovaných rezortov. Úprava postavenia a pôsobnosti dotknutých orgánov  nie je jednotná. Zavedením inštitútu „záväzného stanoviska“ v postupoch upravených stavebným zákonom sa mal dosiahnuť súlad a odstránenie neistoty a pochybností o správnosti postupu príslušných orgánov pri výkone verejnej správy, najmä pri umiestňovaní a povoľovaní stavieb. Zahrnutím správcov sietí a technickej infraštruktúry medzi dotknuté orgány, v praxi vznikajú rozpory o ich postavení v konaní. Stavebné úrady vyvíjajú tlak na stavebníkov, aby si obstarali záväzné stanoviská aj od dotknutých orgánov, ktoré konkrétnou stavbou vôbec nebudú dotknuté, alebo na vydanie záväzného stanoviska ich osobitný predpis neoprávňuje.</w:t>
            </w:r>
          </w:p>
          <w:p w:rsidR="006823CF" w:rsidRPr="006823CF" w:rsidRDefault="006823CF" w:rsidP="006823CF">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 xml:space="preserve">V praxi stále </w:t>
            </w:r>
            <w:r w:rsidR="001201E4">
              <w:rPr>
                <w:rFonts w:ascii="Times New Roman" w:hAnsi="Times New Roman" w:cs="Times New Roman"/>
                <w:sz w:val="20"/>
                <w:szCs w:val="20"/>
              </w:rPr>
              <w:t>nie je nasadený</w:t>
            </w:r>
            <w:r w:rsidRPr="006823CF">
              <w:rPr>
                <w:rFonts w:ascii="Times New Roman" w:hAnsi="Times New Roman" w:cs="Times New Roman"/>
                <w:sz w:val="20"/>
                <w:szCs w:val="20"/>
              </w:rPr>
              <w:t xml:space="preserve"> informačný systém o výstavbe, ako súčasť štátneho informačného systému ktorého obsah by bol založený na jednotnom spôsobe územnej identifikácie a štruktúry údajov a informácií získaných a spracovaných podľa jednotnej metodiky. Ide najmä o údaje a informácie o stavbách a o stavebných pozemkoch, najmä o ich druhu, funkčnom využívaní, umiestnení, o ich vlastníkoch a o zastavovacích podmienkach, ktoré sa naň vzťahujú, ako aj o rozhodnutiach stavebných úradov, najmä územných rozhodnutiach, stavebných povoleniach a kolaudačných rozhodnutiach. Informačný systém, s ktorým uvažuje zákon o ÚP má mať úplnú funkcionalitu až v roku 2032, ale zákon o ÚP ani zákon o výstavbe neriešia ich aplikáciu pri čiastkovej alebo žiadnej funkcionalite do uvedeného termínu.</w:t>
            </w:r>
          </w:p>
          <w:p w:rsidR="001D30C3" w:rsidRDefault="006823CF" w:rsidP="005E2DE6">
            <w:pPr>
              <w:spacing w:after="120"/>
              <w:ind w:right="74" w:firstLine="708"/>
              <w:jc w:val="both"/>
              <w:rPr>
                <w:rFonts w:ascii="Times New Roman" w:hAnsi="Times New Roman" w:cs="Times New Roman"/>
                <w:sz w:val="20"/>
                <w:szCs w:val="20"/>
              </w:rPr>
            </w:pPr>
            <w:r w:rsidRPr="006823CF">
              <w:rPr>
                <w:rFonts w:ascii="Times New Roman" w:hAnsi="Times New Roman" w:cs="Times New Roman"/>
                <w:sz w:val="20"/>
                <w:szCs w:val="20"/>
              </w:rPr>
              <w:t>V kombinácii s nárastom náročných podaní vyžadujúcich prax v rozhodovacom procese sa dostáva do popredia problematika nedostatočného personálneho obsadenia stavebných úradov najmä v malých obciach, ale aj časté zmeny personálneho obsadenia stavebných úradov aj na riadiacich miestach vyvolané komunálnymi voľbami. Obce v tejto súvislosti poukazujú na nedostatok finančných prostriedkov na technické, prevádzkové a mzdové potreby stavebného úradu, ktorého výkon je pre</w:t>
            </w:r>
            <w:r w:rsidR="005E2DE6">
              <w:rPr>
                <w:rFonts w:ascii="Times New Roman" w:hAnsi="Times New Roman" w:cs="Times New Roman"/>
                <w:sz w:val="20"/>
                <w:szCs w:val="20"/>
              </w:rPr>
              <w:t>neseným výkonom štátnej správy.</w:t>
            </w:r>
          </w:p>
          <w:p w:rsidR="00A669CB" w:rsidRPr="006823CF" w:rsidRDefault="00A669CB" w:rsidP="00A669CB">
            <w:pPr>
              <w:spacing w:after="120"/>
              <w:ind w:right="74" w:firstLine="708"/>
              <w:jc w:val="both"/>
              <w:rPr>
                <w:rFonts w:ascii="Times New Roman" w:hAnsi="Times New Roman" w:cs="Times New Roman"/>
                <w:sz w:val="20"/>
                <w:szCs w:val="20"/>
              </w:rPr>
            </w:pPr>
            <w:r>
              <w:rPr>
                <w:rFonts w:ascii="Times New Roman" w:hAnsi="Times New Roman" w:cs="Times New Roman"/>
                <w:sz w:val="20"/>
                <w:szCs w:val="20"/>
              </w:rPr>
              <w:t>Zákon o výstavbe uvažoval s prenesením pôsobnosti na úseku stavebného poriadku z obcí späť na štát k dátumu účinnosti zákona, a zároveň s prechodným 2 ročným obdobím, v ktorom obce dokončia konania vybavia podania doručené do účinnosti zákona. Z dôvodu neistoty na strane stavebníkov čelia obce enormnému nárastu podaní, ktoré je potrebné vybaviť podľa doterajších predpisov.</w:t>
            </w:r>
          </w:p>
        </w:tc>
      </w:tr>
      <w:tr w:rsidR="001D30C3" w:rsidRPr="00612E08" w:rsidTr="00B76A73">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1D30C3" w:rsidRPr="00612E08" w:rsidRDefault="001D30C3" w:rsidP="001D30C3">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Vykonávacie predpisy</w:t>
            </w:r>
          </w:p>
        </w:tc>
      </w:tr>
      <w:tr w:rsidR="001D30C3" w:rsidRPr="00612E08" w:rsidTr="00B76A73">
        <w:tc>
          <w:tcPr>
            <w:tcW w:w="6203" w:type="dxa"/>
            <w:gridSpan w:val="7"/>
            <w:tcBorders>
              <w:top w:val="single" w:sz="4" w:space="0" w:color="FFFFFF"/>
              <w:left w:val="single" w:sz="4" w:space="0" w:color="auto"/>
              <w:bottom w:val="nil"/>
              <w:right w:val="nil"/>
            </w:tcBorders>
            <w:shd w:val="clear" w:color="auto" w:fill="FFFFFF"/>
          </w:tcPr>
          <w:p w:rsidR="001D30C3" w:rsidRPr="00612E08" w:rsidRDefault="001D30C3" w:rsidP="001D30C3">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Predpokladá sa prijatie/zmena  vykonávacích predpisov?</w:t>
            </w:r>
          </w:p>
        </w:tc>
        <w:tc>
          <w:tcPr>
            <w:tcW w:w="1417" w:type="dxa"/>
            <w:gridSpan w:val="2"/>
            <w:tcBorders>
              <w:top w:val="single" w:sz="4" w:space="0" w:color="FFFFFF"/>
              <w:left w:val="nil"/>
              <w:bottom w:val="nil"/>
              <w:right w:val="nil"/>
            </w:tcBorders>
            <w:shd w:val="clear" w:color="auto" w:fill="FFFFFF"/>
          </w:tcPr>
          <w:p w:rsidR="001D30C3" w:rsidRPr="00612E08" w:rsidRDefault="0067717B" w:rsidP="001D30C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929613764"/>
                <w14:checkbox>
                  <w14:checked w14:val="1"/>
                  <w14:checkedState w14:val="2612" w14:font="MS Gothic"/>
                  <w14:uncheckedState w14:val="2610" w14:font="MS Gothic"/>
                </w14:checkbox>
              </w:sdtPr>
              <w:sdtEndPr/>
              <w:sdtContent>
                <w:r w:rsidR="001D30C3">
                  <w:rPr>
                    <w:rFonts w:ascii="MS Gothic" w:eastAsia="MS Gothic" w:hAnsi="MS Gothic" w:cs="Times New Roman" w:hint="eastAsia"/>
                    <w:b/>
                    <w:sz w:val="20"/>
                    <w:szCs w:val="20"/>
                    <w:lang w:eastAsia="sk-SK"/>
                  </w:rPr>
                  <w:t>☒</w:t>
                </w:r>
              </w:sdtContent>
            </w:sdt>
            <w:r w:rsidR="001D30C3" w:rsidRPr="00612E08">
              <w:rPr>
                <w:rFonts w:ascii="Times New Roman" w:eastAsia="Times New Roman" w:hAnsi="Times New Roman" w:cs="Times New Roman"/>
                <w:b/>
                <w:sz w:val="20"/>
                <w:szCs w:val="20"/>
                <w:lang w:eastAsia="sk-SK"/>
              </w:rPr>
              <w:t xml:space="preserve">  Áno</w:t>
            </w:r>
          </w:p>
        </w:tc>
        <w:tc>
          <w:tcPr>
            <w:tcW w:w="1589" w:type="dxa"/>
            <w:gridSpan w:val="2"/>
            <w:tcBorders>
              <w:top w:val="single" w:sz="4" w:space="0" w:color="FFFFFF"/>
              <w:left w:val="nil"/>
              <w:bottom w:val="nil"/>
              <w:right w:val="single" w:sz="4" w:space="0" w:color="auto"/>
            </w:tcBorders>
            <w:shd w:val="clear" w:color="auto" w:fill="FFFFFF"/>
          </w:tcPr>
          <w:p w:rsidR="001D30C3" w:rsidRPr="00612E08" w:rsidRDefault="0067717B" w:rsidP="001D30C3">
            <w:pPr>
              <w:jc w:val="cente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594626508"/>
                <w14:checkbox>
                  <w14:checked w14:val="0"/>
                  <w14:checkedState w14:val="2612" w14:font="MS Gothic"/>
                  <w14:uncheckedState w14:val="2610" w14:font="MS Gothic"/>
                </w14:checkbox>
              </w:sdtPr>
              <w:sdtEndPr/>
              <w:sdtContent>
                <w:r w:rsidR="001D30C3" w:rsidRPr="00612E08">
                  <w:rPr>
                    <w:rFonts w:ascii="MS Gothic" w:eastAsia="MS Gothic" w:hAnsi="MS Gothic" w:cs="Times New Roman" w:hint="eastAsia"/>
                    <w:b/>
                    <w:sz w:val="20"/>
                    <w:szCs w:val="20"/>
                    <w:lang w:eastAsia="sk-SK"/>
                  </w:rPr>
                  <w:t>☐</w:t>
                </w:r>
              </w:sdtContent>
            </w:sdt>
            <w:r w:rsidR="001D30C3" w:rsidRPr="00612E08">
              <w:rPr>
                <w:rFonts w:ascii="Times New Roman" w:eastAsia="Times New Roman" w:hAnsi="Times New Roman" w:cs="Times New Roman"/>
                <w:b/>
                <w:sz w:val="20"/>
                <w:szCs w:val="20"/>
                <w:lang w:eastAsia="sk-SK"/>
              </w:rPr>
              <w:t xml:space="preserve">  Nie</w:t>
            </w:r>
          </w:p>
        </w:tc>
      </w:tr>
      <w:tr w:rsidR="001D30C3" w:rsidRPr="00612E08" w:rsidTr="00B76A73">
        <w:tc>
          <w:tcPr>
            <w:tcW w:w="9209" w:type="dxa"/>
            <w:gridSpan w:val="11"/>
            <w:tcBorders>
              <w:top w:val="nil"/>
              <w:left w:val="single" w:sz="4" w:space="0" w:color="auto"/>
              <w:bottom w:val="single" w:sz="4" w:space="0" w:color="auto"/>
              <w:right w:val="single" w:sz="4" w:space="0" w:color="auto"/>
            </w:tcBorders>
            <w:shd w:val="clear" w:color="auto" w:fill="FFFFFF"/>
          </w:tcPr>
          <w:p w:rsidR="001D30C3" w:rsidRPr="00612E08" w:rsidRDefault="001D30C3" w:rsidP="001D30C3">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Ak áno, uveďte ktoré oblasti budú nimi upravené, resp. ktorých vykonávacích predpisov sa zmena dotkne:</w:t>
            </w:r>
          </w:p>
          <w:p w:rsidR="001D30C3" w:rsidRDefault="001D30C3" w:rsidP="001D30C3">
            <w:pPr>
              <w:rPr>
                <w:rFonts w:ascii="Times New Roman" w:eastAsia="Times New Roman" w:hAnsi="Times New Roman" w:cs="Times New Roman"/>
                <w:sz w:val="20"/>
                <w:szCs w:val="20"/>
                <w:lang w:eastAsia="sk-SK"/>
              </w:rPr>
            </w:pPr>
          </w:p>
          <w:p w:rsidR="001D30C3" w:rsidRPr="00612E08" w:rsidRDefault="001D30C3" w:rsidP="004B7BDB">
            <w:pPr>
              <w:rPr>
                <w:rFonts w:ascii="Times New Roman" w:eastAsia="Times New Roman" w:hAnsi="Times New Roman" w:cs="Times New Roman"/>
                <w:sz w:val="20"/>
                <w:szCs w:val="20"/>
                <w:lang w:eastAsia="sk-SK"/>
              </w:rPr>
            </w:pPr>
            <w:r>
              <w:rPr>
                <w:rFonts w:ascii="Times" w:hAnsi="Times" w:cs="Times"/>
                <w:sz w:val="20"/>
                <w:szCs w:val="20"/>
              </w:rPr>
              <w:t xml:space="preserve">Vykonávacími všeobecne záväznými právnymi predpismi budú upravené najmä podrobnosti </w:t>
            </w:r>
            <w:r w:rsidR="004B7BDB">
              <w:rPr>
                <w:rFonts w:ascii="Times" w:hAnsi="Times" w:cs="Times"/>
                <w:sz w:val="20"/>
                <w:szCs w:val="20"/>
              </w:rPr>
              <w:t>–o členení stavieb, -</w:t>
            </w:r>
            <w:r>
              <w:rPr>
                <w:rFonts w:ascii="Times" w:hAnsi="Times" w:cs="Times"/>
                <w:sz w:val="20"/>
                <w:szCs w:val="20"/>
              </w:rPr>
              <w:t xml:space="preserve"> o</w:t>
            </w:r>
            <w:r w:rsidR="004B7BDB">
              <w:rPr>
                <w:rFonts w:ascii="Times" w:hAnsi="Times" w:cs="Times"/>
                <w:sz w:val="20"/>
                <w:szCs w:val="20"/>
              </w:rPr>
              <w:t> druhoch a obsahu podaní, - o</w:t>
            </w:r>
            <w:r>
              <w:rPr>
                <w:rFonts w:ascii="Times" w:hAnsi="Times" w:cs="Times"/>
                <w:sz w:val="20"/>
                <w:szCs w:val="20"/>
              </w:rPr>
              <w:t xml:space="preserve"> náležitostiach kolaudačného osvedčenia</w:t>
            </w:r>
            <w:r w:rsidR="004B7BDB">
              <w:rPr>
                <w:rFonts w:ascii="Times" w:hAnsi="Times" w:cs="Times"/>
                <w:sz w:val="20"/>
                <w:szCs w:val="20"/>
              </w:rPr>
              <w:t>, - o overovacej doložke a doložke súladu</w:t>
            </w:r>
            <w:r>
              <w:rPr>
                <w:rFonts w:ascii="Times" w:hAnsi="Times" w:cs="Times"/>
                <w:sz w:val="20"/>
                <w:szCs w:val="20"/>
              </w:rPr>
              <w:t xml:space="preserve"> - o</w:t>
            </w:r>
            <w:r w:rsidR="004B7BDB">
              <w:rPr>
                <w:rFonts w:ascii="Times" w:hAnsi="Times" w:cs="Times"/>
                <w:sz w:val="20"/>
                <w:szCs w:val="20"/>
              </w:rPr>
              <w:t> </w:t>
            </w:r>
            <w:r>
              <w:rPr>
                <w:rFonts w:ascii="Times" w:hAnsi="Times" w:cs="Times"/>
                <w:sz w:val="20"/>
                <w:szCs w:val="20"/>
              </w:rPr>
              <w:t>druhoch</w:t>
            </w:r>
            <w:r w:rsidR="004B7BDB">
              <w:rPr>
                <w:rFonts w:ascii="Times" w:hAnsi="Times" w:cs="Times"/>
                <w:sz w:val="20"/>
                <w:szCs w:val="20"/>
              </w:rPr>
              <w:t xml:space="preserve"> a </w:t>
            </w:r>
            <w:r>
              <w:rPr>
                <w:rFonts w:ascii="Times" w:hAnsi="Times" w:cs="Times"/>
                <w:sz w:val="20"/>
                <w:szCs w:val="20"/>
              </w:rPr>
              <w:t xml:space="preserve"> obsahu dokumentácie stavby, - o </w:t>
            </w:r>
            <w:r w:rsidR="004B7BDB">
              <w:rPr>
                <w:rFonts w:ascii="Times" w:hAnsi="Times" w:cs="Times"/>
                <w:sz w:val="20"/>
                <w:szCs w:val="20"/>
              </w:rPr>
              <w:t>stavebno-</w:t>
            </w:r>
            <w:r>
              <w:rPr>
                <w:rFonts w:ascii="Times" w:hAnsi="Times" w:cs="Times"/>
                <w:sz w:val="20"/>
                <w:szCs w:val="20"/>
              </w:rPr>
              <w:t>technických požiadavkách na výstavbu a</w:t>
            </w:r>
            <w:r w:rsidR="004B7BDB">
              <w:rPr>
                <w:rFonts w:ascii="Times" w:hAnsi="Times" w:cs="Times"/>
                <w:sz w:val="20"/>
                <w:szCs w:val="20"/>
              </w:rPr>
              <w:t xml:space="preserve"> stavebno-technických </w:t>
            </w:r>
            <w:r>
              <w:rPr>
                <w:rFonts w:ascii="Times" w:hAnsi="Times" w:cs="Times"/>
                <w:sz w:val="20"/>
                <w:szCs w:val="20"/>
              </w:rPr>
              <w:t>požiadavkách na bezbariérové  užívanie stavieb, - o obsahu a</w:t>
            </w:r>
            <w:r w:rsidR="004B7BDB">
              <w:rPr>
                <w:rFonts w:ascii="Times" w:hAnsi="Times" w:cs="Times"/>
                <w:sz w:val="20"/>
                <w:szCs w:val="20"/>
              </w:rPr>
              <w:t xml:space="preserve"> </w:t>
            </w:r>
            <w:r w:rsidR="004B7BDB" w:rsidRPr="004B7BDB">
              <w:rPr>
                <w:rFonts w:ascii="Times" w:hAnsi="Times" w:cs="Times"/>
                <w:sz w:val="20"/>
                <w:szCs w:val="20"/>
              </w:rPr>
              <w:t>rozsah</w:t>
            </w:r>
            <w:r w:rsidR="004B7BDB">
              <w:rPr>
                <w:rFonts w:ascii="Times" w:hAnsi="Times" w:cs="Times"/>
                <w:sz w:val="20"/>
                <w:szCs w:val="20"/>
              </w:rPr>
              <w:t>u</w:t>
            </w:r>
            <w:r w:rsidR="004B7BDB" w:rsidRPr="004B7BDB">
              <w:rPr>
                <w:rFonts w:ascii="Times" w:hAnsi="Times" w:cs="Times"/>
                <w:sz w:val="20"/>
                <w:szCs w:val="20"/>
              </w:rPr>
              <w:t xml:space="preserve"> odborného vzdelávania zamestnancov v stavebnom úrade, v regionálnom úrade a spôsob jeho zabezpečenia a postup pri overovaní osobitného kvalifikačného predpokladu zamestnancov v stavebnom úrade a v regionálnom úrade</w:t>
            </w:r>
            <w:r w:rsidR="004B7BDB">
              <w:rPr>
                <w:rFonts w:ascii="Times" w:hAnsi="Times" w:cs="Times"/>
                <w:sz w:val="20"/>
                <w:szCs w:val="20"/>
              </w:rPr>
              <w:t>.</w:t>
            </w:r>
            <w:r>
              <w:rPr>
                <w:rFonts w:ascii="Times" w:hAnsi="Times" w:cs="Times"/>
                <w:sz w:val="20"/>
                <w:szCs w:val="20"/>
              </w:rPr>
              <w:t xml:space="preserve"> - </w:t>
            </w:r>
          </w:p>
        </w:tc>
      </w:tr>
      <w:tr w:rsidR="001D30C3" w:rsidRPr="00612E08" w:rsidTr="00B76A73">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1D30C3" w:rsidRPr="00612E08" w:rsidRDefault="001D30C3" w:rsidP="001D30C3">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 xml:space="preserve">Transpozícia/implementácia práva EÚ </w:t>
            </w:r>
          </w:p>
        </w:tc>
      </w:tr>
      <w:tr w:rsidR="001D30C3" w:rsidRPr="00612E08" w:rsidTr="00B76A73">
        <w:trPr>
          <w:trHeight w:val="157"/>
        </w:trPr>
        <w:tc>
          <w:tcPr>
            <w:tcW w:w="9209" w:type="dxa"/>
            <w:gridSpan w:val="11"/>
            <w:tcBorders>
              <w:top w:val="nil"/>
              <w:left w:val="single" w:sz="4" w:space="0" w:color="000000"/>
              <w:bottom w:val="nil"/>
              <w:right w:val="single" w:sz="4" w:space="0" w:color="auto"/>
            </w:tcBorders>
            <w:shd w:val="clear" w:color="auto" w:fill="FFFFFF"/>
          </w:tcPr>
          <w:tbl>
            <w:tblPr>
              <w:tblW w:w="0" w:type="auto"/>
              <w:tblBorders>
                <w:top w:val="nil"/>
                <w:left w:val="nil"/>
                <w:bottom w:val="nil"/>
                <w:right w:val="nil"/>
              </w:tblBorders>
              <w:tblLayout w:type="fixed"/>
              <w:tblLook w:val="0000" w:firstRow="0" w:lastRow="0" w:firstColumn="0" w:lastColumn="0" w:noHBand="0" w:noVBand="0"/>
            </w:tblPr>
            <w:tblGrid>
              <w:gridCol w:w="8643"/>
            </w:tblGrid>
            <w:tr w:rsidR="001D30C3" w:rsidRPr="00612E08">
              <w:trPr>
                <w:trHeight w:val="90"/>
              </w:trPr>
              <w:tc>
                <w:tcPr>
                  <w:tcW w:w="8643" w:type="dxa"/>
                </w:tcPr>
                <w:p w:rsidR="001D30C3" w:rsidRPr="00612E08" w:rsidRDefault="001D30C3" w:rsidP="001D30C3">
                  <w:pPr>
                    <w:pStyle w:val="Default"/>
                    <w:rPr>
                      <w:color w:val="auto"/>
                      <w:sz w:val="20"/>
                      <w:szCs w:val="20"/>
                    </w:rPr>
                  </w:pPr>
                  <w:r w:rsidRPr="00612E08">
                    <w:rPr>
                      <w:i/>
                      <w:iCs/>
                      <w:color w:val="auto"/>
                      <w:sz w:val="20"/>
                      <w:szCs w:val="20"/>
                    </w:rPr>
                    <w:t xml:space="preserve">Uveďte, či v predkladanom návrhu právneho predpisu dochádza ku goldplatingu podľa tabuľky zhody, resp. či ku goldplatingu dochádza pri implementácii práva EÚ. </w:t>
                  </w:r>
                </w:p>
              </w:tc>
            </w:tr>
            <w:tr w:rsidR="001D30C3" w:rsidRPr="00612E08">
              <w:trPr>
                <w:trHeight w:val="296"/>
              </w:trPr>
              <w:tc>
                <w:tcPr>
                  <w:tcW w:w="8643" w:type="dxa"/>
                </w:tcPr>
                <w:p w:rsidR="001D30C3" w:rsidRPr="00612E08" w:rsidRDefault="001D30C3" w:rsidP="00154407">
                  <w:pPr>
                    <w:pStyle w:val="Default"/>
                    <w:rPr>
                      <w:b/>
                      <w:iCs/>
                      <w:color w:val="auto"/>
                      <w:sz w:val="20"/>
                      <w:szCs w:val="20"/>
                    </w:rPr>
                  </w:pPr>
                  <w:r w:rsidRPr="00612E08">
                    <w:rPr>
                      <w:b/>
                      <w:iCs/>
                      <w:color w:val="auto"/>
                      <w:sz w:val="20"/>
                      <w:szCs w:val="20"/>
                    </w:rPr>
                    <w:t xml:space="preserve">                                                                                                                               </w:t>
                  </w:r>
                  <w:sdt>
                    <w:sdtPr>
                      <w:rPr>
                        <w:b/>
                        <w:iCs/>
                        <w:color w:val="auto"/>
                        <w:sz w:val="20"/>
                        <w:szCs w:val="20"/>
                      </w:rPr>
                      <w:id w:val="1614706761"/>
                      <w14:checkbox>
                        <w14:checked w14:val="0"/>
                        <w14:checkedState w14:val="2612" w14:font="MS Gothic"/>
                        <w14:uncheckedState w14:val="2610" w14:font="MS Gothic"/>
                      </w14:checkbox>
                    </w:sdtPr>
                    <w:sdtEndPr/>
                    <w:sdtContent>
                      <w:r w:rsidRPr="00612E08">
                        <w:rPr>
                          <w:rFonts w:ascii="MS Gothic" w:eastAsia="MS Gothic" w:hAnsi="MS Gothic" w:hint="eastAsia"/>
                          <w:b/>
                          <w:iCs/>
                          <w:color w:val="auto"/>
                          <w:sz w:val="20"/>
                          <w:szCs w:val="20"/>
                        </w:rPr>
                        <w:t>☐</w:t>
                      </w:r>
                    </w:sdtContent>
                  </w:sdt>
                  <w:r w:rsidRPr="00612E08">
                    <w:rPr>
                      <w:b/>
                      <w:iCs/>
                      <w:color w:val="auto"/>
                      <w:sz w:val="20"/>
                      <w:szCs w:val="20"/>
                    </w:rPr>
                    <w:t xml:space="preserve"> Áno                  </w:t>
                  </w:r>
                  <w:sdt>
                    <w:sdtPr>
                      <w:rPr>
                        <w:b/>
                        <w:iCs/>
                        <w:color w:val="auto"/>
                        <w:sz w:val="20"/>
                        <w:szCs w:val="20"/>
                      </w:rPr>
                      <w:id w:val="-155225922"/>
                      <w14:checkbox>
                        <w14:checked w14:val="1"/>
                        <w14:checkedState w14:val="2612" w14:font="MS Gothic"/>
                        <w14:uncheckedState w14:val="2610" w14:font="MS Gothic"/>
                      </w14:checkbox>
                    </w:sdtPr>
                    <w:sdtEndPr/>
                    <w:sdtContent>
                      <w:r>
                        <w:rPr>
                          <w:rFonts w:ascii="MS Gothic" w:eastAsia="MS Gothic" w:hAnsi="MS Gothic" w:hint="eastAsia"/>
                          <w:b/>
                          <w:iCs/>
                          <w:color w:val="auto"/>
                          <w:sz w:val="20"/>
                          <w:szCs w:val="20"/>
                        </w:rPr>
                        <w:t>☒</w:t>
                      </w:r>
                    </w:sdtContent>
                  </w:sdt>
                  <w:r w:rsidRPr="00612E08">
                    <w:rPr>
                      <w:b/>
                      <w:iCs/>
                      <w:color w:val="auto"/>
                      <w:sz w:val="20"/>
                      <w:szCs w:val="20"/>
                    </w:rPr>
                    <w:t xml:space="preserve"> Nie</w:t>
                  </w:r>
                </w:p>
                <w:p w:rsidR="001D30C3" w:rsidRPr="00612E08" w:rsidRDefault="001D30C3" w:rsidP="00154407">
                  <w:pPr>
                    <w:pStyle w:val="Default"/>
                    <w:rPr>
                      <w:color w:val="auto"/>
                      <w:sz w:val="20"/>
                      <w:szCs w:val="20"/>
                    </w:rPr>
                  </w:pPr>
                  <w:r w:rsidRPr="00612E08">
                    <w:rPr>
                      <w:i/>
                      <w:iCs/>
                      <w:color w:val="auto"/>
                      <w:sz w:val="20"/>
                      <w:szCs w:val="20"/>
                    </w:rPr>
                    <w:t xml:space="preserve">Ak áno, uveďte, ktorých vplyvov podľa bodu 9 sa goldplating týka: </w:t>
                  </w:r>
                </w:p>
              </w:tc>
            </w:tr>
            <w:tr w:rsidR="001D30C3" w:rsidRPr="00612E08">
              <w:trPr>
                <w:trHeight w:val="296"/>
              </w:trPr>
              <w:tc>
                <w:tcPr>
                  <w:tcW w:w="8643" w:type="dxa"/>
                </w:tcPr>
                <w:p w:rsidR="001D30C3" w:rsidRPr="00612E08" w:rsidRDefault="001D30C3" w:rsidP="00154407">
                  <w:pPr>
                    <w:pStyle w:val="Default"/>
                    <w:rPr>
                      <w:rFonts w:ascii="Segoe UI Symbol" w:hAnsi="Segoe UI Symbol" w:cs="Segoe UI Symbol"/>
                      <w:color w:val="auto"/>
                      <w:sz w:val="20"/>
                      <w:szCs w:val="20"/>
                    </w:rPr>
                  </w:pPr>
                </w:p>
              </w:tc>
            </w:tr>
          </w:tbl>
          <w:p w:rsidR="001D30C3" w:rsidRPr="00612E08" w:rsidRDefault="001D30C3" w:rsidP="001D30C3">
            <w:pPr>
              <w:jc w:val="both"/>
              <w:rPr>
                <w:rFonts w:ascii="Times New Roman" w:eastAsia="Times New Roman" w:hAnsi="Times New Roman" w:cs="Times New Roman"/>
                <w:i/>
                <w:sz w:val="20"/>
                <w:szCs w:val="20"/>
                <w:lang w:eastAsia="sk-SK"/>
              </w:rPr>
            </w:pPr>
          </w:p>
        </w:tc>
      </w:tr>
      <w:tr w:rsidR="001D30C3" w:rsidRPr="00612E08" w:rsidTr="00B76A73">
        <w:tc>
          <w:tcPr>
            <w:tcW w:w="9209" w:type="dxa"/>
            <w:gridSpan w:val="11"/>
            <w:tcBorders>
              <w:top w:val="single" w:sz="4" w:space="0" w:color="auto"/>
              <w:left w:val="single" w:sz="4" w:space="0" w:color="auto"/>
              <w:bottom w:val="single" w:sz="4" w:space="0" w:color="FFFFFF"/>
              <w:right w:val="single" w:sz="4" w:space="0" w:color="auto"/>
            </w:tcBorders>
            <w:shd w:val="clear" w:color="auto" w:fill="E2E2E2"/>
          </w:tcPr>
          <w:p w:rsidR="001D30C3" w:rsidRPr="00612E08" w:rsidRDefault="001D30C3" w:rsidP="001D30C3">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Preskúmanie účelnosti</w:t>
            </w:r>
          </w:p>
        </w:tc>
      </w:tr>
      <w:tr w:rsidR="001D30C3" w:rsidRPr="00612E08" w:rsidTr="00B76A73">
        <w:tc>
          <w:tcPr>
            <w:tcW w:w="9209" w:type="dxa"/>
            <w:gridSpan w:val="11"/>
            <w:tcBorders>
              <w:top w:val="single" w:sz="4" w:space="0" w:color="FFFFFF"/>
              <w:left w:val="single" w:sz="4" w:space="0" w:color="auto"/>
              <w:bottom w:val="single" w:sz="4" w:space="0" w:color="auto"/>
              <w:right w:val="single" w:sz="4" w:space="0" w:color="auto"/>
            </w:tcBorders>
            <w:shd w:val="clear" w:color="auto" w:fill="FFFFFF"/>
          </w:tcPr>
          <w:p w:rsidR="00103841" w:rsidRPr="00E47D3E" w:rsidRDefault="00103841" w:rsidP="00103841">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Dátum preskúmania:  apríl 2027</w:t>
            </w:r>
          </w:p>
          <w:p w:rsidR="001B61E5" w:rsidRPr="001B61E5" w:rsidRDefault="001B61E5" w:rsidP="00E6411C">
            <w:pPr>
              <w:rPr>
                <w:rFonts w:ascii="Times New Roman" w:eastAsia="Times New Roman" w:hAnsi="Times New Roman" w:cs="Times New Roman"/>
                <w:sz w:val="20"/>
                <w:szCs w:val="20"/>
                <w:lang w:eastAsia="sk-SK"/>
              </w:rPr>
            </w:pPr>
            <w:r>
              <w:rPr>
                <w:rFonts w:ascii="Times New Roman" w:eastAsia="Times New Roman" w:hAnsi="Times New Roman" w:cs="Times New Roman"/>
                <w:sz w:val="20"/>
                <w:szCs w:val="20"/>
                <w:lang w:eastAsia="sk-SK"/>
              </w:rPr>
              <w:t>Počet dní pre rozhodnutie o stavebnom zámere. Očakáva sa zníženie z 300 na 90 dní v priemere v r</w:t>
            </w:r>
            <w:r w:rsidR="00E6411C">
              <w:rPr>
                <w:rFonts w:ascii="Times New Roman" w:eastAsia="Times New Roman" w:hAnsi="Times New Roman" w:cs="Times New Roman"/>
                <w:sz w:val="20"/>
                <w:szCs w:val="20"/>
                <w:lang w:eastAsia="sk-SK"/>
              </w:rPr>
              <w:t>oku</w:t>
            </w:r>
            <w:r>
              <w:rPr>
                <w:rFonts w:ascii="Times New Roman" w:eastAsia="Times New Roman" w:hAnsi="Times New Roman" w:cs="Times New Roman"/>
                <w:sz w:val="20"/>
                <w:szCs w:val="20"/>
                <w:lang w:eastAsia="sk-SK"/>
              </w:rPr>
              <w:t xml:space="preserve"> 2032   </w:t>
            </w:r>
          </w:p>
        </w:tc>
      </w:tr>
      <w:tr w:rsidR="001D30C3" w:rsidRPr="00612E08" w:rsidTr="00B76A73">
        <w:tc>
          <w:tcPr>
            <w:tcW w:w="9209" w:type="dxa"/>
            <w:gridSpan w:val="11"/>
            <w:tcBorders>
              <w:top w:val="nil"/>
              <w:left w:val="nil"/>
              <w:bottom w:val="single" w:sz="4" w:space="0" w:color="auto"/>
              <w:right w:val="nil"/>
            </w:tcBorders>
            <w:shd w:val="clear" w:color="auto" w:fill="FFFFFF"/>
          </w:tcPr>
          <w:p w:rsidR="001D30C3" w:rsidRPr="00612E08" w:rsidRDefault="001D30C3" w:rsidP="001D30C3">
            <w:pPr>
              <w:ind w:left="142" w:hanging="142"/>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vyplniť iba v prípade, ak materiál nie je zahrnutý do Plánu práce vlády Slovenskej republiky alebo Plánu        legislatívnych úloh vlády Slovenskej republiky. </w:t>
            </w:r>
          </w:p>
          <w:p w:rsidR="001D30C3" w:rsidRPr="00612E08" w:rsidRDefault="001D30C3" w:rsidP="001D30C3">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vyplniť iba v prípade, ak sa záverečné posúdenie vybraných vplyvov uskutočnilo v zmysle bodu 9.1. jednotnej metodiky.</w:t>
            </w:r>
          </w:p>
          <w:p w:rsidR="001D30C3" w:rsidRPr="00612E08" w:rsidRDefault="001D30C3" w:rsidP="001D30C3">
            <w:pPr>
              <w:jc w:val="both"/>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posudzovanie sa týka len zmien v I. a II. pilieri univerzálneho systému dôchodkového zabezpečenia s identifikovaným dopadom od 0,1 % HDP (vrátane) na dlhodobom horizonte.</w:t>
            </w:r>
          </w:p>
          <w:p w:rsidR="001D30C3" w:rsidRPr="00612E08" w:rsidRDefault="001D30C3" w:rsidP="001D30C3">
            <w:pPr>
              <w:jc w:val="both"/>
              <w:rPr>
                <w:rFonts w:ascii="Times New Roman" w:eastAsia="Times New Roman" w:hAnsi="Times New Roman" w:cs="Times New Roman"/>
                <w:sz w:val="20"/>
                <w:szCs w:val="20"/>
                <w:lang w:eastAsia="sk-SK"/>
              </w:rPr>
            </w:pPr>
          </w:p>
          <w:p w:rsidR="001D30C3" w:rsidRPr="00612E08" w:rsidRDefault="001D30C3" w:rsidP="001D30C3">
            <w:pPr>
              <w:jc w:val="both"/>
              <w:rPr>
                <w:rFonts w:ascii="Times New Roman" w:eastAsia="Times New Roman" w:hAnsi="Times New Roman" w:cs="Times New Roman"/>
                <w:b/>
                <w:sz w:val="20"/>
                <w:szCs w:val="20"/>
                <w:lang w:eastAsia="sk-SK"/>
              </w:rPr>
            </w:pPr>
          </w:p>
        </w:tc>
      </w:tr>
      <w:tr w:rsidR="001D30C3" w:rsidRPr="00612E08" w:rsidTr="00B76A73">
        <w:trPr>
          <w:trHeight w:val="283"/>
        </w:trPr>
        <w:tc>
          <w:tcPr>
            <w:tcW w:w="9209" w:type="dxa"/>
            <w:gridSpan w:val="11"/>
            <w:tcBorders>
              <w:top w:val="single" w:sz="4" w:space="0" w:color="auto"/>
              <w:left w:val="single" w:sz="4" w:space="0" w:color="auto"/>
              <w:bottom w:val="single" w:sz="4" w:space="0" w:color="FFFFFF"/>
              <w:right w:val="single" w:sz="4" w:space="0" w:color="auto"/>
            </w:tcBorders>
            <w:shd w:val="clear" w:color="auto" w:fill="E2E2E2"/>
            <w:vAlign w:val="center"/>
          </w:tcPr>
          <w:p w:rsidR="001D30C3" w:rsidRPr="00612E08" w:rsidRDefault="001D30C3" w:rsidP="001D30C3">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Vybrané vplyvy  materiálu</w:t>
            </w:r>
          </w:p>
        </w:tc>
      </w:tr>
      <w:tr w:rsidR="001D30C3" w:rsidRPr="00612E08" w:rsidTr="00B76A73">
        <w:tc>
          <w:tcPr>
            <w:tcW w:w="3812" w:type="dxa"/>
            <w:tcBorders>
              <w:top w:val="single" w:sz="4" w:space="0" w:color="auto"/>
              <w:left w:val="single" w:sz="4" w:space="0" w:color="auto"/>
              <w:bottom w:val="nil"/>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rozpočet verejnej správy</w:t>
            </w:r>
          </w:p>
        </w:tc>
        <w:sdt>
          <w:sdtPr>
            <w:rPr>
              <w:rFonts w:ascii="Times New Roman" w:eastAsia="Times New Roman" w:hAnsi="Times New Roman" w:cs="Times New Roman"/>
              <w:b/>
              <w:sz w:val="20"/>
              <w:szCs w:val="20"/>
              <w:lang w:eastAsia="sk-SK"/>
            </w:rPr>
            <w:id w:val="-1066412587"/>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tcPr>
              <w:p w:rsidR="001D30C3" w:rsidRPr="00612E08" w:rsidRDefault="00F97E97"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481296198"/>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tcPr>
              <w:p w:rsidR="001D30C3" w:rsidRPr="00612E08" w:rsidRDefault="00F97E97"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55052973"/>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tcPr>
              <w:p w:rsidR="001D30C3" w:rsidRPr="00612E08" w:rsidRDefault="00F97E97" w:rsidP="001D30C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dotted" w:sz="4" w:space="0" w:color="auto"/>
              <w:right w:val="single" w:sz="4" w:space="0" w:color="auto"/>
            </w:tcBorders>
          </w:tcPr>
          <w:p w:rsidR="001D30C3" w:rsidRPr="00612E08" w:rsidRDefault="001D30C3" w:rsidP="001D30C3">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D30C3" w:rsidRPr="00612E08" w:rsidTr="00B76A73">
        <w:tc>
          <w:tcPr>
            <w:tcW w:w="3812" w:type="dxa"/>
            <w:tcBorders>
              <w:top w:val="nil"/>
              <w:left w:val="single" w:sz="4" w:space="0" w:color="auto"/>
              <w:bottom w:val="nil"/>
              <w:right w:val="single" w:sz="4" w:space="0" w:color="auto"/>
            </w:tcBorders>
            <w:shd w:val="clear" w:color="auto" w:fill="E2E2E2"/>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rozpočtovo zabezpečené vplyvy,         </w:t>
            </w:r>
          </w:p>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 prípade identifikovaného negatívneho </w:t>
            </w:r>
          </w:p>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vplyvu</w:t>
            </w:r>
          </w:p>
        </w:tc>
        <w:sdt>
          <w:sdtPr>
            <w:rPr>
              <w:rFonts w:ascii="Times New Roman" w:eastAsia="Times New Roman" w:hAnsi="Times New Roman" w:cs="Times New Roman"/>
              <w:sz w:val="20"/>
              <w:szCs w:val="20"/>
              <w:lang w:eastAsia="sk-SK"/>
            </w:rPr>
            <w:id w:val="-1143340457"/>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vAlign w:val="center"/>
              </w:tcPr>
              <w:p w:rsidR="001D30C3" w:rsidRPr="00612E08" w:rsidRDefault="00F97E97" w:rsidP="001D30C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40579842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D30C3" w:rsidRPr="00612E08" w:rsidRDefault="001D30C3" w:rsidP="001D30C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1346477702"/>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D30C3" w:rsidRPr="00612E08" w:rsidRDefault="00F97E97" w:rsidP="001D30C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rsidR="001D30C3" w:rsidRPr="00612E08" w:rsidRDefault="001D30C3" w:rsidP="001D30C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1D30C3" w:rsidRPr="00612E08" w:rsidTr="00B76A73">
        <w:tc>
          <w:tcPr>
            <w:tcW w:w="3812" w:type="dxa"/>
            <w:tcBorders>
              <w:top w:val="nil"/>
              <w:left w:val="single" w:sz="4" w:space="0" w:color="auto"/>
              <w:bottom w:val="nil"/>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 tom vplyvy na rozpočty obcí a vyšších územných celkov</w:t>
            </w:r>
          </w:p>
        </w:tc>
        <w:sdt>
          <w:sdtPr>
            <w:rPr>
              <w:rFonts w:ascii="Times New Roman" w:eastAsia="Times New Roman" w:hAnsi="Times New Roman" w:cs="Times New Roman"/>
              <w:b/>
              <w:sz w:val="20"/>
              <w:szCs w:val="20"/>
              <w:lang w:eastAsia="sk-SK"/>
            </w:rPr>
            <w:id w:val="-1577430931"/>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dotted" w:sz="4" w:space="0" w:color="auto"/>
                  <w:right w:val="nil"/>
                </w:tcBorders>
              </w:tcPr>
              <w:p w:rsidR="001D30C3" w:rsidRPr="00612E08" w:rsidRDefault="00E25B7B"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3596396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tcPr>
              <w:p w:rsidR="001D30C3" w:rsidRPr="00612E08" w:rsidRDefault="00F97E97"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094750243"/>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tcPr>
              <w:p w:rsidR="001D30C3" w:rsidRPr="00612E08" w:rsidRDefault="00F97E97" w:rsidP="001D30C3">
                <w:pPr>
                  <w:ind w:left="-107" w:right="-108"/>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dotted" w:sz="4" w:space="0" w:color="auto"/>
              <w:left w:val="nil"/>
              <w:bottom w:val="dotted" w:sz="4" w:space="0" w:color="auto"/>
              <w:right w:val="single" w:sz="4" w:space="0" w:color="auto"/>
            </w:tcBorders>
          </w:tcPr>
          <w:p w:rsidR="001D30C3" w:rsidRPr="00612E08" w:rsidRDefault="001D30C3" w:rsidP="001D30C3">
            <w:pPr>
              <w:ind w:left="3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D30C3" w:rsidRPr="00612E08" w:rsidTr="00B76A73">
        <w:tc>
          <w:tcPr>
            <w:tcW w:w="3812" w:type="dxa"/>
            <w:tcBorders>
              <w:top w:val="nil"/>
              <w:left w:val="single" w:sz="4" w:space="0" w:color="auto"/>
              <w:bottom w:val="single" w:sz="4" w:space="0" w:color="auto"/>
              <w:right w:val="single" w:sz="4" w:space="0" w:color="auto"/>
            </w:tcBorders>
            <w:shd w:val="clear" w:color="auto" w:fill="E2E2E2"/>
          </w:tcPr>
          <w:p w:rsidR="001D30C3" w:rsidRPr="00612E08" w:rsidRDefault="001D30C3" w:rsidP="001D30C3">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z toho rozpočtovo zabezpečené vplyvy,</w:t>
            </w:r>
          </w:p>
          <w:p w:rsidR="001D30C3" w:rsidRPr="00612E08" w:rsidRDefault="001D30C3" w:rsidP="001D30C3">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 prípade identifikovaného negatívneho vplyvu</w:t>
            </w:r>
          </w:p>
        </w:tc>
        <w:sdt>
          <w:sdtPr>
            <w:rPr>
              <w:rFonts w:ascii="Times New Roman" w:eastAsia="Times New Roman" w:hAnsi="Times New Roman" w:cs="Times New Roman"/>
              <w:sz w:val="20"/>
              <w:szCs w:val="20"/>
              <w:lang w:eastAsia="sk-SK"/>
            </w:rPr>
            <w:id w:val="64164179"/>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D30C3" w:rsidRPr="00612E08" w:rsidRDefault="00E25B7B" w:rsidP="001D30C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single"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sdt>
          <w:sdtPr>
            <w:rPr>
              <w:rFonts w:ascii="Times New Roman" w:eastAsia="Times New Roman" w:hAnsi="Times New Roman" w:cs="Times New Roman"/>
              <w:sz w:val="20"/>
              <w:szCs w:val="20"/>
              <w:lang w:eastAsia="sk-SK"/>
            </w:rPr>
            <w:id w:val="-638265537"/>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single"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sdt>
          <w:sdtPr>
            <w:rPr>
              <w:rFonts w:ascii="Times New Roman" w:eastAsia="Times New Roman" w:hAnsi="Times New Roman" w:cs="Times New Roman"/>
              <w:sz w:val="20"/>
              <w:szCs w:val="20"/>
              <w:lang w:eastAsia="sk-SK"/>
            </w:rPr>
            <w:id w:val="-302770412"/>
            <w14:checkbox>
              <w14:checked w14:val="0"/>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D30C3" w:rsidRPr="00612E08" w:rsidRDefault="00E25B7B" w:rsidP="001D30C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rsidR="001D30C3" w:rsidRPr="00612E08" w:rsidRDefault="001D30C3" w:rsidP="001D30C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Čiastočne</w:t>
            </w:r>
          </w:p>
        </w:tc>
      </w:tr>
      <w:tr w:rsidR="001D30C3" w:rsidRPr="00612E08" w:rsidTr="00B76A73">
        <w:tc>
          <w:tcPr>
            <w:tcW w:w="3812" w:type="dxa"/>
            <w:tcBorders>
              <w:top w:val="single" w:sz="4" w:space="0" w:color="auto"/>
              <w:left w:val="single" w:sz="4" w:space="0" w:color="auto"/>
              <w:bottom w:val="single" w:sz="4" w:space="0" w:color="auto"/>
              <w:right w:val="single" w:sz="4" w:space="0" w:color="auto"/>
            </w:tcBorders>
            <w:shd w:val="clear" w:color="auto" w:fill="E2E2E2"/>
          </w:tcPr>
          <w:p w:rsidR="001D30C3" w:rsidRPr="00612E08" w:rsidRDefault="001D30C3" w:rsidP="001D30C3">
            <w:pPr>
              <w:ind w:left="171"/>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Vplyv na dlhodobú udržateľnosť verejných financií v prípade vybraných opatrení ***</w:t>
            </w:r>
          </w:p>
        </w:tc>
        <w:sdt>
          <w:sdtPr>
            <w:rPr>
              <w:rFonts w:ascii="Times New Roman" w:eastAsia="Times New Roman" w:hAnsi="Times New Roman" w:cs="Times New Roman"/>
              <w:sz w:val="20"/>
              <w:szCs w:val="20"/>
              <w:lang w:eastAsia="sk-SK"/>
            </w:rPr>
            <w:id w:val="-1319963142"/>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sz w:val="20"/>
                <w:szCs w:val="20"/>
                <w:lang w:eastAsia="sk-SK"/>
              </w:rPr>
            </w:pPr>
          </w:p>
        </w:tc>
        <w:tc>
          <w:tcPr>
            <w:tcW w:w="1133" w:type="dxa"/>
            <w:tcBorders>
              <w:top w:val="single" w:sz="4" w:space="0" w:color="auto"/>
              <w:left w:val="nil"/>
              <w:bottom w:val="single"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21779516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D30C3" w:rsidRPr="00612E08" w:rsidRDefault="001D30C3" w:rsidP="001D30C3">
                <w:pPr>
                  <w:ind w:left="-107" w:right="-108"/>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1D30C3" w:rsidRPr="00612E08" w:rsidRDefault="001D30C3" w:rsidP="001D30C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Nie</w:t>
            </w:r>
          </w:p>
        </w:tc>
      </w:tr>
      <w:tr w:rsidR="001D30C3" w:rsidRPr="00612E08" w:rsidTr="00B76A73">
        <w:tc>
          <w:tcPr>
            <w:tcW w:w="3812" w:type="dxa"/>
            <w:tcBorders>
              <w:top w:val="single" w:sz="4" w:space="0" w:color="auto"/>
              <w:left w:val="single" w:sz="4" w:space="0" w:color="auto"/>
              <w:bottom w:val="single" w:sz="4" w:space="0" w:color="auto"/>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limit verejných výdavkov</w:t>
            </w:r>
          </w:p>
        </w:tc>
        <w:sdt>
          <w:sdtPr>
            <w:rPr>
              <w:rFonts w:ascii="Times New Roman" w:eastAsia="Times New Roman" w:hAnsi="Times New Roman" w:cs="Times New Roman"/>
              <w:b/>
              <w:sz w:val="20"/>
              <w:szCs w:val="20"/>
              <w:lang w:eastAsia="sk-SK"/>
            </w:rPr>
            <w:id w:val="829944910"/>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D30C3" w:rsidRPr="00612E08" w:rsidRDefault="006A2909" w:rsidP="001D30C3">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66731543"/>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vAlign w:val="center"/>
              </w:tcPr>
              <w:p w:rsidR="001D30C3" w:rsidRPr="00612E08" w:rsidRDefault="00154407" w:rsidP="001D30C3">
                <w:pPr>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889299136"/>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D30C3" w:rsidRPr="00612E08" w:rsidRDefault="00154407" w:rsidP="001D30C3">
                <w:pPr>
                  <w:ind w:left="-107" w:right="-108"/>
                  <w:jc w:val="center"/>
                  <w:rPr>
                    <w:rFonts w:ascii="Times New Roman" w:eastAsia="Times New Roman" w:hAnsi="Times New Roman" w:cs="Times New Roman"/>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1D30C3" w:rsidRPr="00612E08" w:rsidRDefault="001D30C3" w:rsidP="001D30C3">
            <w:pPr>
              <w:ind w:left="34"/>
              <w:rPr>
                <w:rFonts w:ascii="Times New Roman" w:eastAsia="Times New Roman" w:hAnsi="Times New Roman" w:cs="Times New Roman"/>
                <w:sz w:val="20"/>
                <w:szCs w:val="20"/>
                <w:lang w:eastAsia="sk-SK"/>
              </w:rPr>
            </w:pPr>
            <w:r w:rsidRPr="00612E08">
              <w:rPr>
                <w:rFonts w:ascii="Times New Roman" w:eastAsia="Times New Roman" w:hAnsi="Times New Roman" w:cs="Times New Roman"/>
                <w:b/>
                <w:sz w:val="20"/>
                <w:szCs w:val="20"/>
                <w:lang w:eastAsia="sk-SK"/>
              </w:rPr>
              <w:t>Negatívne</w:t>
            </w:r>
          </w:p>
        </w:tc>
      </w:tr>
      <w:tr w:rsidR="001D30C3" w:rsidRPr="00612E08" w:rsidTr="00B76A73">
        <w:tc>
          <w:tcPr>
            <w:tcW w:w="3812" w:type="dxa"/>
            <w:tcBorders>
              <w:top w:val="single" w:sz="4" w:space="0" w:color="auto"/>
              <w:left w:val="single" w:sz="4" w:space="0" w:color="auto"/>
              <w:bottom w:val="nil"/>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podnikateľské prostredie</w:t>
            </w:r>
          </w:p>
        </w:tc>
        <w:sdt>
          <w:sdtPr>
            <w:rPr>
              <w:rFonts w:ascii="Times New Roman" w:eastAsia="Times New Roman" w:hAnsi="Times New Roman" w:cs="Times New Roman"/>
              <w:b/>
              <w:sz w:val="20"/>
              <w:szCs w:val="20"/>
              <w:lang w:eastAsia="sk-SK"/>
            </w:rPr>
            <w:id w:val="470941242"/>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dotted" w:sz="4" w:space="0" w:color="auto"/>
                  <w:right w:val="nil"/>
                </w:tcBorders>
                <w:vAlign w:val="center"/>
              </w:tcPr>
              <w:p w:rsidR="001D30C3" w:rsidRPr="00612E08" w:rsidRDefault="004B7BDB"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dotted" w:sz="4" w:space="0" w:color="auto"/>
              <w:right w:val="nil"/>
            </w:tcBorders>
            <w:vAlign w:val="center"/>
          </w:tcPr>
          <w:p w:rsidR="001D30C3" w:rsidRPr="00612E08" w:rsidRDefault="001D30C3" w:rsidP="001D30C3">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38465019"/>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dotted" w:sz="4" w:space="0" w:color="auto"/>
                  <w:right w:val="nil"/>
                </w:tcBorders>
                <w:vAlign w:val="center"/>
              </w:tcPr>
              <w:p w:rsidR="001D30C3" w:rsidRPr="00612E08" w:rsidRDefault="004B7BDB"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dotted" w:sz="4" w:space="0" w:color="auto"/>
              <w:right w:val="nil"/>
            </w:tcBorders>
            <w:vAlign w:val="center"/>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58398718"/>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dotted" w:sz="4" w:space="0" w:color="auto"/>
                  <w:right w:val="nil"/>
                </w:tcBorders>
                <w:vAlign w:val="center"/>
              </w:tcPr>
              <w:p w:rsidR="001D30C3" w:rsidRPr="00612E08" w:rsidRDefault="004B7BDB"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dotted" w:sz="4" w:space="0" w:color="auto"/>
              <w:right w:val="single" w:sz="4" w:space="0" w:color="auto"/>
            </w:tcBorders>
            <w:vAlign w:val="center"/>
          </w:tcPr>
          <w:p w:rsidR="001D30C3" w:rsidRPr="00612E08" w:rsidRDefault="001D30C3" w:rsidP="001D30C3">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D30C3" w:rsidRPr="00612E08" w:rsidTr="00B76A73">
        <w:tc>
          <w:tcPr>
            <w:tcW w:w="3812" w:type="dxa"/>
            <w:tcBorders>
              <w:top w:val="nil"/>
              <w:left w:val="single" w:sz="4" w:space="0" w:color="000000"/>
              <w:bottom w:val="nil"/>
              <w:right w:val="single" w:sz="4" w:space="0" w:color="000000"/>
            </w:tcBorders>
            <w:shd w:val="clear" w:color="auto" w:fill="E2E2E2"/>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z toho vplyvy na MSP</w:t>
            </w:r>
          </w:p>
          <w:p w:rsidR="001D30C3" w:rsidRPr="00612E08" w:rsidRDefault="001D30C3" w:rsidP="001D30C3">
            <w:pPr>
              <w:rPr>
                <w:rFonts w:ascii="Times New Roman" w:eastAsia="Times New Roman" w:hAnsi="Times New Roman" w:cs="Times New Roman"/>
                <w:sz w:val="20"/>
                <w:szCs w:val="20"/>
                <w:lang w:eastAsia="sk-SK"/>
              </w:rPr>
            </w:pPr>
          </w:p>
        </w:tc>
        <w:sdt>
          <w:sdtPr>
            <w:rPr>
              <w:rFonts w:ascii="Times New Roman" w:eastAsia="Times New Roman" w:hAnsi="Times New Roman" w:cs="Times New Roman"/>
              <w:sz w:val="20"/>
              <w:szCs w:val="20"/>
              <w:lang w:eastAsia="sk-SK"/>
            </w:rPr>
            <w:id w:val="862408102"/>
            <w14:checkbox>
              <w14:checked w14:val="1"/>
              <w14:checkedState w14:val="2612" w14:font="MS Gothic"/>
              <w14:uncheckedState w14:val="2610" w14:font="MS Gothic"/>
            </w14:checkbox>
          </w:sdtPr>
          <w:sdtEndPr/>
          <w:sdtContent>
            <w:tc>
              <w:tcPr>
                <w:tcW w:w="541" w:type="dxa"/>
                <w:gridSpan w:val="2"/>
                <w:tcBorders>
                  <w:top w:val="dotted" w:sz="4" w:space="0" w:color="auto"/>
                  <w:left w:val="single" w:sz="4" w:space="0" w:color="000000"/>
                  <w:bottom w:val="dotted" w:sz="4" w:space="0" w:color="auto"/>
                  <w:right w:val="nil"/>
                </w:tcBorders>
                <w:vAlign w:val="center"/>
              </w:tcPr>
              <w:p w:rsidR="001D30C3" w:rsidRPr="00612E08" w:rsidRDefault="004B7BDB" w:rsidP="001D30C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12" w:type="dxa"/>
            <w:gridSpan w:val="2"/>
            <w:tcBorders>
              <w:top w:val="dotted" w:sz="4" w:space="0" w:color="auto"/>
              <w:left w:val="nil"/>
              <w:bottom w:val="dotted" w:sz="4" w:space="0" w:color="auto"/>
              <w:right w:val="nil"/>
            </w:tcBorders>
            <w:vAlign w:val="center"/>
          </w:tcPr>
          <w:p w:rsidR="001D30C3" w:rsidRPr="00612E08" w:rsidRDefault="001D30C3" w:rsidP="001D30C3">
            <w:pPr>
              <w:ind w:right="-108"/>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Pozitívne</w:t>
            </w:r>
          </w:p>
        </w:tc>
        <w:sdt>
          <w:sdtPr>
            <w:rPr>
              <w:rFonts w:ascii="Times New Roman" w:eastAsia="Times New Roman" w:hAnsi="Times New Roman" w:cs="Times New Roman"/>
              <w:sz w:val="20"/>
              <w:szCs w:val="20"/>
              <w:lang w:eastAsia="sk-SK"/>
            </w:rPr>
            <w:id w:val="994611021"/>
            <w14:checkbox>
              <w14:checked w14:val="0"/>
              <w14:checkedState w14:val="2612" w14:font="MS Gothic"/>
              <w14:uncheckedState w14:val="2610" w14:font="MS Gothic"/>
            </w14:checkbox>
          </w:sdtPr>
          <w:sdtEndPr/>
          <w:sdtContent>
            <w:tc>
              <w:tcPr>
                <w:tcW w:w="538" w:type="dxa"/>
                <w:gridSpan w:val="2"/>
                <w:tcBorders>
                  <w:top w:val="dotted" w:sz="4" w:space="0" w:color="auto"/>
                  <w:left w:val="nil"/>
                  <w:bottom w:val="dotted" w:sz="4" w:space="0" w:color="auto"/>
                  <w:right w:val="nil"/>
                </w:tcBorders>
                <w:vAlign w:val="center"/>
              </w:tcPr>
              <w:p w:rsidR="001D30C3" w:rsidRPr="00612E08" w:rsidRDefault="001D30C3" w:rsidP="001D30C3">
                <w:pPr>
                  <w:jc w:val="center"/>
                  <w:rPr>
                    <w:rFonts w:ascii="Times New Roman" w:eastAsia="Times New Roman" w:hAnsi="Times New Roman" w:cs="Times New Roman"/>
                    <w:sz w:val="20"/>
                    <w:szCs w:val="20"/>
                    <w:lang w:eastAsia="sk-SK"/>
                  </w:rPr>
                </w:pPr>
                <w:r w:rsidRPr="00612E08">
                  <w:rPr>
                    <w:rFonts w:ascii="MS Gothic" w:eastAsia="MS Gothic" w:hAnsi="MS Gothic" w:cs="Times New Roman" w:hint="eastAsia"/>
                    <w:sz w:val="20"/>
                    <w:szCs w:val="20"/>
                    <w:lang w:eastAsia="sk-SK"/>
                  </w:rPr>
                  <w:t>☐</w:t>
                </w:r>
              </w:p>
            </w:tc>
          </w:sdtContent>
        </w:sdt>
        <w:tc>
          <w:tcPr>
            <w:tcW w:w="1133" w:type="dxa"/>
            <w:tcBorders>
              <w:top w:val="dotted" w:sz="4" w:space="0" w:color="auto"/>
              <w:left w:val="nil"/>
              <w:bottom w:val="dotted" w:sz="4" w:space="0" w:color="auto"/>
              <w:right w:val="nil"/>
            </w:tcBorders>
            <w:vAlign w:val="center"/>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Žiadne</w:t>
            </w:r>
          </w:p>
        </w:tc>
        <w:sdt>
          <w:sdtPr>
            <w:rPr>
              <w:rFonts w:ascii="Times New Roman" w:eastAsia="Times New Roman" w:hAnsi="Times New Roman" w:cs="Times New Roman"/>
              <w:sz w:val="20"/>
              <w:szCs w:val="20"/>
              <w:lang w:eastAsia="sk-SK"/>
            </w:rPr>
            <w:id w:val="-386717170"/>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dotted" w:sz="4" w:space="0" w:color="auto"/>
                  <w:right w:val="nil"/>
                </w:tcBorders>
                <w:vAlign w:val="center"/>
              </w:tcPr>
              <w:p w:rsidR="001D30C3" w:rsidRPr="00612E08" w:rsidRDefault="004B7BDB" w:rsidP="001D30C3">
                <w:pPr>
                  <w:jc w:val="center"/>
                  <w:rPr>
                    <w:rFonts w:ascii="Times New Roman" w:eastAsia="Times New Roman" w:hAnsi="Times New Roman" w:cs="Times New Roman"/>
                    <w:sz w:val="20"/>
                    <w:szCs w:val="20"/>
                    <w:lang w:eastAsia="sk-SK"/>
                  </w:rPr>
                </w:pPr>
                <w:r>
                  <w:rPr>
                    <w:rFonts w:ascii="MS Gothic" w:eastAsia="MS Gothic" w:hAnsi="MS Gothic" w:cs="Times New Roman" w:hint="eastAsia"/>
                    <w:sz w:val="20"/>
                    <w:szCs w:val="20"/>
                    <w:lang w:eastAsia="sk-SK"/>
                  </w:rPr>
                  <w:t>☒</w:t>
                </w:r>
              </w:p>
            </w:tc>
          </w:sdtContent>
        </w:sdt>
        <w:tc>
          <w:tcPr>
            <w:tcW w:w="1326" w:type="dxa"/>
            <w:tcBorders>
              <w:top w:val="dotted" w:sz="4" w:space="0" w:color="auto"/>
              <w:left w:val="nil"/>
              <w:bottom w:val="dotted" w:sz="4" w:space="0" w:color="auto"/>
              <w:right w:val="single" w:sz="4" w:space="0" w:color="auto"/>
            </w:tcBorders>
            <w:vAlign w:val="center"/>
          </w:tcPr>
          <w:p w:rsidR="001D30C3" w:rsidRPr="00612E08" w:rsidRDefault="001D30C3" w:rsidP="001D30C3">
            <w:pPr>
              <w:ind w:left="54"/>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Negatívne</w:t>
            </w:r>
          </w:p>
        </w:tc>
      </w:tr>
      <w:tr w:rsidR="001D30C3" w:rsidRPr="00612E08" w:rsidTr="00B76A73">
        <w:tc>
          <w:tcPr>
            <w:tcW w:w="3812" w:type="dxa"/>
            <w:tcBorders>
              <w:top w:val="nil"/>
              <w:left w:val="single" w:sz="4" w:space="0" w:color="auto"/>
              <w:bottom w:val="single" w:sz="4" w:space="0" w:color="auto"/>
              <w:right w:val="single" w:sz="4" w:space="0" w:color="auto"/>
            </w:tcBorders>
            <w:shd w:val="clear" w:color="auto" w:fill="E2E2E2"/>
          </w:tcPr>
          <w:p w:rsidR="001D30C3" w:rsidRPr="00612E08" w:rsidRDefault="001D30C3" w:rsidP="001D30C3">
            <w:pPr>
              <w:rPr>
                <w:rFonts w:ascii="Times New Roman" w:eastAsia="Times New Roman" w:hAnsi="Times New Roman" w:cs="Times New Roman"/>
                <w:sz w:val="20"/>
                <w:szCs w:val="20"/>
                <w:lang w:eastAsia="sk-SK"/>
              </w:rPr>
            </w:pPr>
            <w:r w:rsidRPr="00612E08">
              <w:rPr>
                <w:rFonts w:ascii="Times New Roman" w:eastAsia="Times New Roman" w:hAnsi="Times New Roman" w:cs="Times New Roman"/>
                <w:sz w:val="20"/>
                <w:szCs w:val="20"/>
                <w:lang w:eastAsia="sk-SK"/>
              </w:rPr>
              <w:t xml:space="preserve">    Mechanizmus znižovania byrokracie    </w:t>
            </w:r>
          </w:p>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 xml:space="preserve">    a nákladov sa uplatňuje:</w:t>
            </w:r>
          </w:p>
        </w:tc>
        <w:sdt>
          <w:sdtPr>
            <w:rPr>
              <w:rFonts w:ascii="Times New Roman" w:eastAsia="Times New Roman" w:hAnsi="Times New Roman" w:cs="Times New Roman"/>
              <w:b/>
              <w:sz w:val="20"/>
              <w:szCs w:val="20"/>
              <w:lang w:eastAsia="sk-SK"/>
            </w:rPr>
            <w:id w:val="-817577505"/>
            <w14:checkbox>
              <w14:checked w14:val="0"/>
              <w14:checkedState w14:val="2612" w14:font="MS Gothic"/>
              <w14:uncheckedState w14:val="2610" w14:font="MS Gothic"/>
            </w14:checkbox>
          </w:sdtPr>
          <w:sdtEndPr/>
          <w:sdtContent>
            <w:tc>
              <w:tcPr>
                <w:tcW w:w="541" w:type="dxa"/>
                <w:gridSpan w:val="2"/>
                <w:tcBorders>
                  <w:top w:val="dotted" w:sz="4" w:space="0" w:color="auto"/>
                  <w:left w:val="single" w:sz="4" w:space="0" w:color="auto"/>
                  <w:bottom w:val="single" w:sz="4" w:space="0" w:color="auto"/>
                  <w:right w:val="nil"/>
                </w:tcBorders>
                <w:vAlign w:val="center"/>
              </w:tcPr>
              <w:p w:rsidR="001D30C3" w:rsidRPr="00612E08" w:rsidRDefault="00103841"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596" w:type="dxa"/>
            <w:gridSpan w:val="3"/>
            <w:tcBorders>
              <w:top w:val="dotted" w:sz="4" w:space="0" w:color="auto"/>
              <w:left w:val="nil"/>
              <w:bottom w:val="single" w:sz="4" w:space="0" w:color="auto"/>
              <w:right w:val="nil"/>
            </w:tcBorders>
            <w:vAlign w:val="center"/>
          </w:tcPr>
          <w:p w:rsidR="001D30C3" w:rsidRPr="00612E08" w:rsidRDefault="001D30C3" w:rsidP="001D30C3">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254" w:type="dxa"/>
            <w:tcBorders>
              <w:top w:val="dotted"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b/>
                <w:sz w:val="20"/>
                <w:szCs w:val="20"/>
                <w:lang w:eastAsia="sk-SK"/>
              </w:rPr>
            </w:pPr>
          </w:p>
        </w:tc>
        <w:tc>
          <w:tcPr>
            <w:tcW w:w="1133" w:type="dxa"/>
            <w:tcBorders>
              <w:top w:val="dotted"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365677636"/>
            <w14:checkbox>
              <w14:checked w14:val="1"/>
              <w14:checkedState w14:val="2612" w14:font="MS Gothic"/>
              <w14:uncheckedState w14:val="2610" w14:font="MS Gothic"/>
            </w14:checkbox>
          </w:sdtPr>
          <w:sdtEndPr/>
          <w:sdtContent>
            <w:tc>
              <w:tcPr>
                <w:tcW w:w="547" w:type="dxa"/>
                <w:gridSpan w:val="2"/>
                <w:tcBorders>
                  <w:top w:val="dotted" w:sz="4" w:space="0" w:color="auto"/>
                  <w:left w:val="nil"/>
                  <w:bottom w:val="single" w:sz="4" w:space="0" w:color="auto"/>
                  <w:right w:val="nil"/>
                </w:tcBorders>
                <w:vAlign w:val="center"/>
              </w:tcPr>
              <w:p w:rsidR="001D30C3" w:rsidRPr="00612E08" w:rsidRDefault="00103841"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dotted" w:sz="4" w:space="0" w:color="auto"/>
              <w:left w:val="nil"/>
              <w:bottom w:val="single" w:sz="4" w:space="0" w:color="auto"/>
              <w:right w:val="single" w:sz="4" w:space="0" w:color="auto"/>
            </w:tcBorders>
            <w:vAlign w:val="center"/>
          </w:tcPr>
          <w:p w:rsidR="001D30C3" w:rsidRPr="00612E08" w:rsidRDefault="001D30C3" w:rsidP="001D30C3">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D30C3" w:rsidRPr="00612E08" w:rsidTr="00B76A73">
        <w:tc>
          <w:tcPr>
            <w:tcW w:w="3812" w:type="dxa"/>
            <w:tcBorders>
              <w:top w:val="single" w:sz="4" w:space="0" w:color="000000"/>
              <w:left w:val="single" w:sz="4" w:space="0" w:color="auto"/>
              <w:bottom w:val="single" w:sz="4" w:space="0" w:color="auto"/>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Sociálne vplyvy</w:t>
            </w:r>
          </w:p>
        </w:tc>
        <w:sdt>
          <w:sdtPr>
            <w:rPr>
              <w:rFonts w:ascii="Times New Roman" w:eastAsia="Times New Roman" w:hAnsi="Times New Roman" w:cs="Times New Roman"/>
              <w:b/>
              <w:sz w:val="20"/>
              <w:szCs w:val="20"/>
              <w:lang w:eastAsia="sk-SK"/>
            </w:rPr>
            <w:id w:val="-1958945844"/>
            <w14:checkbox>
              <w14:checked w14:val="1"/>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D30C3" w:rsidRPr="00612E08" w:rsidRDefault="00103841"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D30C3" w:rsidRPr="00612E08" w:rsidRDefault="001D30C3" w:rsidP="001D30C3">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872293991"/>
            <w14:checkbox>
              <w14:checked w14:val="0"/>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D30C3" w:rsidRPr="00612E08" w:rsidRDefault="00103841"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2835279"/>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D30C3" w:rsidRPr="00612E08" w:rsidRDefault="00103841"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1D30C3" w:rsidRPr="00612E08" w:rsidRDefault="001D30C3" w:rsidP="001D30C3">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D30C3" w:rsidRPr="00612E08" w:rsidTr="00B76A73">
        <w:tc>
          <w:tcPr>
            <w:tcW w:w="3812" w:type="dxa"/>
            <w:tcBorders>
              <w:top w:val="single" w:sz="4" w:space="0" w:color="auto"/>
              <w:left w:val="single" w:sz="4" w:space="0" w:color="auto"/>
              <w:bottom w:val="nil"/>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životné prostredie</w:t>
            </w:r>
          </w:p>
        </w:tc>
        <w:sdt>
          <w:sdtPr>
            <w:rPr>
              <w:rFonts w:ascii="Times New Roman" w:eastAsia="Times New Roman" w:hAnsi="Times New Roman" w:cs="Times New Roman"/>
              <w:b/>
              <w:sz w:val="20"/>
              <w:szCs w:val="20"/>
              <w:lang w:eastAsia="sk-SK"/>
            </w:rPr>
            <w:id w:val="1474483314"/>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D30C3" w:rsidRPr="00612E08" w:rsidRDefault="001D30C3" w:rsidP="001D30C3">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D30C3" w:rsidRPr="00612E08" w:rsidRDefault="001D30C3" w:rsidP="001D30C3">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2060162118"/>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D30C3" w:rsidRPr="00612E08" w:rsidRDefault="001D30C3"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285088255"/>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D30C3" w:rsidRPr="00612E08" w:rsidRDefault="001D30C3" w:rsidP="001D30C3">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1D30C3" w:rsidRPr="00612E08" w:rsidRDefault="001D30C3" w:rsidP="001D30C3">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1D30C3" w:rsidRPr="00612E08" w:rsidTr="00B76A73">
        <w:tc>
          <w:tcPr>
            <w:tcW w:w="3812" w:type="dxa"/>
            <w:tcBorders>
              <w:top w:val="nil"/>
              <w:left w:val="single" w:sz="4" w:space="0" w:color="auto"/>
              <w:bottom w:val="single" w:sz="4" w:space="0" w:color="auto"/>
              <w:right w:val="single" w:sz="4" w:space="0" w:color="auto"/>
            </w:tcBorders>
            <w:shd w:val="clear" w:color="auto" w:fill="E2E2E2"/>
          </w:tcPr>
          <w:p w:rsidR="001D30C3" w:rsidRPr="00612E08" w:rsidRDefault="001D30C3" w:rsidP="001D30C3">
            <w:pPr>
              <w:rPr>
                <w:rFonts w:ascii="Times New Roman" w:eastAsia="Times New Roman" w:hAnsi="Times New Roman" w:cs="Times New Roman"/>
                <w:sz w:val="20"/>
                <w:szCs w:val="20"/>
                <w:lang w:eastAsia="sk-SK"/>
              </w:rPr>
            </w:pPr>
          </w:p>
          <w:p w:rsidR="001D30C3" w:rsidRPr="00612E08" w:rsidRDefault="001D30C3" w:rsidP="001D30C3">
            <w:pPr>
              <w:ind w:left="16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Materiál je posudzovaný podľa zákona č. 24/2006 Z. z. o posudzovaní vplyvov na životné prostredie a o zmene a doplnení niektorých zákonov v znení neskorších predpisov</w:t>
            </w:r>
          </w:p>
        </w:tc>
        <w:sdt>
          <w:sdtPr>
            <w:rPr>
              <w:rFonts w:ascii="Times New Roman" w:eastAsia="Times New Roman" w:hAnsi="Times New Roman" w:cs="Times New Roman"/>
              <w:b/>
              <w:sz w:val="20"/>
              <w:szCs w:val="20"/>
              <w:lang w:eastAsia="sk-SK"/>
            </w:rPr>
            <w:id w:val="142221918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vAlign w:val="center"/>
          </w:tcPr>
          <w:p w:rsidR="001D30C3" w:rsidRPr="00612E08" w:rsidRDefault="001D30C3" w:rsidP="001D30C3">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Áno</w:t>
            </w:r>
          </w:p>
        </w:tc>
        <w:tc>
          <w:tcPr>
            <w:tcW w:w="538" w:type="dxa"/>
            <w:gridSpan w:val="2"/>
            <w:tcBorders>
              <w:top w:val="single"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b/>
                <w:sz w:val="20"/>
                <w:szCs w:val="20"/>
                <w:lang w:eastAsia="sk-SK"/>
              </w:rPr>
            </w:pPr>
          </w:p>
        </w:tc>
        <w:tc>
          <w:tcPr>
            <w:tcW w:w="1133" w:type="dxa"/>
            <w:tcBorders>
              <w:top w:val="single"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b/>
                <w:sz w:val="20"/>
                <w:szCs w:val="20"/>
                <w:lang w:eastAsia="sk-SK"/>
              </w:rPr>
            </w:pPr>
          </w:p>
        </w:tc>
        <w:sdt>
          <w:sdtPr>
            <w:rPr>
              <w:rFonts w:ascii="Times New Roman" w:eastAsia="Times New Roman" w:hAnsi="Times New Roman" w:cs="Times New Roman"/>
              <w:b/>
              <w:sz w:val="20"/>
              <w:szCs w:val="20"/>
              <w:lang w:eastAsia="sk-SK"/>
            </w:rPr>
            <w:id w:val="1786776775"/>
            <w14:checkbox>
              <w14:checked w14:val="1"/>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vAlign w:val="center"/>
              </w:tcPr>
              <w:p w:rsidR="001D30C3" w:rsidRPr="00612E08" w:rsidRDefault="001D30C3"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vAlign w:val="center"/>
          </w:tcPr>
          <w:p w:rsidR="001D30C3" w:rsidRPr="00612E08" w:rsidRDefault="001D30C3" w:rsidP="001D30C3">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sz w:val="20"/>
                <w:szCs w:val="20"/>
                <w:lang w:eastAsia="sk-SK"/>
              </w:rPr>
              <w:t>Nie</w:t>
            </w:r>
          </w:p>
        </w:tc>
      </w:tr>
      <w:tr w:rsidR="001D30C3" w:rsidRPr="00612E08" w:rsidTr="00B76A73">
        <w:tc>
          <w:tcPr>
            <w:tcW w:w="3812" w:type="dxa"/>
            <w:tcBorders>
              <w:top w:val="single" w:sz="4" w:space="0" w:color="auto"/>
              <w:left w:val="single" w:sz="4" w:space="0" w:color="auto"/>
              <w:bottom w:val="single" w:sz="4" w:space="0" w:color="auto"/>
              <w:right w:val="single" w:sz="4" w:space="0" w:color="auto"/>
            </w:tcBorders>
            <w:shd w:val="clear" w:color="auto" w:fill="E2E2E2"/>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Vplyvy na informatizáciu spoločnosti</w:t>
            </w:r>
          </w:p>
        </w:tc>
        <w:sdt>
          <w:sdtPr>
            <w:rPr>
              <w:rFonts w:ascii="Times New Roman" w:eastAsia="Times New Roman" w:hAnsi="Times New Roman" w:cs="Times New Roman"/>
              <w:b/>
              <w:sz w:val="20"/>
              <w:szCs w:val="20"/>
              <w:lang w:eastAsia="sk-SK"/>
            </w:rPr>
            <w:id w:val="-1573421395"/>
            <w14:checkbox>
              <w14:checked w14:val="0"/>
              <w14:checkedState w14:val="2612" w14:font="MS Gothic"/>
              <w14:uncheckedState w14:val="2610" w14:font="MS Gothic"/>
            </w14:checkbox>
          </w:sdtPr>
          <w:sdtEndPr/>
          <w:sdtContent>
            <w:tc>
              <w:tcPr>
                <w:tcW w:w="541" w:type="dxa"/>
                <w:gridSpan w:val="2"/>
                <w:tcBorders>
                  <w:top w:val="single" w:sz="4" w:space="0" w:color="auto"/>
                  <w:left w:val="single" w:sz="4" w:space="0" w:color="auto"/>
                  <w:bottom w:val="single" w:sz="4" w:space="0" w:color="auto"/>
                  <w:right w:val="nil"/>
                </w:tcBorders>
              </w:tcPr>
              <w:p w:rsidR="001D30C3" w:rsidRPr="00612E08" w:rsidRDefault="002F667C"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single" w:sz="4" w:space="0" w:color="auto"/>
              <w:left w:val="nil"/>
              <w:bottom w:val="single" w:sz="4" w:space="0" w:color="auto"/>
              <w:right w:val="nil"/>
            </w:tcBorders>
          </w:tcPr>
          <w:p w:rsidR="001D30C3" w:rsidRPr="00612E08" w:rsidRDefault="001D30C3" w:rsidP="001D30C3">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69603435"/>
            <w14:checkbox>
              <w14:checked w14:val="1"/>
              <w14:checkedState w14:val="2612" w14:font="MS Gothic"/>
              <w14:uncheckedState w14:val="2610" w14:font="MS Gothic"/>
            </w14:checkbox>
          </w:sdtPr>
          <w:sdtEndPr/>
          <w:sdtContent>
            <w:tc>
              <w:tcPr>
                <w:tcW w:w="538" w:type="dxa"/>
                <w:gridSpan w:val="2"/>
                <w:tcBorders>
                  <w:top w:val="single" w:sz="4" w:space="0" w:color="auto"/>
                  <w:left w:val="nil"/>
                  <w:bottom w:val="single" w:sz="4" w:space="0" w:color="auto"/>
                  <w:right w:val="nil"/>
                </w:tcBorders>
              </w:tcPr>
              <w:p w:rsidR="001D30C3" w:rsidRPr="00612E08" w:rsidRDefault="002F667C" w:rsidP="001D30C3">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tcPr>
          <w:p w:rsidR="001D30C3" w:rsidRPr="00612E08" w:rsidRDefault="001D30C3" w:rsidP="001D30C3">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69528927"/>
            <w14:checkbox>
              <w14:checked w14:val="0"/>
              <w14:checkedState w14:val="2612" w14:font="MS Gothic"/>
              <w14:uncheckedState w14:val="2610" w14:font="MS Gothic"/>
            </w14:checkbox>
          </w:sdtPr>
          <w:sdtEndPr/>
          <w:sdtContent>
            <w:tc>
              <w:tcPr>
                <w:tcW w:w="547" w:type="dxa"/>
                <w:gridSpan w:val="2"/>
                <w:tcBorders>
                  <w:top w:val="single" w:sz="4" w:space="0" w:color="auto"/>
                  <w:left w:val="nil"/>
                  <w:bottom w:val="single" w:sz="4" w:space="0" w:color="auto"/>
                  <w:right w:val="nil"/>
                </w:tcBorders>
              </w:tcPr>
              <w:p w:rsidR="001D30C3" w:rsidRPr="00612E08" w:rsidRDefault="001D30C3" w:rsidP="001D30C3">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26" w:type="dxa"/>
            <w:tcBorders>
              <w:top w:val="single" w:sz="4" w:space="0" w:color="auto"/>
              <w:left w:val="nil"/>
              <w:bottom w:val="single" w:sz="4" w:space="0" w:color="auto"/>
              <w:right w:val="single" w:sz="4" w:space="0" w:color="auto"/>
            </w:tcBorders>
          </w:tcPr>
          <w:p w:rsidR="001D30C3" w:rsidRPr="00612E08" w:rsidRDefault="001D30C3" w:rsidP="001D30C3">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541"/>
        <w:gridCol w:w="1281"/>
        <w:gridCol w:w="31"/>
        <w:gridCol w:w="538"/>
        <w:gridCol w:w="1133"/>
        <w:gridCol w:w="547"/>
        <w:gridCol w:w="1297"/>
      </w:tblGrid>
      <w:tr w:rsidR="00612E08" w:rsidRPr="00612E08" w:rsidTr="000F2BE9">
        <w:tc>
          <w:tcPr>
            <w:tcW w:w="3812" w:type="dxa"/>
            <w:tcBorders>
              <w:top w:val="single" w:sz="4" w:space="0" w:color="auto"/>
              <w:left w:val="single" w:sz="4" w:space="0" w:color="auto"/>
              <w:bottom w:val="nil"/>
              <w:right w:val="single" w:sz="4" w:space="0" w:color="auto"/>
            </w:tcBorders>
            <w:shd w:val="clear" w:color="auto" w:fill="E2E2E2"/>
          </w:tcPr>
          <w:p w:rsidR="000F2BE9" w:rsidRPr="00612E08" w:rsidRDefault="000F2BE9" w:rsidP="00F541B7">
            <w:pPr>
              <w:spacing w:after="0" w:line="240" w:lineRule="auto"/>
              <w:rPr>
                <w:rFonts w:ascii="Times New Roman" w:eastAsia="Times New Roman" w:hAnsi="Times New Roman" w:cs="Times New Roman"/>
                <w:b/>
                <w:sz w:val="20"/>
                <w:szCs w:val="20"/>
                <w:lang w:eastAsia="sk-SK"/>
              </w:rPr>
            </w:pPr>
            <w:r w:rsidRPr="00612E08">
              <w:rPr>
                <w:rFonts w:ascii="Times New Roman" w:eastAsia="Calibri" w:hAnsi="Times New Roman" w:cs="Times New Roman"/>
                <w:b/>
                <w:sz w:val="20"/>
                <w:szCs w:val="20"/>
              </w:rPr>
              <w:t>Vplyvy na služby verejnej správy pre občana, z</w:t>
            </w:r>
            <w:r w:rsidR="00CE6AAE" w:rsidRPr="00612E08">
              <w:rPr>
                <w:rFonts w:ascii="Times New Roman" w:eastAsia="Calibri" w:hAnsi="Times New Roman" w:cs="Times New Roman"/>
                <w:b/>
                <w:sz w:val="20"/>
                <w:szCs w:val="20"/>
              </w:rPr>
              <w:t> </w:t>
            </w:r>
            <w:r w:rsidRPr="00612E08">
              <w:rPr>
                <w:rFonts w:ascii="Times New Roman" w:eastAsia="Calibri" w:hAnsi="Times New Roman" w:cs="Times New Roman"/>
                <w:b/>
                <w:sz w:val="20"/>
                <w:szCs w:val="20"/>
              </w:rPr>
              <w:t>toho</w:t>
            </w:r>
          </w:p>
        </w:tc>
        <w:tc>
          <w:tcPr>
            <w:tcW w:w="541" w:type="dxa"/>
            <w:tcBorders>
              <w:top w:val="single" w:sz="4" w:space="0" w:color="auto"/>
              <w:left w:val="single" w:sz="4" w:space="0" w:color="auto"/>
              <w:bottom w:val="nil"/>
              <w:right w:val="nil"/>
            </w:tcBorders>
            <w:shd w:val="clear" w:color="auto" w:fill="auto"/>
          </w:tcPr>
          <w:p w:rsidR="000F2BE9" w:rsidRPr="00612E08" w:rsidRDefault="000F2BE9" w:rsidP="00F541B7">
            <w:pPr>
              <w:spacing w:after="0" w:line="240" w:lineRule="auto"/>
              <w:jc w:val="center"/>
              <w:rPr>
                <w:rFonts w:ascii="Times New Roman" w:eastAsia="MS Mincho" w:hAnsi="Times New Roman" w:cs="Times New Roman"/>
                <w:b/>
                <w:sz w:val="20"/>
                <w:szCs w:val="20"/>
                <w:lang w:eastAsia="sk-SK"/>
              </w:rPr>
            </w:pPr>
          </w:p>
        </w:tc>
        <w:tc>
          <w:tcPr>
            <w:tcW w:w="1281" w:type="dxa"/>
            <w:tcBorders>
              <w:top w:val="single" w:sz="4" w:space="0" w:color="auto"/>
              <w:left w:val="nil"/>
              <w:bottom w:val="nil"/>
              <w:right w:val="nil"/>
            </w:tcBorders>
            <w:shd w:val="clear" w:color="auto" w:fill="auto"/>
          </w:tcPr>
          <w:p w:rsidR="000F2BE9" w:rsidRPr="00612E08" w:rsidRDefault="000F2BE9" w:rsidP="00F541B7">
            <w:pPr>
              <w:spacing w:after="0" w:line="240" w:lineRule="auto"/>
              <w:ind w:right="-108"/>
              <w:rPr>
                <w:rFonts w:ascii="Times New Roman" w:eastAsia="Times New Roman" w:hAnsi="Times New Roman" w:cs="Times New Roman"/>
                <w:b/>
                <w:sz w:val="20"/>
                <w:szCs w:val="20"/>
                <w:lang w:eastAsia="sk-SK"/>
              </w:rPr>
            </w:pPr>
          </w:p>
        </w:tc>
        <w:tc>
          <w:tcPr>
            <w:tcW w:w="569" w:type="dxa"/>
            <w:gridSpan w:val="2"/>
            <w:tcBorders>
              <w:top w:val="single" w:sz="4" w:space="0" w:color="auto"/>
              <w:left w:val="nil"/>
              <w:bottom w:val="nil"/>
              <w:right w:val="nil"/>
            </w:tcBorders>
            <w:shd w:val="clear" w:color="auto" w:fill="auto"/>
          </w:tcPr>
          <w:p w:rsidR="000F2BE9" w:rsidRPr="00612E08" w:rsidRDefault="000F2BE9" w:rsidP="00F541B7">
            <w:pPr>
              <w:spacing w:after="0" w:line="240" w:lineRule="auto"/>
              <w:jc w:val="center"/>
              <w:rPr>
                <w:rFonts w:ascii="Times New Roman" w:eastAsia="MS Mincho" w:hAnsi="Times New Roman" w:cs="Times New Roman"/>
                <w:b/>
                <w:sz w:val="20"/>
                <w:szCs w:val="20"/>
                <w:lang w:eastAsia="sk-SK"/>
              </w:rPr>
            </w:pPr>
          </w:p>
        </w:tc>
        <w:tc>
          <w:tcPr>
            <w:tcW w:w="1133" w:type="dxa"/>
            <w:tcBorders>
              <w:top w:val="single" w:sz="4" w:space="0" w:color="auto"/>
              <w:left w:val="nil"/>
              <w:bottom w:val="nil"/>
              <w:right w:val="nil"/>
            </w:tcBorders>
            <w:shd w:val="clear" w:color="auto" w:fill="auto"/>
          </w:tcPr>
          <w:p w:rsidR="000F2BE9" w:rsidRPr="00612E08" w:rsidRDefault="000F2BE9" w:rsidP="00F541B7">
            <w:pPr>
              <w:spacing w:after="0" w:line="240" w:lineRule="auto"/>
              <w:rPr>
                <w:rFonts w:ascii="Times New Roman" w:eastAsia="Times New Roman" w:hAnsi="Times New Roman" w:cs="Times New Roman"/>
                <w:b/>
                <w:sz w:val="20"/>
                <w:szCs w:val="20"/>
                <w:lang w:eastAsia="sk-SK"/>
              </w:rPr>
            </w:pPr>
          </w:p>
        </w:tc>
        <w:tc>
          <w:tcPr>
            <w:tcW w:w="547" w:type="dxa"/>
            <w:tcBorders>
              <w:top w:val="single" w:sz="4" w:space="0" w:color="auto"/>
              <w:left w:val="nil"/>
              <w:bottom w:val="nil"/>
              <w:right w:val="nil"/>
            </w:tcBorders>
            <w:shd w:val="clear" w:color="auto" w:fill="auto"/>
          </w:tcPr>
          <w:p w:rsidR="000F2BE9" w:rsidRPr="00612E08" w:rsidRDefault="000F2BE9" w:rsidP="00F541B7">
            <w:pPr>
              <w:spacing w:after="0" w:line="240" w:lineRule="auto"/>
              <w:jc w:val="center"/>
              <w:rPr>
                <w:rFonts w:ascii="Times New Roman" w:eastAsia="MS Mincho" w:hAnsi="Times New Roman" w:cs="Times New Roman"/>
                <w:b/>
                <w:sz w:val="20"/>
                <w:szCs w:val="20"/>
                <w:lang w:eastAsia="sk-SK"/>
              </w:rPr>
            </w:pPr>
          </w:p>
        </w:tc>
        <w:tc>
          <w:tcPr>
            <w:tcW w:w="1297" w:type="dxa"/>
            <w:tcBorders>
              <w:top w:val="single" w:sz="4" w:space="0" w:color="auto"/>
              <w:left w:val="nil"/>
              <w:bottom w:val="nil"/>
              <w:right w:val="single" w:sz="4" w:space="0" w:color="auto"/>
            </w:tcBorders>
            <w:shd w:val="clear" w:color="auto" w:fill="auto"/>
          </w:tcPr>
          <w:p w:rsidR="000F2BE9" w:rsidRPr="00612E08" w:rsidRDefault="000F2BE9" w:rsidP="00F541B7">
            <w:pPr>
              <w:spacing w:after="0" w:line="240" w:lineRule="auto"/>
              <w:ind w:left="54"/>
              <w:rPr>
                <w:rFonts w:ascii="Times New Roman" w:eastAsia="Times New Roman" w:hAnsi="Times New Roman" w:cs="Times New Roman"/>
                <w:b/>
                <w:sz w:val="20"/>
                <w:szCs w:val="20"/>
                <w:lang w:eastAsia="sk-SK"/>
              </w:rPr>
            </w:pP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F541B7">
            <w:pPr>
              <w:spacing w:after="0" w:line="240" w:lineRule="auto"/>
              <w:ind w:left="196" w:hanging="196"/>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služieb verejnej správy na občana</w:t>
            </w:r>
          </w:p>
        </w:tc>
        <w:sdt>
          <w:sdtPr>
            <w:rPr>
              <w:rFonts w:ascii="Times New Roman" w:eastAsia="Times New Roman" w:hAnsi="Times New Roman" w:cs="Times New Roman"/>
              <w:b/>
              <w:sz w:val="20"/>
              <w:szCs w:val="20"/>
              <w:lang w:eastAsia="sk-SK"/>
            </w:rPr>
            <w:id w:val="2031215792"/>
            <w14:checkbox>
              <w14:checked w14:val="0"/>
              <w14:checkedState w14:val="2612" w14:font="MS Gothic"/>
              <w14:uncheckedState w14:val="2610" w14:font="MS Gothic"/>
            </w14:checkbox>
          </w:sdtPr>
          <w:sdtEndPr/>
          <w:sdtContent>
            <w:tc>
              <w:tcPr>
                <w:tcW w:w="541" w:type="dxa"/>
                <w:tcBorders>
                  <w:top w:val="nil"/>
                  <w:left w:val="single" w:sz="4" w:space="0" w:color="auto"/>
                  <w:bottom w:val="dotted" w:sz="4" w:space="0" w:color="auto"/>
                  <w:right w:val="nil"/>
                </w:tcBorders>
                <w:shd w:val="clear" w:color="auto" w:fill="auto"/>
              </w:tcPr>
              <w:p w:rsidR="000F2BE9" w:rsidRPr="00612E08" w:rsidRDefault="006A2909"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nil"/>
              <w:left w:val="nil"/>
              <w:bottom w:val="dotted" w:sz="4" w:space="0" w:color="auto"/>
              <w:right w:val="nil"/>
            </w:tcBorders>
            <w:shd w:val="clear" w:color="auto" w:fill="auto"/>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752193863"/>
            <w14:checkbox>
              <w14:checked w14:val="1"/>
              <w14:checkedState w14:val="2612" w14:font="MS Gothic"/>
              <w14:uncheckedState w14:val="2610" w14:font="MS Gothic"/>
            </w14:checkbox>
          </w:sdtPr>
          <w:sdtEndPr/>
          <w:sdtContent>
            <w:tc>
              <w:tcPr>
                <w:tcW w:w="538" w:type="dxa"/>
                <w:tcBorders>
                  <w:top w:val="nil"/>
                  <w:left w:val="nil"/>
                  <w:bottom w:val="dotted" w:sz="4" w:space="0" w:color="auto"/>
                  <w:right w:val="nil"/>
                </w:tcBorders>
                <w:shd w:val="clear" w:color="auto" w:fill="auto"/>
              </w:tcPr>
              <w:p w:rsidR="000F2BE9" w:rsidRPr="00612E08" w:rsidRDefault="006A2909"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nil"/>
              <w:left w:val="nil"/>
              <w:bottom w:val="dotted" w:sz="4" w:space="0" w:color="auto"/>
              <w:right w:val="nil"/>
            </w:tcBorders>
            <w:shd w:val="clear" w:color="auto" w:fill="auto"/>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1282867047"/>
            <w14:checkbox>
              <w14:checked w14:val="0"/>
              <w14:checkedState w14:val="2612" w14:font="MS Gothic"/>
              <w14:uncheckedState w14:val="2610" w14:font="MS Gothic"/>
            </w14:checkbox>
          </w:sdtPr>
          <w:sdtEndPr/>
          <w:sdtContent>
            <w:tc>
              <w:tcPr>
                <w:tcW w:w="547" w:type="dxa"/>
                <w:tcBorders>
                  <w:top w:val="nil"/>
                  <w:left w:val="nil"/>
                  <w:bottom w:val="dotted" w:sz="4" w:space="0" w:color="auto"/>
                  <w:right w:val="nil"/>
                </w:tcBorders>
                <w:shd w:val="clear" w:color="auto" w:fill="auto"/>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nil"/>
              <w:left w:val="nil"/>
              <w:bottom w:val="dotted" w:sz="4" w:space="0" w:color="auto"/>
              <w:right w:val="single" w:sz="4" w:space="0" w:color="auto"/>
            </w:tcBorders>
            <w:shd w:val="clear" w:color="auto" w:fill="auto"/>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r w:rsidR="00612E08" w:rsidRPr="00612E08" w:rsidTr="00B547F5">
        <w:tc>
          <w:tcPr>
            <w:tcW w:w="3812" w:type="dxa"/>
            <w:tcBorders>
              <w:top w:val="nil"/>
              <w:left w:val="single" w:sz="4" w:space="0" w:color="auto"/>
              <w:bottom w:val="nil"/>
              <w:right w:val="single" w:sz="4" w:space="0" w:color="auto"/>
            </w:tcBorders>
            <w:shd w:val="clear" w:color="auto" w:fill="E2E2E2"/>
          </w:tcPr>
          <w:p w:rsidR="000F2BE9" w:rsidRPr="00612E08" w:rsidRDefault="000F2BE9" w:rsidP="00F541B7">
            <w:pPr>
              <w:spacing w:after="0" w:line="240" w:lineRule="auto"/>
              <w:ind w:left="168" w:hanging="168"/>
              <w:rPr>
                <w:rFonts w:ascii="Times New Roman" w:eastAsia="Calibri" w:hAnsi="Times New Roman" w:cs="Times New Roman"/>
                <w:b/>
                <w:sz w:val="20"/>
                <w:szCs w:val="20"/>
              </w:rPr>
            </w:pPr>
            <w:r w:rsidRPr="00612E08">
              <w:rPr>
                <w:rFonts w:ascii="Times New Roman" w:eastAsia="Calibri" w:hAnsi="Times New Roman" w:cs="Times New Roman"/>
                <w:b/>
                <w:sz w:val="20"/>
                <w:szCs w:val="20"/>
              </w:rPr>
              <w:t xml:space="preserve">    vplyvy na procesy služieb vo verejnej správe</w:t>
            </w:r>
          </w:p>
        </w:tc>
        <w:sdt>
          <w:sdtPr>
            <w:rPr>
              <w:rFonts w:ascii="Times New Roman" w:eastAsia="Times New Roman" w:hAnsi="Times New Roman" w:cs="Times New Roman"/>
              <w:b/>
              <w:sz w:val="20"/>
              <w:szCs w:val="20"/>
              <w:lang w:eastAsia="sk-SK"/>
            </w:rPr>
            <w:id w:val="1017204256"/>
            <w14:checkbox>
              <w14:checked w14:val="0"/>
              <w14:checkedState w14:val="2612" w14:font="MS Gothic"/>
              <w14:uncheckedState w14:val="2610" w14:font="MS Gothic"/>
            </w14:checkbox>
          </w:sdtPr>
          <w:sdtEndPr/>
          <w:sdtContent>
            <w:tc>
              <w:tcPr>
                <w:tcW w:w="541" w:type="dxa"/>
                <w:tcBorders>
                  <w:top w:val="dotted" w:sz="4" w:space="0" w:color="auto"/>
                  <w:left w:val="single" w:sz="4" w:space="0" w:color="auto"/>
                  <w:bottom w:val="dotted" w:sz="4" w:space="0" w:color="auto"/>
                  <w:right w:val="nil"/>
                </w:tcBorders>
                <w:shd w:val="clear" w:color="auto" w:fill="auto"/>
                <w:vAlign w:val="center"/>
              </w:tcPr>
              <w:p w:rsidR="000F2BE9" w:rsidRPr="00612E08" w:rsidRDefault="00821F29"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312" w:type="dxa"/>
            <w:gridSpan w:val="2"/>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993677602"/>
            <w14:checkbox>
              <w14:checked w14:val="1"/>
              <w14:checkedState w14:val="2612" w14:font="MS Gothic"/>
              <w14:uncheckedState w14:val="2610" w14:font="MS Gothic"/>
            </w14:checkbox>
          </w:sdtPr>
          <w:sdtEndPr/>
          <w:sdtContent>
            <w:tc>
              <w:tcPr>
                <w:tcW w:w="538" w:type="dxa"/>
                <w:tcBorders>
                  <w:top w:val="dotted" w:sz="4" w:space="0" w:color="auto"/>
                  <w:left w:val="nil"/>
                  <w:bottom w:val="dotted" w:sz="4" w:space="0" w:color="auto"/>
                  <w:right w:val="nil"/>
                </w:tcBorders>
                <w:shd w:val="clear" w:color="auto" w:fill="auto"/>
                <w:vAlign w:val="center"/>
              </w:tcPr>
              <w:p w:rsidR="000F2BE9" w:rsidRPr="00612E08" w:rsidRDefault="00821F29" w:rsidP="00B547F5">
                <w:pPr>
                  <w:spacing w:after="0" w:line="240" w:lineRule="auto"/>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dotted" w:sz="4" w:space="0" w:color="auto"/>
              <w:left w:val="nil"/>
              <w:bottom w:val="dotted" w:sz="4" w:space="0" w:color="auto"/>
              <w:right w:val="nil"/>
            </w:tcBorders>
            <w:shd w:val="clear" w:color="auto" w:fill="auto"/>
            <w:vAlign w:val="center"/>
          </w:tcPr>
          <w:p w:rsidR="000F2BE9" w:rsidRPr="00612E08" w:rsidRDefault="000F2BE9" w:rsidP="00B547F5">
            <w:pPr>
              <w:spacing w:after="0" w:line="240" w:lineRule="auto"/>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578477896"/>
            <w14:checkbox>
              <w14:checked w14:val="0"/>
              <w14:checkedState w14:val="2612" w14:font="MS Gothic"/>
              <w14:uncheckedState w14:val="2610" w14:font="MS Gothic"/>
            </w14:checkbox>
          </w:sdtPr>
          <w:sdtEndPr/>
          <w:sdtContent>
            <w:tc>
              <w:tcPr>
                <w:tcW w:w="547" w:type="dxa"/>
                <w:tcBorders>
                  <w:top w:val="dotted" w:sz="4" w:space="0" w:color="auto"/>
                  <w:left w:val="nil"/>
                  <w:bottom w:val="dotted" w:sz="4" w:space="0" w:color="auto"/>
                  <w:right w:val="nil"/>
                </w:tcBorders>
                <w:shd w:val="clear" w:color="auto" w:fill="auto"/>
                <w:vAlign w:val="center"/>
              </w:tcPr>
              <w:p w:rsidR="000F2BE9" w:rsidRPr="00612E08" w:rsidRDefault="0023360B" w:rsidP="00B547F5">
                <w:pPr>
                  <w:spacing w:after="0" w:line="240" w:lineRule="auto"/>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dotted" w:sz="4" w:space="0" w:color="auto"/>
              <w:left w:val="nil"/>
              <w:bottom w:val="dotted" w:sz="4" w:space="0" w:color="auto"/>
              <w:right w:val="single" w:sz="4" w:space="0" w:color="auto"/>
            </w:tcBorders>
            <w:shd w:val="clear" w:color="auto" w:fill="auto"/>
            <w:vAlign w:val="center"/>
          </w:tcPr>
          <w:p w:rsidR="000F2BE9" w:rsidRPr="00612E08" w:rsidRDefault="000F2BE9" w:rsidP="00B547F5">
            <w:pPr>
              <w:spacing w:after="0" w:line="240" w:lineRule="auto"/>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tbl>
      <w:tblPr>
        <w:tblStyle w:val="Mriekatabuky1"/>
        <w:tblW w:w="9180" w:type="dxa"/>
        <w:tblLayout w:type="fixed"/>
        <w:tblLook w:val="04A0" w:firstRow="1" w:lastRow="0" w:firstColumn="1" w:lastColumn="0" w:noHBand="0" w:noVBand="1"/>
      </w:tblPr>
      <w:tblGrid>
        <w:gridCol w:w="3812"/>
        <w:gridCol w:w="541"/>
        <w:gridCol w:w="1312"/>
        <w:gridCol w:w="538"/>
        <w:gridCol w:w="1133"/>
        <w:gridCol w:w="547"/>
        <w:gridCol w:w="1297"/>
      </w:tblGrid>
      <w:tr w:rsidR="00612E08" w:rsidRPr="00612E08" w:rsidTr="0023360B">
        <w:tc>
          <w:tcPr>
            <w:tcW w:w="3812" w:type="dxa"/>
            <w:tcBorders>
              <w:top w:val="single" w:sz="4" w:space="0" w:color="000000"/>
              <w:left w:val="single" w:sz="4" w:space="0" w:color="auto"/>
              <w:bottom w:val="single" w:sz="4" w:space="0" w:color="auto"/>
              <w:right w:val="single" w:sz="4" w:space="0" w:color="auto"/>
            </w:tcBorders>
            <w:shd w:val="clear" w:color="auto" w:fill="E2E2E2"/>
          </w:tcPr>
          <w:p w:rsidR="00A340BB" w:rsidRPr="00612E08" w:rsidRDefault="00A340BB" w:rsidP="00F541B7">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rPr>
              <w:t>Vplyvy na manželstvo</w:t>
            </w:r>
            <w:r w:rsidR="00DF357C" w:rsidRPr="00612E08">
              <w:rPr>
                <w:rFonts w:ascii="Times New Roman" w:eastAsia="Times New Roman" w:hAnsi="Times New Roman" w:cs="Times New Roman"/>
                <w:b/>
                <w:sz w:val="20"/>
                <w:szCs w:val="20"/>
              </w:rPr>
              <w:t>,</w:t>
            </w:r>
            <w:r w:rsidRPr="00612E08">
              <w:rPr>
                <w:rFonts w:ascii="Times New Roman" w:eastAsia="Times New Roman" w:hAnsi="Times New Roman" w:cs="Times New Roman"/>
                <w:b/>
                <w:sz w:val="20"/>
                <w:szCs w:val="20"/>
              </w:rPr>
              <w:t xml:space="preserve"> rodičovstvo a</w:t>
            </w:r>
            <w:r w:rsidR="00CE6AAE" w:rsidRPr="00612E08">
              <w:rPr>
                <w:rFonts w:ascii="Times New Roman" w:eastAsia="Times New Roman" w:hAnsi="Times New Roman" w:cs="Times New Roman"/>
                <w:b/>
                <w:sz w:val="20"/>
                <w:szCs w:val="20"/>
              </w:rPr>
              <w:t> </w:t>
            </w:r>
            <w:r w:rsidRPr="00612E08">
              <w:rPr>
                <w:rFonts w:ascii="Times New Roman" w:eastAsia="Times New Roman" w:hAnsi="Times New Roman" w:cs="Times New Roman"/>
                <w:b/>
                <w:sz w:val="20"/>
                <w:szCs w:val="20"/>
              </w:rPr>
              <w:t>rodinu</w:t>
            </w:r>
          </w:p>
        </w:tc>
        <w:sdt>
          <w:sdtPr>
            <w:rPr>
              <w:rFonts w:ascii="Times New Roman" w:eastAsia="Times New Roman" w:hAnsi="Times New Roman" w:cs="Times New Roman"/>
              <w:b/>
              <w:sz w:val="20"/>
              <w:szCs w:val="20"/>
              <w:lang w:eastAsia="sk-SK"/>
            </w:rPr>
            <w:id w:val="1977256156"/>
            <w14:checkbox>
              <w14:checked w14:val="0"/>
              <w14:checkedState w14:val="2612" w14:font="MS Gothic"/>
              <w14:uncheckedState w14:val="2610" w14:font="MS Gothic"/>
            </w14:checkbox>
          </w:sdtPr>
          <w:sdtEndPr/>
          <w:sdtContent>
            <w:tc>
              <w:tcPr>
                <w:tcW w:w="541" w:type="dxa"/>
                <w:tcBorders>
                  <w:top w:val="single" w:sz="4" w:space="0" w:color="auto"/>
                  <w:left w:val="single" w:sz="4" w:space="0" w:color="auto"/>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312" w:type="dxa"/>
            <w:tcBorders>
              <w:top w:val="single" w:sz="4" w:space="0" w:color="auto"/>
              <w:left w:val="nil"/>
              <w:bottom w:val="single" w:sz="4" w:space="0" w:color="auto"/>
              <w:right w:val="nil"/>
            </w:tcBorders>
            <w:vAlign w:val="center"/>
          </w:tcPr>
          <w:p w:rsidR="00A340BB" w:rsidRPr="00612E08" w:rsidRDefault="00A340BB" w:rsidP="0023360B">
            <w:pPr>
              <w:ind w:right="-108"/>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Pozitívne</w:t>
            </w:r>
          </w:p>
        </w:tc>
        <w:sdt>
          <w:sdtPr>
            <w:rPr>
              <w:rFonts w:ascii="Times New Roman" w:eastAsia="Times New Roman" w:hAnsi="Times New Roman" w:cs="Times New Roman"/>
              <w:b/>
              <w:sz w:val="20"/>
              <w:szCs w:val="20"/>
              <w:lang w:eastAsia="sk-SK"/>
            </w:rPr>
            <w:id w:val="-1025549405"/>
            <w14:checkbox>
              <w14:checked w14:val="1"/>
              <w14:checkedState w14:val="2612" w14:font="MS Gothic"/>
              <w14:uncheckedState w14:val="2610" w14:font="MS Gothic"/>
            </w14:checkbox>
          </w:sdtPr>
          <w:sdtEndPr/>
          <w:sdtContent>
            <w:tc>
              <w:tcPr>
                <w:tcW w:w="538" w:type="dxa"/>
                <w:tcBorders>
                  <w:top w:val="single" w:sz="4" w:space="0" w:color="auto"/>
                  <w:left w:val="nil"/>
                  <w:bottom w:val="single" w:sz="4" w:space="0" w:color="auto"/>
                  <w:right w:val="nil"/>
                </w:tcBorders>
                <w:vAlign w:val="center"/>
              </w:tcPr>
              <w:p w:rsidR="00A340BB" w:rsidRPr="00612E08" w:rsidRDefault="001D30C3" w:rsidP="0023360B">
                <w:pPr>
                  <w:jc w:val="center"/>
                  <w:rPr>
                    <w:rFonts w:ascii="Times New Roman" w:eastAsia="Times New Roman" w:hAnsi="Times New Roman" w:cs="Times New Roman"/>
                    <w:b/>
                    <w:sz w:val="20"/>
                    <w:szCs w:val="20"/>
                    <w:lang w:eastAsia="sk-SK"/>
                  </w:rPr>
                </w:pPr>
                <w:r>
                  <w:rPr>
                    <w:rFonts w:ascii="MS Gothic" w:eastAsia="MS Gothic" w:hAnsi="MS Gothic" w:cs="Times New Roman" w:hint="eastAsia"/>
                    <w:b/>
                    <w:sz w:val="20"/>
                    <w:szCs w:val="20"/>
                    <w:lang w:eastAsia="sk-SK"/>
                  </w:rPr>
                  <w:t>☒</w:t>
                </w:r>
              </w:p>
            </w:tc>
          </w:sdtContent>
        </w:sdt>
        <w:tc>
          <w:tcPr>
            <w:tcW w:w="1133" w:type="dxa"/>
            <w:tcBorders>
              <w:top w:val="single" w:sz="4" w:space="0" w:color="auto"/>
              <w:left w:val="nil"/>
              <w:bottom w:val="single" w:sz="4" w:space="0" w:color="auto"/>
              <w:right w:val="nil"/>
            </w:tcBorders>
            <w:vAlign w:val="center"/>
          </w:tcPr>
          <w:p w:rsidR="00A340BB" w:rsidRPr="00612E08" w:rsidRDefault="00A340BB" w:rsidP="0023360B">
            <w:pPr>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Žiadne</w:t>
            </w:r>
          </w:p>
        </w:tc>
        <w:sdt>
          <w:sdtPr>
            <w:rPr>
              <w:rFonts w:ascii="Times New Roman" w:eastAsia="Times New Roman" w:hAnsi="Times New Roman" w:cs="Times New Roman"/>
              <w:b/>
              <w:sz w:val="20"/>
              <w:szCs w:val="20"/>
              <w:lang w:eastAsia="sk-SK"/>
            </w:rPr>
            <w:id w:val="-710956538"/>
            <w14:checkbox>
              <w14:checked w14:val="0"/>
              <w14:checkedState w14:val="2612" w14:font="MS Gothic"/>
              <w14:uncheckedState w14:val="2610" w14:font="MS Gothic"/>
            </w14:checkbox>
          </w:sdtPr>
          <w:sdtEndPr/>
          <w:sdtContent>
            <w:tc>
              <w:tcPr>
                <w:tcW w:w="547" w:type="dxa"/>
                <w:tcBorders>
                  <w:top w:val="single" w:sz="4" w:space="0" w:color="auto"/>
                  <w:left w:val="nil"/>
                  <w:bottom w:val="single" w:sz="4" w:space="0" w:color="auto"/>
                  <w:right w:val="nil"/>
                </w:tcBorders>
                <w:vAlign w:val="center"/>
              </w:tcPr>
              <w:p w:rsidR="00A340BB" w:rsidRPr="00612E08" w:rsidRDefault="0023360B" w:rsidP="0023360B">
                <w:pPr>
                  <w:jc w:val="center"/>
                  <w:rPr>
                    <w:rFonts w:ascii="Times New Roman" w:eastAsia="Times New Roman" w:hAnsi="Times New Roman" w:cs="Times New Roman"/>
                    <w:b/>
                    <w:sz w:val="20"/>
                    <w:szCs w:val="20"/>
                    <w:lang w:eastAsia="sk-SK"/>
                  </w:rPr>
                </w:pPr>
                <w:r w:rsidRPr="00612E08">
                  <w:rPr>
                    <w:rFonts w:ascii="MS Gothic" w:eastAsia="MS Gothic" w:hAnsi="MS Gothic" w:cs="Times New Roman" w:hint="eastAsia"/>
                    <w:b/>
                    <w:sz w:val="20"/>
                    <w:szCs w:val="20"/>
                    <w:lang w:eastAsia="sk-SK"/>
                  </w:rPr>
                  <w:t>☐</w:t>
                </w:r>
              </w:p>
            </w:tc>
          </w:sdtContent>
        </w:sdt>
        <w:tc>
          <w:tcPr>
            <w:tcW w:w="1297" w:type="dxa"/>
            <w:tcBorders>
              <w:top w:val="single" w:sz="4" w:space="0" w:color="auto"/>
              <w:left w:val="nil"/>
              <w:bottom w:val="single" w:sz="4" w:space="0" w:color="auto"/>
              <w:right w:val="single" w:sz="4" w:space="0" w:color="auto"/>
            </w:tcBorders>
            <w:vAlign w:val="center"/>
          </w:tcPr>
          <w:p w:rsidR="00A340BB" w:rsidRPr="00612E08" w:rsidRDefault="00A340BB" w:rsidP="0023360B">
            <w:pPr>
              <w:ind w:left="54"/>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Negatívne</w:t>
            </w:r>
          </w:p>
        </w:tc>
      </w:tr>
    </w:tbl>
    <w:p w:rsidR="001B23B7" w:rsidRPr="00612E08" w:rsidRDefault="001B23B7" w:rsidP="001B23B7">
      <w:pPr>
        <w:spacing w:after="0" w:line="240" w:lineRule="auto"/>
        <w:ind w:right="141"/>
        <w:rPr>
          <w:rFonts w:ascii="Times New Roman" w:eastAsia="Times New Roman" w:hAnsi="Times New Roman" w:cs="Times New Roman"/>
          <w:b/>
          <w:sz w:val="20"/>
          <w:szCs w:val="20"/>
          <w:lang w:eastAsia="sk-SK"/>
        </w:rPr>
      </w:pPr>
    </w:p>
    <w:tbl>
      <w:tblPr>
        <w:tblStyle w:val="Mriekatabuky1"/>
        <w:tblW w:w="9214" w:type="dxa"/>
        <w:tblInd w:w="-5" w:type="dxa"/>
        <w:tblLayout w:type="fixed"/>
        <w:tblLook w:val="04A0" w:firstRow="1" w:lastRow="0" w:firstColumn="1" w:lastColumn="0" w:noHBand="0" w:noVBand="1"/>
      </w:tblPr>
      <w:tblGrid>
        <w:gridCol w:w="9214"/>
      </w:tblGrid>
      <w:tr w:rsidR="00612E08" w:rsidRPr="00612E08" w:rsidTr="00103841">
        <w:tc>
          <w:tcPr>
            <w:tcW w:w="9214" w:type="dxa"/>
            <w:tcBorders>
              <w:top w:val="single" w:sz="4" w:space="0" w:color="auto"/>
              <w:left w:val="single" w:sz="4" w:space="0" w:color="auto"/>
              <w:bottom w:val="single" w:sz="4" w:space="0" w:color="auto"/>
              <w:right w:val="single" w:sz="4" w:space="0" w:color="auto"/>
            </w:tcBorders>
            <w:shd w:val="clear" w:color="auto" w:fill="E2E2E2"/>
          </w:tcPr>
          <w:p w:rsidR="001B23B7" w:rsidRPr="00612E08" w:rsidRDefault="001B23B7" w:rsidP="00F541B7">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Poznámky</w:t>
            </w:r>
          </w:p>
        </w:tc>
      </w:tr>
      <w:tr w:rsidR="00612E08" w:rsidRPr="00612E08" w:rsidTr="00103841">
        <w:trPr>
          <w:trHeight w:val="713"/>
        </w:trPr>
        <w:tc>
          <w:tcPr>
            <w:tcW w:w="9214" w:type="dxa"/>
            <w:tcBorders>
              <w:top w:val="single" w:sz="4" w:space="0" w:color="auto"/>
              <w:left w:val="single" w:sz="4" w:space="0" w:color="auto"/>
              <w:bottom w:val="single" w:sz="4" w:space="0" w:color="auto"/>
              <w:right w:val="single" w:sz="4" w:space="0" w:color="auto"/>
            </w:tcBorders>
            <w:shd w:val="clear" w:color="auto" w:fill="auto"/>
          </w:tcPr>
          <w:p w:rsidR="00154407" w:rsidRPr="00103841" w:rsidRDefault="00154407" w:rsidP="00103841">
            <w:pPr>
              <w:jc w:val="both"/>
              <w:rPr>
                <w:rFonts w:ascii="Times New Roman" w:hAnsi="Times New Roman" w:cs="Times New Roman"/>
                <w:bCs/>
                <w:sz w:val="20"/>
                <w:szCs w:val="20"/>
              </w:rPr>
            </w:pPr>
            <w:r w:rsidRPr="00103841">
              <w:rPr>
                <w:rFonts w:ascii="Times New Roman" w:hAnsi="Times New Roman" w:cs="Times New Roman"/>
                <w:bCs/>
                <w:sz w:val="20"/>
                <w:szCs w:val="20"/>
              </w:rPr>
              <w:t xml:space="preserve">Predkladaný návrh zákona má pozitívny aj negatívny vplyv na rozpočet verejnej správy. </w:t>
            </w:r>
          </w:p>
          <w:p w:rsidR="00154407" w:rsidRPr="00103841" w:rsidRDefault="00154407" w:rsidP="00103841">
            <w:pPr>
              <w:jc w:val="both"/>
              <w:rPr>
                <w:rFonts w:ascii="Times New Roman" w:hAnsi="Times New Roman" w:cs="Times New Roman"/>
                <w:bCs/>
                <w:sz w:val="20"/>
                <w:szCs w:val="20"/>
              </w:rPr>
            </w:pPr>
            <w:r w:rsidRPr="00103841">
              <w:rPr>
                <w:rFonts w:ascii="Times New Roman" w:hAnsi="Times New Roman" w:cs="Times New Roman"/>
                <w:bCs/>
                <w:sz w:val="20"/>
                <w:szCs w:val="20"/>
              </w:rPr>
              <w:t>V návrhu sa</w:t>
            </w:r>
            <w:r w:rsidR="000E5877">
              <w:rPr>
                <w:rFonts w:ascii="Times New Roman" w:hAnsi="Times New Roman" w:cs="Times New Roman"/>
                <w:bCs/>
                <w:sz w:val="20"/>
                <w:szCs w:val="20"/>
              </w:rPr>
              <w:t>, na základe odhadovaných dát</w:t>
            </w:r>
            <w:r w:rsidR="00AF101E">
              <w:rPr>
                <w:rFonts w:ascii="Times New Roman" w:hAnsi="Times New Roman" w:cs="Times New Roman"/>
                <w:bCs/>
                <w:sz w:val="20"/>
                <w:szCs w:val="20"/>
              </w:rPr>
              <w:t>,</w:t>
            </w:r>
            <w:r w:rsidR="000E5877">
              <w:rPr>
                <w:rFonts w:ascii="Times New Roman" w:hAnsi="Times New Roman" w:cs="Times New Roman"/>
                <w:bCs/>
                <w:sz w:val="20"/>
                <w:szCs w:val="20"/>
              </w:rPr>
              <w:t xml:space="preserve"> </w:t>
            </w:r>
            <w:r w:rsidRPr="00103841">
              <w:rPr>
                <w:rFonts w:ascii="Times New Roman" w:hAnsi="Times New Roman" w:cs="Times New Roman"/>
                <w:bCs/>
                <w:sz w:val="20"/>
                <w:szCs w:val="20"/>
              </w:rPr>
              <w:t xml:space="preserve"> uvažuje s príjmami z pokút, ktoré bude vyberať Úrad pre územné plánovanie </w:t>
            </w:r>
            <w:r w:rsidR="00AF101E">
              <w:rPr>
                <w:rFonts w:ascii="Times New Roman" w:hAnsi="Times New Roman" w:cs="Times New Roman"/>
                <w:bCs/>
                <w:sz w:val="20"/>
                <w:szCs w:val="20"/>
              </w:rPr>
              <w:t xml:space="preserve">a </w:t>
            </w:r>
            <w:r w:rsidRPr="00103841">
              <w:rPr>
                <w:rFonts w:ascii="Times New Roman" w:hAnsi="Times New Roman" w:cs="Times New Roman"/>
                <w:bCs/>
                <w:sz w:val="20"/>
                <w:szCs w:val="20"/>
              </w:rPr>
              <w:t>výstavbu nakoľko v</w:t>
            </w:r>
            <w:r w:rsidRPr="00103841">
              <w:rPr>
                <w:rFonts w:ascii="Times New Roman" w:hAnsi="Times New Roman" w:cs="Times New Roman"/>
                <w:sz w:val="20"/>
                <w:szCs w:val="20"/>
              </w:rPr>
              <w:t xml:space="preserve">ýkon štátneho stavebného dohľadu sa naplno presúva z obcí na štát od 1. 4. 2025, </w:t>
            </w:r>
            <w:r w:rsidRPr="00103841">
              <w:rPr>
                <w:rFonts w:ascii="Times New Roman" w:hAnsi="Times New Roman" w:cs="Times New Roman"/>
                <w:bCs/>
                <w:sz w:val="20"/>
                <w:szCs w:val="20"/>
              </w:rPr>
              <w:t>a to v roku 2025 vo výške 500 000 eur, v roku 2026 vo výške 1 00 0000 eur a v roku 2027 vo výške 1 800 000 eur.</w:t>
            </w:r>
          </w:p>
          <w:p w:rsidR="00154407" w:rsidRPr="00103841" w:rsidRDefault="00154407" w:rsidP="00103841">
            <w:pPr>
              <w:jc w:val="both"/>
              <w:rPr>
                <w:rFonts w:ascii="Times New Roman" w:hAnsi="Times New Roman" w:cs="Times New Roman"/>
                <w:bCs/>
                <w:sz w:val="18"/>
                <w:szCs w:val="20"/>
              </w:rPr>
            </w:pPr>
            <w:r w:rsidRPr="00103841">
              <w:rPr>
                <w:rFonts w:ascii="Times New Roman" w:hAnsi="Times New Roman" w:cs="Times New Roman"/>
                <w:bCs/>
                <w:sz w:val="20"/>
                <w:szCs w:val="20"/>
              </w:rPr>
              <w:t>Obciam naďalej zostanú príjmy zo správnych poplatkov tak</w:t>
            </w:r>
            <w:r w:rsidR="00AF101E">
              <w:rPr>
                <w:rFonts w:ascii="Times New Roman" w:hAnsi="Times New Roman" w:cs="Times New Roman"/>
                <w:bCs/>
                <w:sz w:val="20"/>
                <w:szCs w:val="20"/>
              </w:rPr>
              <w:t>,</w:t>
            </w:r>
            <w:r w:rsidRPr="00103841">
              <w:rPr>
                <w:rFonts w:ascii="Times New Roman" w:hAnsi="Times New Roman" w:cs="Times New Roman"/>
                <w:bCs/>
                <w:sz w:val="20"/>
                <w:szCs w:val="20"/>
              </w:rPr>
              <w:t xml:space="preserve"> ako </w:t>
            </w:r>
            <w:r w:rsidR="00AF101E">
              <w:rPr>
                <w:rFonts w:ascii="Times New Roman" w:hAnsi="Times New Roman" w:cs="Times New Roman"/>
                <w:bCs/>
                <w:sz w:val="20"/>
                <w:szCs w:val="20"/>
              </w:rPr>
              <w:t>je to aktuálne</w:t>
            </w:r>
            <w:r w:rsidRPr="00103841">
              <w:rPr>
                <w:rFonts w:ascii="Times New Roman" w:hAnsi="Times New Roman" w:cs="Times New Roman"/>
                <w:bCs/>
                <w:sz w:val="20"/>
                <w:szCs w:val="20"/>
              </w:rPr>
              <w:t>, t.j. v</w:t>
            </w:r>
            <w:r w:rsidR="000E5877">
              <w:rPr>
                <w:rFonts w:ascii="Times New Roman" w:hAnsi="Times New Roman" w:cs="Times New Roman"/>
                <w:bCs/>
                <w:sz w:val="20"/>
                <w:szCs w:val="20"/>
              </w:rPr>
              <w:t xml:space="preserve"> odhadovanej </w:t>
            </w:r>
            <w:r w:rsidRPr="00103841">
              <w:rPr>
                <w:rFonts w:ascii="Times New Roman" w:hAnsi="Times New Roman" w:cs="Times New Roman"/>
                <w:bCs/>
                <w:sz w:val="20"/>
                <w:szCs w:val="20"/>
              </w:rPr>
              <w:t xml:space="preserve"> výške 4 800 000 eur ročne.</w:t>
            </w:r>
            <w:r>
              <w:t xml:space="preserve"> </w:t>
            </w:r>
            <w:r w:rsidRPr="00103841">
              <w:rPr>
                <w:rFonts w:ascii="Times New Roman" w:hAnsi="Times New Roman" w:cs="Times New Roman"/>
                <w:sz w:val="20"/>
              </w:rPr>
              <w:t xml:space="preserve">Výnosy zo správnych poplatkov nepostačujú na pokrytie nákladov preneseného výkonu, preto bude stále potrebné zo strany štátu </w:t>
            </w:r>
            <w:r w:rsidR="00AF101E">
              <w:rPr>
                <w:rFonts w:ascii="Times New Roman" w:hAnsi="Times New Roman" w:cs="Times New Roman"/>
                <w:sz w:val="20"/>
              </w:rPr>
              <w:t>do</w:t>
            </w:r>
            <w:r w:rsidRPr="00103841">
              <w:rPr>
                <w:rFonts w:ascii="Times New Roman" w:hAnsi="Times New Roman" w:cs="Times New Roman"/>
                <w:sz w:val="20"/>
              </w:rPr>
              <w:t>plácať za prenesený výkon obciam.</w:t>
            </w:r>
            <w:r>
              <w:rPr>
                <w:rFonts w:ascii="Times New Roman" w:hAnsi="Times New Roman" w:cs="Times New Roman"/>
                <w:sz w:val="20"/>
              </w:rPr>
              <w:t xml:space="preserve"> </w:t>
            </w:r>
            <w:r w:rsidRPr="00103841">
              <w:rPr>
                <w:rFonts w:ascii="Times New Roman" w:hAnsi="Times New Roman" w:cs="Times New Roman"/>
                <w:sz w:val="20"/>
              </w:rPr>
              <w:t xml:space="preserve">Obce deklarujú, že výnosy zo </w:t>
            </w:r>
            <w:r w:rsidRPr="00103841">
              <w:rPr>
                <w:rFonts w:ascii="Times New Roman" w:hAnsi="Times New Roman" w:cs="Times New Roman"/>
                <w:sz w:val="20"/>
              </w:rPr>
              <w:lastRenderedPageBreak/>
              <w:t xml:space="preserve">správnych poplatkov (4,8 mil. eur) spolu s platbou za prenesený výkon štátnej správy (8,9 mil. eur)  </w:t>
            </w:r>
            <w:r w:rsidR="000E5877">
              <w:rPr>
                <w:rFonts w:ascii="Times New Roman" w:hAnsi="Times New Roman" w:cs="Times New Roman"/>
                <w:sz w:val="20"/>
              </w:rPr>
              <w:t>ne</w:t>
            </w:r>
            <w:r w:rsidRPr="00103841">
              <w:rPr>
                <w:rFonts w:ascii="Times New Roman" w:hAnsi="Times New Roman" w:cs="Times New Roman"/>
                <w:sz w:val="20"/>
              </w:rPr>
              <w:t>pokrýva</w:t>
            </w:r>
            <w:r w:rsidR="000E5877">
              <w:rPr>
                <w:rFonts w:ascii="Times New Roman" w:hAnsi="Times New Roman" w:cs="Times New Roman"/>
                <w:sz w:val="20"/>
              </w:rPr>
              <w:t>jú</w:t>
            </w:r>
            <w:r w:rsidR="007C5E2C">
              <w:rPr>
                <w:rFonts w:ascii="Times New Roman" w:hAnsi="Times New Roman" w:cs="Times New Roman"/>
                <w:sz w:val="20"/>
              </w:rPr>
              <w:t xml:space="preserve"> </w:t>
            </w:r>
            <w:r w:rsidR="000E5877">
              <w:rPr>
                <w:rFonts w:ascii="Times New Roman" w:hAnsi="Times New Roman" w:cs="Times New Roman"/>
                <w:sz w:val="20"/>
              </w:rPr>
              <w:t xml:space="preserve">celkové </w:t>
            </w:r>
            <w:r w:rsidRPr="00103841">
              <w:rPr>
                <w:rFonts w:ascii="Times New Roman" w:hAnsi="Times New Roman" w:cs="Times New Roman"/>
                <w:sz w:val="20"/>
              </w:rPr>
              <w:t>skutočn</w:t>
            </w:r>
            <w:r w:rsidR="000E5877">
              <w:rPr>
                <w:rFonts w:ascii="Times New Roman" w:hAnsi="Times New Roman" w:cs="Times New Roman"/>
                <w:sz w:val="20"/>
              </w:rPr>
              <w:t>é</w:t>
            </w:r>
            <w:r w:rsidRPr="00103841">
              <w:rPr>
                <w:rFonts w:ascii="Times New Roman" w:hAnsi="Times New Roman" w:cs="Times New Roman"/>
                <w:sz w:val="20"/>
              </w:rPr>
              <w:t xml:space="preserve"> náklad</w:t>
            </w:r>
            <w:r w:rsidR="000E5877">
              <w:rPr>
                <w:rFonts w:ascii="Times New Roman" w:hAnsi="Times New Roman" w:cs="Times New Roman"/>
                <w:sz w:val="20"/>
              </w:rPr>
              <w:t>y</w:t>
            </w:r>
            <w:r w:rsidR="007C5E2C">
              <w:rPr>
                <w:rFonts w:ascii="Times New Roman" w:hAnsi="Times New Roman" w:cs="Times New Roman"/>
                <w:sz w:val="20"/>
              </w:rPr>
              <w:t xml:space="preserve"> </w:t>
            </w:r>
            <w:r w:rsidRPr="00103841">
              <w:rPr>
                <w:rFonts w:ascii="Times New Roman" w:hAnsi="Times New Roman" w:cs="Times New Roman"/>
                <w:sz w:val="20"/>
              </w:rPr>
              <w:t>na výkon agendy.</w:t>
            </w:r>
            <w:r w:rsidR="000E5877">
              <w:rPr>
                <w:rFonts w:ascii="Times New Roman" w:hAnsi="Times New Roman" w:cs="Times New Roman"/>
                <w:sz w:val="20"/>
              </w:rPr>
              <w:t xml:space="preserve"> Dofinanc</w:t>
            </w:r>
            <w:r w:rsidR="007C5E2C">
              <w:rPr>
                <w:rFonts w:ascii="Times New Roman" w:hAnsi="Times New Roman" w:cs="Times New Roman"/>
                <w:sz w:val="20"/>
              </w:rPr>
              <w:t>o</w:t>
            </w:r>
            <w:r w:rsidR="000E5877">
              <w:rPr>
                <w:rFonts w:ascii="Times New Roman" w:hAnsi="Times New Roman" w:cs="Times New Roman"/>
                <w:sz w:val="20"/>
              </w:rPr>
              <w:t xml:space="preserve">vanie tejto agendy pokrývajú obce </w:t>
            </w:r>
            <w:r w:rsidRPr="00103841">
              <w:rPr>
                <w:rFonts w:ascii="Times New Roman" w:hAnsi="Times New Roman" w:cs="Times New Roman"/>
                <w:sz w:val="20"/>
              </w:rPr>
              <w:t xml:space="preserve">z vlastných rozpočtov. </w:t>
            </w:r>
            <w:r w:rsidRPr="00A33C9F">
              <w:rPr>
                <w:rFonts w:ascii="Times New Roman" w:hAnsi="Times New Roman" w:cs="Times New Roman"/>
                <w:sz w:val="20"/>
              </w:rPr>
              <w:t>Uvedené tvrdenie však</w:t>
            </w:r>
            <w:r w:rsidR="000E5877" w:rsidRPr="00A33C9F">
              <w:rPr>
                <w:rFonts w:ascii="Times New Roman" w:hAnsi="Times New Roman" w:cs="Times New Roman"/>
                <w:sz w:val="20"/>
              </w:rPr>
              <w:t xml:space="preserve"> </w:t>
            </w:r>
            <w:r w:rsidR="00AF101E" w:rsidRPr="00A33C9F">
              <w:rPr>
                <w:rFonts w:ascii="Times New Roman" w:hAnsi="Times New Roman" w:cs="Times New Roman"/>
                <w:sz w:val="20"/>
              </w:rPr>
              <w:t xml:space="preserve">nie je </w:t>
            </w:r>
            <w:r w:rsidR="00A33C9F" w:rsidRPr="00A33C9F">
              <w:rPr>
                <w:rFonts w:ascii="Times New Roman" w:hAnsi="Times New Roman" w:cs="Times New Roman"/>
                <w:sz w:val="20"/>
              </w:rPr>
              <w:t>možné overiť</w:t>
            </w:r>
            <w:r w:rsidRPr="00A33C9F">
              <w:rPr>
                <w:rFonts w:ascii="Times New Roman" w:hAnsi="Times New Roman" w:cs="Times New Roman"/>
                <w:sz w:val="20"/>
              </w:rPr>
              <w:t>.</w:t>
            </w:r>
            <w:r w:rsidRPr="00103841">
              <w:rPr>
                <w:rFonts w:ascii="Times New Roman" w:hAnsi="Times New Roman" w:cs="Times New Roman"/>
                <w:sz w:val="20"/>
              </w:rPr>
              <w:t xml:space="preserve"> </w:t>
            </w:r>
          </w:p>
          <w:p w:rsidR="00154407" w:rsidRPr="00103841" w:rsidRDefault="00154407" w:rsidP="00103841">
            <w:pPr>
              <w:jc w:val="both"/>
              <w:rPr>
                <w:rFonts w:ascii="Times New Roman" w:hAnsi="Times New Roman" w:cs="Times New Roman"/>
                <w:bCs/>
                <w:sz w:val="20"/>
                <w:szCs w:val="20"/>
              </w:rPr>
            </w:pPr>
            <w:r w:rsidRPr="00103841">
              <w:rPr>
                <w:rFonts w:ascii="Times New Roman" w:hAnsi="Times New Roman" w:cs="Times New Roman"/>
                <w:bCs/>
                <w:sz w:val="20"/>
                <w:szCs w:val="20"/>
              </w:rPr>
              <w:t>Negatívny vplyv na rozpočet Úradu pre územné plánovanie a výstavbu predstavuje v roku 2025 sumu 32 477 774 eur, 29 239 553 eur v roku 2026 a 29 528 727 eur v roku</w:t>
            </w:r>
            <w:r w:rsidR="007C5E2C">
              <w:rPr>
                <w:rFonts w:ascii="Times New Roman" w:hAnsi="Times New Roman" w:cs="Times New Roman"/>
                <w:bCs/>
                <w:sz w:val="20"/>
                <w:szCs w:val="20"/>
              </w:rPr>
              <w:t xml:space="preserve"> </w:t>
            </w:r>
            <w:r w:rsidRPr="00103841">
              <w:rPr>
                <w:rFonts w:ascii="Times New Roman" w:hAnsi="Times New Roman" w:cs="Times New Roman"/>
                <w:bCs/>
                <w:sz w:val="20"/>
                <w:szCs w:val="20"/>
              </w:rPr>
              <w:t>2027.</w:t>
            </w:r>
          </w:p>
          <w:p w:rsidR="00154407" w:rsidRPr="00103841" w:rsidRDefault="00154407" w:rsidP="00103841">
            <w:pPr>
              <w:jc w:val="both"/>
              <w:rPr>
                <w:rFonts w:ascii="Times New Roman" w:hAnsi="Times New Roman" w:cs="Times New Roman"/>
                <w:bCs/>
                <w:sz w:val="20"/>
                <w:szCs w:val="20"/>
              </w:rPr>
            </w:pPr>
            <w:r w:rsidRPr="00103841">
              <w:rPr>
                <w:rFonts w:ascii="Times New Roman" w:hAnsi="Times New Roman" w:cs="Times New Roman"/>
                <w:bCs/>
                <w:sz w:val="20"/>
                <w:szCs w:val="20"/>
              </w:rPr>
              <w:t>Tento negatívny vplyv je čiastočne  zabezpečený v rámci vládou schváleného návrhu rozpočtu verejnej správy na roky 2025 až 2027. Rozpočtovo nekrytá  je suma 1 692 414 eur pre rok 2025, v tom mzdy 1 244 880 eur a poistné 447 534 eur, a pre roky 2026 a 2027 je nekrytá suma 2 256 552 eur, z toho mzdy 1 659 840 a poistné 596 712 eur.</w:t>
            </w:r>
          </w:p>
          <w:p w:rsidR="00103841" w:rsidRDefault="00154407" w:rsidP="00103841">
            <w:pPr>
              <w:jc w:val="both"/>
              <w:rPr>
                <w:rFonts w:ascii="Times New Roman" w:hAnsi="Times New Roman" w:cs="Times New Roman"/>
                <w:bCs/>
                <w:sz w:val="20"/>
                <w:szCs w:val="20"/>
              </w:rPr>
            </w:pPr>
            <w:r w:rsidRPr="00103841">
              <w:rPr>
                <w:rFonts w:ascii="Times New Roman" w:hAnsi="Times New Roman" w:cs="Times New Roman"/>
                <w:bCs/>
                <w:sz w:val="20"/>
                <w:szCs w:val="20"/>
              </w:rPr>
              <w:t>V rámci limitu počtu zamestnancov schváleného pre Úrad pre územné plánovanie a výstavbu v prílohe č. 1 k uzneseniu vlády SR č. 606/2024 je  pre potrebu nového stavebného zákona zabezpečených 235 osôb, pričom potreba pre rok 2025 je 277 osôb.</w:t>
            </w:r>
            <w:r w:rsidRPr="00103841">
              <w:rPr>
                <w:rFonts w:ascii="Times New Roman" w:hAnsi="Times New Roman" w:cs="Times New Roman"/>
                <w:b/>
                <w:bCs/>
                <w:sz w:val="20"/>
                <w:szCs w:val="20"/>
              </w:rPr>
              <w:t xml:space="preserve"> </w:t>
            </w:r>
            <w:r w:rsidRPr="00103841">
              <w:rPr>
                <w:rFonts w:ascii="Times New Roman" w:hAnsi="Times New Roman" w:cs="Times New Roman"/>
                <w:bCs/>
                <w:sz w:val="20"/>
                <w:szCs w:val="20"/>
              </w:rPr>
              <w:t xml:space="preserve">Potreba pre roky 2026 a 2027 je 291 osôb. </w:t>
            </w:r>
          </w:p>
          <w:p w:rsidR="00103841" w:rsidRDefault="00103841" w:rsidP="00103841">
            <w:pPr>
              <w:jc w:val="both"/>
              <w:rPr>
                <w:rFonts w:ascii="Times New Roman" w:hAnsi="Times New Roman" w:cs="Times New Roman"/>
                <w:bCs/>
                <w:sz w:val="20"/>
                <w:szCs w:val="20"/>
              </w:rPr>
            </w:pPr>
          </w:p>
          <w:p w:rsidR="00103841" w:rsidRDefault="00103841" w:rsidP="00103841">
            <w:pPr>
              <w:jc w:val="both"/>
              <w:rPr>
                <w:rFonts w:ascii="Times New Roman" w:eastAsia="Times New Roman" w:hAnsi="Times New Roman" w:cs="Times New Roman"/>
                <w:sz w:val="20"/>
                <w:szCs w:val="20"/>
                <w:lang w:eastAsia="sk-SK"/>
              </w:rPr>
            </w:pPr>
          </w:p>
          <w:p w:rsidR="00103841" w:rsidRDefault="00103841" w:rsidP="00103841">
            <w:pPr>
              <w:jc w:val="both"/>
              <w:rPr>
                <w:rFonts w:ascii="Times New Roman" w:eastAsia="Times New Roman" w:hAnsi="Times New Roman" w:cs="Times New Roman"/>
                <w:sz w:val="20"/>
                <w:szCs w:val="20"/>
                <w:lang w:eastAsia="sk-SK"/>
              </w:rPr>
            </w:pPr>
            <w:r w:rsidRPr="006C2574">
              <w:rPr>
                <w:rFonts w:ascii="Times New Roman" w:eastAsia="Times New Roman" w:hAnsi="Times New Roman" w:cs="Times New Roman"/>
                <w:sz w:val="20"/>
                <w:szCs w:val="20"/>
                <w:lang w:eastAsia="sk-SK"/>
              </w:rPr>
              <w:t xml:space="preserve">Návrh zákona bude mať pozitívne sociálne vplyvy na </w:t>
            </w:r>
            <w:r>
              <w:rPr>
                <w:rFonts w:ascii="Times New Roman" w:eastAsia="Times New Roman" w:hAnsi="Times New Roman" w:cs="Times New Roman"/>
                <w:sz w:val="20"/>
                <w:szCs w:val="20"/>
                <w:lang w:eastAsia="sk-SK"/>
              </w:rPr>
              <w:t>občanov.</w:t>
            </w:r>
          </w:p>
          <w:p w:rsidR="00103841" w:rsidRPr="006C2574" w:rsidRDefault="00103841" w:rsidP="00103841">
            <w:pPr>
              <w:jc w:val="both"/>
              <w:rPr>
                <w:rFonts w:ascii="Times New Roman" w:hAnsi="Times New Roman" w:cs="Times New Roman"/>
                <w:sz w:val="20"/>
                <w:szCs w:val="20"/>
              </w:rPr>
            </w:pPr>
            <w:r>
              <w:rPr>
                <w:rFonts w:ascii="Times New Roman" w:eastAsia="Times New Roman" w:hAnsi="Times New Roman" w:cs="Times New Roman"/>
                <w:sz w:val="20"/>
                <w:szCs w:val="20"/>
                <w:lang w:eastAsia="sk-SK"/>
              </w:rPr>
              <w:t>Znižuje administratívnu záťaž občanov tým, že sa r</w:t>
            </w:r>
            <w:r w:rsidRPr="006C2574">
              <w:rPr>
                <w:rFonts w:ascii="Times New Roman" w:hAnsi="Times New Roman" w:cs="Times New Roman"/>
                <w:sz w:val="20"/>
                <w:szCs w:val="20"/>
              </w:rPr>
              <w:t xml:space="preserve">ozširuje okruh stavieb, ktoré nevyžadujú posúdenie stavebným úradom aj stavieb, pre ktoré sa vyžaduje iba zjednodušené administratívne posúdenie stavebným úradom na základe ohlásenia. Ide o drobné stavby a stavebné úpravy, údržbu a opravy existujúcich stavieb, stavebných úprav na pozemku, tzv. vonkajšie úpravy ako spevnené plochy, oplotenia, vstupy na pozemok, zavlažovanie pozemkov a pod. (§ 2 ods. 4 písm. a) až i) a § 18 ods. 5, 6 a 7. Medzi drobné stavby sú zaradené nabíjacie stanice pre elektromobily do 25 kW, zariadenia na výrobu elektriny, tepla a chladu z obnoviteľných zdrojov  do 50 kW, pričom tie do 10,8 kW nevyžadujú ani ohlásenie. </w:t>
            </w:r>
          </w:p>
          <w:p w:rsidR="00103841" w:rsidRPr="006C2574" w:rsidRDefault="00103841" w:rsidP="00103841">
            <w:pPr>
              <w:spacing w:line="254" w:lineRule="auto"/>
              <w:jc w:val="both"/>
              <w:rPr>
                <w:rFonts w:ascii="Times New Roman" w:hAnsi="Times New Roman" w:cs="Times New Roman"/>
                <w:sz w:val="20"/>
                <w:szCs w:val="20"/>
              </w:rPr>
            </w:pPr>
            <w:r w:rsidRPr="006C2574">
              <w:rPr>
                <w:rFonts w:ascii="Times New Roman" w:hAnsi="Times New Roman" w:cs="Times New Roman"/>
                <w:sz w:val="20"/>
                <w:szCs w:val="20"/>
              </w:rPr>
              <w:t>Ohlásenie sa bude vyžadovať aj pri zmontovaných výrobkoch pevne spojených so zemou do 25 m2 a výškou 6 m. Rozširuje sa rozsah jednoduchých stavieb, ktoré môže stavebník zabezpečovať svojpomocne</w:t>
            </w:r>
            <w:r>
              <w:rPr>
                <w:rFonts w:ascii="Times New Roman" w:hAnsi="Times New Roman" w:cs="Times New Roman"/>
                <w:sz w:val="20"/>
                <w:szCs w:val="20"/>
              </w:rPr>
              <w:t xml:space="preserve"> </w:t>
            </w:r>
            <w:r w:rsidRPr="006C2574">
              <w:rPr>
                <w:rFonts w:ascii="Times New Roman" w:hAnsi="Times New Roman" w:cs="Times New Roman"/>
                <w:sz w:val="20"/>
                <w:szCs w:val="20"/>
              </w:rPr>
              <w:t xml:space="preserve">(§2 ods. 6). Pri bytových budovách sa zastavaná plocha jednoduchej stavby zväčšuje na 300 m2, výška na 2 nadzemné podlažia a podkrovie alebo ustúpené podlažie. Pri jednoduchých stavbách na individuálnu rekreáciu sa rozsah stavby zosúlaďuje s rozsahom bytových jednoduchých stavieb, okrem počtu podlažnosti (§ 2 ods.6 písm. b). Medzi jednoduché stavby za zaraďuje aj zmontovaný výrobok so zastavanou plochou 300 m2 a výškou 6 m ak ide o bytovú budovu alebo budovu užívanú verejnosťou a prízemné stavby so zastavanou plochou 300 m2 a výškou 15 m. </w:t>
            </w:r>
          </w:p>
          <w:p w:rsidR="00103841" w:rsidRPr="006C2574" w:rsidRDefault="00103841" w:rsidP="00103841">
            <w:pPr>
              <w:spacing w:line="254" w:lineRule="auto"/>
              <w:jc w:val="both"/>
              <w:rPr>
                <w:rFonts w:ascii="Times New Roman" w:hAnsi="Times New Roman" w:cs="Times New Roman"/>
                <w:sz w:val="20"/>
                <w:szCs w:val="20"/>
              </w:rPr>
            </w:pPr>
            <w:r w:rsidRPr="006C2574">
              <w:rPr>
                <w:rFonts w:ascii="Times New Roman" w:hAnsi="Times New Roman" w:cs="Times New Roman"/>
                <w:sz w:val="20"/>
                <w:szCs w:val="20"/>
              </w:rPr>
              <w:t xml:space="preserve">Procesne budú jednoduché a väčšie stavby podliehať posúdeniu stavebného úradu v konaní o stavebnom zámere. Ide v procese povoľovania o jediné správne konanie, ktoré nahradí doteraz dvojúrovňové správne konania o územnom plánovaní a o stavebnom konaní (§ 18 ods. 4). Po vydaní rozhodnutia o stavebnom zámere bude mať stavebník istotu, že jeho stavebný zámer je prípustný a že v jeho intenciách môže rozpracovať podrobný projekt stavby, ktorý bude po overení stavebným úradom hneď vykonateľný. Stavebník sa môže rozhodnúť aj pre alternatívu, že dokumentáciu stavebného zámeru rozpracuje do podrobnosti projektu stavby a projekt stavby mu stavebný úrad overí s dátumom právoplatnosti rozhodnutia o stavebnom zámere. Táto alternatíva je obdobou súčasného spojeného územného a stavebného konania a stavebník ju využije v prípade, že v čase konania o stavebnom zámere má vysporiadané práva k pozemkom alebo neplánuje stavbu realizovať v etapách v dlhšom časovom horizonte. </w:t>
            </w:r>
          </w:p>
          <w:p w:rsidR="00103841" w:rsidRPr="006C2574" w:rsidRDefault="00103841" w:rsidP="00103841">
            <w:pPr>
              <w:spacing w:line="254" w:lineRule="auto"/>
              <w:jc w:val="both"/>
              <w:rPr>
                <w:rFonts w:ascii="Times New Roman" w:hAnsi="Times New Roman" w:cs="Times New Roman"/>
                <w:sz w:val="20"/>
                <w:szCs w:val="20"/>
              </w:rPr>
            </w:pPr>
            <w:r w:rsidRPr="006C2574">
              <w:rPr>
                <w:rFonts w:ascii="Times New Roman" w:hAnsi="Times New Roman" w:cs="Times New Roman"/>
                <w:sz w:val="20"/>
                <w:szCs w:val="20"/>
              </w:rPr>
              <w:t xml:space="preserve">Významnou časovou úsporou v povoľovacom procese je prevzatie už zavedenej úpravy povoľovania „súboru stavieb“. Ide o princíp, kedy jedno správne konanie integruje niekoľko správnych konaní o stavbách, ktoré funkčne a priestorovo spolu súvisia, ale podľa vecnej príslušnosti podliehajú povoľovaniu rôznych, napr. špeciálnych stavebných úradov, ktoré dnes časovo nenadväzujú, konajúce správne orgány sú nekoordinované a od stavebníka vyžadujú duplicitné predkladanie podkladov pre konanie. </w:t>
            </w:r>
          </w:p>
          <w:p w:rsidR="001B23B7" w:rsidRPr="006A2909" w:rsidRDefault="001B23B7" w:rsidP="00103841">
            <w:pPr>
              <w:jc w:val="both"/>
              <w:rPr>
                <w:rFonts w:ascii="Times New Roman" w:eastAsia="Calibri" w:hAnsi="Times New Roman" w:cs="Times New Roman"/>
                <w:b/>
              </w:rPr>
            </w:pPr>
          </w:p>
        </w:tc>
      </w:tr>
      <w:tr w:rsidR="00612E08" w:rsidRPr="00612E08" w:rsidTr="00103841">
        <w:tc>
          <w:tcPr>
            <w:tcW w:w="9214"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F541B7">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lastRenderedPageBreak/>
              <w:t>Kontakt na spracovateľa</w:t>
            </w:r>
          </w:p>
        </w:tc>
      </w:tr>
      <w:tr w:rsidR="00612E08" w:rsidRPr="00612E08" w:rsidTr="00103841">
        <w:trPr>
          <w:trHeight w:val="586"/>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1B23B7" w:rsidRDefault="001B23B7" w:rsidP="00F541B7">
            <w:pPr>
              <w:rPr>
                <w:rFonts w:ascii="Times New Roman" w:eastAsia="Times New Roman" w:hAnsi="Times New Roman" w:cs="Times New Roman"/>
                <w:i/>
                <w:sz w:val="20"/>
                <w:szCs w:val="20"/>
                <w:lang w:eastAsia="sk-SK"/>
              </w:rPr>
            </w:pPr>
            <w:r w:rsidRPr="00612E08">
              <w:rPr>
                <w:rFonts w:ascii="Times New Roman" w:eastAsia="Times New Roman" w:hAnsi="Times New Roman" w:cs="Times New Roman"/>
                <w:i/>
                <w:sz w:val="20"/>
                <w:szCs w:val="20"/>
                <w:lang w:eastAsia="sk-SK"/>
              </w:rPr>
              <w:t>Uveďte údaje na kontaktnú osobu, ktorú je možné kontaktovať v súvislosti s posúdením vybraných vplyvov.</w:t>
            </w:r>
          </w:p>
          <w:p w:rsidR="00154407" w:rsidRDefault="00154407" w:rsidP="00F541B7">
            <w:pPr>
              <w:rPr>
                <w:rFonts w:ascii="Times New Roman" w:eastAsia="Times New Roman" w:hAnsi="Times New Roman" w:cs="Times New Roman"/>
                <w:i/>
                <w:sz w:val="20"/>
                <w:szCs w:val="20"/>
                <w:lang w:eastAsia="sk-SK"/>
              </w:rPr>
            </w:pPr>
          </w:p>
          <w:p w:rsidR="002954D2" w:rsidRDefault="002954D2" w:rsidP="002954D2">
            <w:pPr>
              <w:rPr>
                <w:rFonts w:ascii="Times New Roman" w:eastAsia="Times New Roman" w:hAnsi="Times New Roman" w:cs="Times New Roman"/>
                <w:i/>
                <w:sz w:val="20"/>
                <w:szCs w:val="20"/>
                <w:lang w:eastAsia="sk-SK"/>
              </w:rPr>
            </w:pPr>
            <w:r>
              <w:rPr>
                <w:rFonts w:ascii="Times New Roman" w:eastAsia="Times New Roman" w:hAnsi="Times New Roman" w:cs="Times New Roman"/>
                <w:i/>
                <w:sz w:val="20"/>
                <w:szCs w:val="20"/>
                <w:lang w:eastAsia="sk-SK"/>
              </w:rPr>
              <w:t>viera.rajprichova@ mindop.sk</w:t>
            </w:r>
          </w:p>
          <w:p w:rsidR="00154407" w:rsidRPr="00612E08" w:rsidRDefault="00154407" w:rsidP="002954D2">
            <w:pPr>
              <w:rPr>
                <w:rFonts w:ascii="Times New Roman" w:eastAsia="Times New Roman" w:hAnsi="Times New Roman" w:cs="Times New Roman"/>
                <w:i/>
                <w:sz w:val="20"/>
                <w:szCs w:val="20"/>
                <w:lang w:eastAsia="sk-SK"/>
              </w:rPr>
            </w:pPr>
          </w:p>
        </w:tc>
      </w:tr>
      <w:tr w:rsidR="00612E08" w:rsidRPr="00612E08" w:rsidTr="00103841">
        <w:tc>
          <w:tcPr>
            <w:tcW w:w="9214"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F541B7">
            <w:pPr>
              <w:numPr>
                <w:ilvl w:val="0"/>
                <w:numId w:val="1"/>
              </w:numPr>
              <w:ind w:left="426"/>
              <w:contextualSpacing/>
              <w:rPr>
                <w:rFonts w:ascii="Times New Roman" w:eastAsia="Calibri" w:hAnsi="Times New Roman" w:cs="Times New Roman"/>
                <w:b/>
              </w:rPr>
            </w:pPr>
            <w:r w:rsidRPr="00612E08">
              <w:rPr>
                <w:rFonts w:ascii="Times New Roman" w:eastAsia="Calibri" w:hAnsi="Times New Roman" w:cs="Times New Roman"/>
                <w:b/>
              </w:rPr>
              <w:t>Zdroje</w:t>
            </w:r>
          </w:p>
        </w:tc>
      </w:tr>
      <w:tr w:rsidR="00612E08" w:rsidRPr="00612E08" w:rsidTr="00103841">
        <w:trPr>
          <w:trHeight w:val="401"/>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1B23B7" w:rsidRDefault="001D30C3" w:rsidP="002954D2">
            <w:pPr>
              <w:rPr>
                <w:rFonts w:ascii="Times" w:hAnsi="Times" w:cs="Times"/>
                <w:bCs/>
                <w:sz w:val="20"/>
                <w:szCs w:val="20"/>
              </w:rPr>
            </w:pPr>
            <w:r w:rsidRPr="009A13DF">
              <w:rPr>
                <w:rFonts w:ascii="Times" w:hAnsi="Times" w:cs="Times"/>
                <w:bCs/>
                <w:sz w:val="20"/>
                <w:szCs w:val="20"/>
              </w:rPr>
              <w:t xml:space="preserve">Pri spracúvaní návrhu zákona ako aj doložky </w:t>
            </w:r>
            <w:r w:rsidR="002954D2">
              <w:rPr>
                <w:rFonts w:ascii="Times" w:hAnsi="Times" w:cs="Times"/>
                <w:bCs/>
                <w:sz w:val="20"/>
                <w:szCs w:val="20"/>
              </w:rPr>
              <w:t>vp</w:t>
            </w:r>
            <w:r w:rsidR="00154407">
              <w:rPr>
                <w:rFonts w:ascii="Times" w:hAnsi="Times" w:cs="Times"/>
                <w:bCs/>
                <w:sz w:val="20"/>
                <w:szCs w:val="20"/>
              </w:rPr>
              <w:t>l</w:t>
            </w:r>
            <w:r w:rsidR="002954D2">
              <w:rPr>
                <w:rFonts w:ascii="Times" w:hAnsi="Times" w:cs="Times"/>
                <w:bCs/>
                <w:sz w:val="20"/>
                <w:szCs w:val="20"/>
              </w:rPr>
              <w:t>yvov</w:t>
            </w:r>
            <w:r w:rsidRPr="009A13DF">
              <w:rPr>
                <w:rFonts w:ascii="Times" w:hAnsi="Times" w:cs="Times"/>
                <w:bCs/>
                <w:sz w:val="20"/>
                <w:szCs w:val="20"/>
              </w:rPr>
              <w:t xml:space="preserve"> boli za účelom získania relevantných údajov a informácií podľa možností použité všetky zdroje</w:t>
            </w:r>
            <w:r w:rsidRPr="009A13DF">
              <w:rPr>
                <w:rFonts w:ascii="Times" w:hAnsi="Times" w:cs="Times"/>
                <w:sz w:val="20"/>
                <w:szCs w:val="20"/>
              </w:rPr>
              <w:t xml:space="preserve"> </w:t>
            </w:r>
            <w:r w:rsidR="002954D2">
              <w:rPr>
                <w:rFonts w:ascii="Times" w:hAnsi="Times" w:cs="Times"/>
                <w:bCs/>
                <w:sz w:val="20"/>
                <w:szCs w:val="20"/>
              </w:rPr>
              <w:t>–</w:t>
            </w:r>
            <w:r w:rsidRPr="009A13DF">
              <w:rPr>
                <w:rFonts w:ascii="Times" w:hAnsi="Times" w:cs="Times"/>
                <w:bCs/>
                <w:sz w:val="20"/>
                <w:szCs w:val="20"/>
              </w:rPr>
              <w:t xml:space="preserve"> </w:t>
            </w:r>
            <w:r w:rsidR="002954D2">
              <w:rPr>
                <w:rFonts w:ascii="Times" w:hAnsi="Times" w:cs="Times"/>
                <w:bCs/>
                <w:sz w:val="20"/>
                <w:szCs w:val="20"/>
              </w:rPr>
              <w:t xml:space="preserve">návrh štátneho rozpočtu 2025 – 2027, </w:t>
            </w:r>
            <w:r w:rsidRPr="009A13DF">
              <w:rPr>
                <w:rFonts w:ascii="Times" w:hAnsi="Times" w:cs="Times"/>
                <w:bCs/>
                <w:sz w:val="20"/>
                <w:szCs w:val="20"/>
              </w:rPr>
              <w:t xml:space="preserve">dostupné štatistiky, výsledky prieskumov, konzultácie s dotknutými subjektmi, spolupráca s odborníkmi ako aj metódy odhadu. </w:t>
            </w:r>
          </w:p>
          <w:p w:rsidR="00154407" w:rsidRPr="00612E08" w:rsidRDefault="00154407" w:rsidP="002954D2">
            <w:pPr>
              <w:rPr>
                <w:rFonts w:ascii="Times New Roman" w:eastAsia="Times New Roman" w:hAnsi="Times New Roman" w:cs="Times New Roman"/>
                <w:b/>
                <w:sz w:val="20"/>
                <w:szCs w:val="20"/>
                <w:lang w:eastAsia="sk-SK"/>
              </w:rPr>
            </w:pPr>
          </w:p>
        </w:tc>
      </w:tr>
      <w:tr w:rsidR="00612E08" w:rsidRPr="00612E08" w:rsidTr="00103841">
        <w:tc>
          <w:tcPr>
            <w:tcW w:w="9214" w:type="dxa"/>
            <w:tcBorders>
              <w:top w:val="single" w:sz="4" w:space="0" w:color="auto"/>
              <w:left w:val="single" w:sz="4" w:space="0" w:color="auto"/>
              <w:bottom w:val="single" w:sz="4" w:space="0" w:color="FFFFFF"/>
              <w:right w:val="single" w:sz="4" w:space="0" w:color="auto"/>
            </w:tcBorders>
            <w:shd w:val="clear" w:color="auto" w:fill="E2E2E2"/>
          </w:tcPr>
          <w:p w:rsidR="001B23B7" w:rsidRPr="00612E08" w:rsidRDefault="001B23B7" w:rsidP="00F541B7">
            <w:pPr>
              <w:numPr>
                <w:ilvl w:val="0"/>
                <w:numId w:val="1"/>
              </w:numPr>
              <w:ind w:left="447" w:hanging="425"/>
              <w:contextualSpacing/>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 PPK č. ..........</w:t>
            </w:r>
            <w:r w:rsidRPr="00612E08">
              <w:rPr>
                <w:rFonts w:ascii="Calibri" w:eastAsia="Calibri" w:hAnsi="Calibri" w:cs="Times New Roman"/>
              </w:rPr>
              <w:t xml:space="preserve"> </w:t>
            </w:r>
          </w:p>
          <w:p w:rsidR="001B23B7" w:rsidRPr="00612E08" w:rsidRDefault="001B23B7" w:rsidP="00F541B7">
            <w:pPr>
              <w:ind w:left="502"/>
              <w:rPr>
                <w:rFonts w:ascii="Times New Roman" w:eastAsia="Times New Roman" w:hAnsi="Times New Roman" w:cs="Times New Roman"/>
                <w:b/>
                <w:sz w:val="20"/>
                <w:szCs w:val="20"/>
                <w:lang w:eastAsia="sk-SK"/>
              </w:rPr>
            </w:pPr>
            <w:r w:rsidRPr="00612E08">
              <w:rPr>
                <w:rFonts w:ascii="Times New Roman" w:eastAsia="Calibri" w:hAnsi="Times New Roman" w:cs="Times New Roman"/>
              </w:rPr>
              <w:t>(v prípade, ak sa uskutočnilo v zmysle bodu 8.1 Jednotnej metodiky)</w:t>
            </w:r>
          </w:p>
        </w:tc>
      </w:tr>
      <w:tr w:rsidR="00612E08" w:rsidRPr="00612E08" w:rsidTr="00103841">
        <w:trPr>
          <w:trHeight w:val="70"/>
        </w:trPr>
        <w:tc>
          <w:tcPr>
            <w:tcW w:w="9214" w:type="dxa"/>
            <w:tcBorders>
              <w:top w:val="single" w:sz="4" w:space="0" w:color="FFFFFF"/>
              <w:left w:val="single" w:sz="4" w:space="0" w:color="auto"/>
              <w:bottom w:val="single" w:sz="4" w:space="0" w:color="auto"/>
              <w:right w:val="single" w:sz="4" w:space="0" w:color="auto"/>
            </w:tcBorders>
            <w:shd w:val="clear" w:color="auto" w:fill="FFFFFF"/>
          </w:tcPr>
          <w:p w:rsidR="001B23B7" w:rsidRPr="00612E08" w:rsidRDefault="001B23B7" w:rsidP="00F541B7">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F541B7">
              <w:trPr>
                <w:trHeight w:val="396"/>
              </w:trPr>
              <w:tc>
                <w:tcPr>
                  <w:tcW w:w="2552" w:type="dxa"/>
                </w:tcPr>
                <w:p w:rsidR="001B23B7" w:rsidRPr="00612E08" w:rsidRDefault="0067717B" w:rsidP="00F541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874910888"/>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67717B" w:rsidP="00F541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1697888127"/>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67717B" w:rsidP="00F541B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647822913"/>
                      <w14:checkbox>
                        <w14:checked w14:val="0"/>
                        <w14:checkedState w14:val="2612" w14:font="MS Gothic"/>
                        <w14:uncheckedState w14:val="2610" w14:font="MS Gothic"/>
                      </w14:checkbox>
                    </w:sdtPr>
                    <w:sdtEndPr/>
                    <w:sdtContent>
                      <w:r w:rsidR="0023360B"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F541B7">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F541B7">
            <w:pPr>
              <w:rPr>
                <w:rFonts w:ascii="Times New Roman" w:eastAsia="Times New Roman" w:hAnsi="Times New Roman" w:cs="Times New Roman"/>
                <w:b/>
                <w:sz w:val="20"/>
                <w:szCs w:val="20"/>
                <w:lang w:eastAsia="sk-SK"/>
              </w:rPr>
            </w:pPr>
          </w:p>
          <w:p w:rsidR="001B23B7" w:rsidRPr="00612E08" w:rsidRDefault="001B23B7" w:rsidP="00F541B7">
            <w:pPr>
              <w:rPr>
                <w:rFonts w:ascii="Times New Roman" w:eastAsia="Times New Roman" w:hAnsi="Times New Roman" w:cs="Times New Roman"/>
                <w:b/>
                <w:sz w:val="20"/>
                <w:szCs w:val="20"/>
                <w:lang w:eastAsia="sk-SK"/>
              </w:rPr>
            </w:pPr>
          </w:p>
        </w:tc>
      </w:tr>
      <w:tr w:rsidR="00612E08" w:rsidRPr="00612E08" w:rsidTr="00103841">
        <w:tblPrEx>
          <w:tblBorders>
            <w:insideH w:val="single" w:sz="4" w:space="0" w:color="FFFFFF"/>
            <w:insideV w:val="single" w:sz="4" w:space="0" w:color="FFFFFF"/>
          </w:tblBorders>
        </w:tblPrEx>
        <w:tc>
          <w:tcPr>
            <w:tcW w:w="9214" w:type="dxa"/>
            <w:tcBorders>
              <w:top w:val="single" w:sz="4" w:space="0" w:color="auto"/>
            </w:tcBorders>
            <w:shd w:val="clear" w:color="auto" w:fill="E2E2E2"/>
          </w:tcPr>
          <w:p w:rsidR="001B23B7" w:rsidRPr="00612E08" w:rsidRDefault="001B23B7" w:rsidP="00F541B7">
            <w:pPr>
              <w:numPr>
                <w:ilvl w:val="0"/>
                <w:numId w:val="1"/>
              </w:numPr>
              <w:ind w:left="450" w:hanging="425"/>
              <w:contextualSpacing/>
              <w:jc w:val="both"/>
              <w:rPr>
                <w:rFonts w:ascii="Times New Roman" w:eastAsia="Calibri" w:hAnsi="Times New Roman" w:cs="Times New Roman"/>
                <w:b/>
              </w:rPr>
            </w:pPr>
            <w:r w:rsidRPr="00612E08">
              <w:rPr>
                <w:rFonts w:ascii="Times New Roman" w:eastAsia="Calibri" w:hAnsi="Times New Roman" w:cs="Times New Roman"/>
                <w:b/>
              </w:rPr>
              <w:t>Stanovisko Komisie na posudzovanie vybraných vplyvov zo záverečného posúdenia č. ..........</w:t>
            </w:r>
            <w:r w:rsidRPr="00612E08">
              <w:rPr>
                <w:rFonts w:ascii="Times New Roman" w:eastAsia="Calibri" w:hAnsi="Times New Roman" w:cs="Times New Roman"/>
              </w:rPr>
              <w:t xml:space="preserve"> (v prípade, ak sa uskutočnilo v zmysle bodu 9.1. Jednotnej metodiky) </w:t>
            </w:r>
          </w:p>
        </w:tc>
      </w:tr>
      <w:tr w:rsidR="00612E08" w:rsidRPr="00612E08" w:rsidTr="00103841">
        <w:tblPrEx>
          <w:tblBorders>
            <w:insideH w:val="single" w:sz="4" w:space="0" w:color="FFFFFF"/>
            <w:insideV w:val="single" w:sz="4" w:space="0" w:color="FFFFFF"/>
          </w:tblBorders>
        </w:tblPrEx>
        <w:tc>
          <w:tcPr>
            <w:tcW w:w="9214" w:type="dxa"/>
            <w:shd w:val="clear" w:color="auto" w:fill="FFFFFF"/>
          </w:tcPr>
          <w:p w:rsidR="001B23B7" w:rsidRPr="00612E08" w:rsidRDefault="001B23B7" w:rsidP="00F541B7">
            <w:pPr>
              <w:rPr>
                <w:rFonts w:ascii="Times New Roman" w:eastAsia="Times New Roman" w:hAnsi="Times New Roman" w:cs="Times New Roman"/>
                <w:b/>
                <w:sz w:val="20"/>
                <w:szCs w:val="20"/>
                <w:lang w:eastAsia="sk-SK"/>
              </w:rPr>
            </w:pPr>
          </w:p>
          <w:tbl>
            <w:tblPr>
              <w:tblStyle w:val="Mriekatabuky1"/>
              <w:tblW w:w="891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3827"/>
              <w:gridCol w:w="2534"/>
            </w:tblGrid>
            <w:tr w:rsidR="00612E08" w:rsidRPr="00612E08" w:rsidTr="00F541B7">
              <w:trPr>
                <w:trHeight w:val="396"/>
              </w:trPr>
              <w:tc>
                <w:tcPr>
                  <w:tcW w:w="2552" w:type="dxa"/>
                </w:tcPr>
                <w:p w:rsidR="001B23B7" w:rsidRPr="00612E08" w:rsidRDefault="0067717B" w:rsidP="00F541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888232876"/>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 xml:space="preserve">Súhlasné </w:t>
                  </w:r>
                </w:p>
              </w:tc>
              <w:tc>
                <w:tcPr>
                  <w:tcW w:w="3827" w:type="dxa"/>
                </w:tcPr>
                <w:p w:rsidR="001B23B7" w:rsidRPr="00612E08" w:rsidRDefault="0067717B" w:rsidP="00F541B7">
                  <w:pPr>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953831761"/>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Súhlasné s  návrhom na dopracovanie</w:t>
                  </w:r>
                </w:p>
              </w:tc>
              <w:tc>
                <w:tcPr>
                  <w:tcW w:w="2534" w:type="dxa"/>
                </w:tcPr>
                <w:p w:rsidR="001B23B7" w:rsidRPr="00612E08" w:rsidRDefault="0067717B" w:rsidP="00F541B7">
                  <w:pPr>
                    <w:ind w:right="459"/>
                    <w:rPr>
                      <w:rFonts w:ascii="Times New Roman" w:eastAsia="Times New Roman" w:hAnsi="Times New Roman" w:cs="Times New Roman"/>
                      <w:b/>
                      <w:sz w:val="20"/>
                      <w:szCs w:val="20"/>
                      <w:lang w:eastAsia="sk-SK"/>
                    </w:rPr>
                  </w:pPr>
                  <w:sdt>
                    <w:sdtPr>
                      <w:rPr>
                        <w:rFonts w:ascii="Times New Roman" w:eastAsia="Times New Roman" w:hAnsi="Times New Roman" w:cs="Times New Roman"/>
                        <w:b/>
                        <w:sz w:val="20"/>
                        <w:szCs w:val="20"/>
                        <w:lang w:eastAsia="sk-SK"/>
                      </w:rPr>
                      <w:id w:val="-361740452"/>
                      <w14:checkbox>
                        <w14:checked w14:val="0"/>
                        <w14:checkedState w14:val="2612" w14:font="MS Gothic"/>
                        <w14:uncheckedState w14:val="2610" w14:font="MS Gothic"/>
                      </w14:checkbox>
                    </w:sdtPr>
                    <w:sdtEndPr/>
                    <w:sdtContent>
                      <w:r w:rsidR="0075197E" w:rsidRPr="00612E08">
                        <w:rPr>
                          <w:rFonts w:ascii="MS Gothic" w:eastAsia="MS Gothic" w:hAnsi="MS Gothic" w:cs="Times New Roman" w:hint="eastAsia"/>
                          <w:b/>
                          <w:sz w:val="20"/>
                          <w:szCs w:val="20"/>
                          <w:lang w:eastAsia="sk-SK"/>
                        </w:rPr>
                        <w:t>☐</w:t>
                      </w:r>
                    </w:sdtContent>
                  </w:sdt>
                  <w:r w:rsidR="0023360B" w:rsidRPr="00612E08">
                    <w:rPr>
                      <w:rFonts w:ascii="Times New Roman" w:eastAsia="Times New Roman" w:hAnsi="Times New Roman" w:cs="Times New Roman"/>
                      <w:b/>
                      <w:sz w:val="20"/>
                      <w:szCs w:val="20"/>
                      <w:lang w:eastAsia="sk-SK"/>
                    </w:rPr>
                    <w:t xml:space="preserve">  </w:t>
                  </w:r>
                  <w:r w:rsidR="001B23B7" w:rsidRPr="00612E08">
                    <w:rPr>
                      <w:rFonts w:ascii="Times New Roman" w:eastAsia="Times New Roman" w:hAnsi="Times New Roman" w:cs="Times New Roman"/>
                      <w:b/>
                      <w:sz w:val="20"/>
                      <w:szCs w:val="20"/>
                      <w:lang w:eastAsia="sk-SK"/>
                    </w:rPr>
                    <w:t>Nesúhlasné</w:t>
                  </w:r>
                </w:p>
              </w:tc>
            </w:tr>
          </w:tbl>
          <w:p w:rsidR="001B23B7" w:rsidRPr="00612E08" w:rsidRDefault="001B23B7" w:rsidP="00F541B7">
            <w:pPr>
              <w:jc w:val="both"/>
              <w:rPr>
                <w:rFonts w:ascii="Times New Roman" w:eastAsia="Times New Roman" w:hAnsi="Times New Roman" w:cs="Times New Roman"/>
                <w:b/>
                <w:sz w:val="20"/>
                <w:szCs w:val="20"/>
                <w:lang w:eastAsia="sk-SK"/>
              </w:rPr>
            </w:pPr>
            <w:r w:rsidRPr="00612E08">
              <w:rPr>
                <w:rFonts w:ascii="Times New Roman" w:eastAsia="Times New Roman" w:hAnsi="Times New Roman" w:cs="Times New Roman"/>
                <w:b/>
                <w:sz w:val="20"/>
                <w:szCs w:val="20"/>
                <w:lang w:eastAsia="sk-SK"/>
              </w:rPr>
              <w:t>Uveďte pripomienky zo stanoviska Komisie z časti II. spolu s Vaším vyhodnotením:</w:t>
            </w:r>
          </w:p>
          <w:p w:rsidR="001B23B7" w:rsidRPr="00612E08" w:rsidRDefault="001B23B7" w:rsidP="00F541B7">
            <w:pPr>
              <w:rPr>
                <w:rFonts w:ascii="Times New Roman" w:eastAsia="Times New Roman" w:hAnsi="Times New Roman" w:cs="Times New Roman"/>
                <w:b/>
                <w:sz w:val="20"/>
                <w:szCs w:val="20"/>
                <w:lang w:eastAsia="sk-SK"/>
              </w:rPr>
            </w:pPr>
          </w:p>
          <w:p w:rsidR="001B23B7" w:rsidRPr="00612E08" w:rsidRDefault="001B23B7" w:rsidP="00F541B7">
            <w:pPr>
              <w:rPr>
                <w:rFonts w:ascii="Times New Roman" w:eastAsia="Times New Roman" w:hAnsi="Times New Roman" w:cs="Times New Roman"/>
                <w:b/>
                <w:sz w:val="20"/>
                <w:szCs w:val="20"/>
                <w:lang w:eastAsia="sk-SK"/>
              </w:rPr>
            </w:pPr>
          </w:p>
        </w:tc>
      </w:tr>
    </w:tbl>
    <w:p w:rsidR="00F541B7" w:rsidRPr="00612E08" w:rsidRDefault="00F541B7"/>
    <w:sectPr w:rsidR="00F541B7" w:rsidRPr="00612E08" w:rsidSect="001E3562">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17B" w:rsidRDefault="0067717B" w:rsidP="001B23B7">
      <w:pPr>
        <w:spacing w:after="0" w:line="240" w:lineRule="auto"/>
      </w:pPr>
      <w:r>
        <w:separator/>
      </w:r>
    </w:p>
  </w:endnote>
  <w:endnote w:type="continuationSeparator" w:id="0">
    <w:p w:rsidR="0067717B" w:rsidRDefault="0067717B" w:rsidP="001B23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1191730"/>
      <w:docPartObj>
        <w:docPartGallery w:val="Page Numbers (Bottom of Page)"/>
        <w:docPartUnique/>
      </w:docPartObj>
    </w:sdtPr>
    <w:sdtEndPr>
      <w:rPr>
        <w:rFonts w:ascii="Times New Roman" w:hAnsi="Times New Roman" w:cs="Times New Roman"/>
        <w:sz w:val="24"/>
        <w:szCs w:val="24"/>
      </w:rPr>
    </w:sdtEndPr>
    <w:sdtContent>
      <w:p w:rsidR="001623D6" w:rsidRPr="006045CB" w:rsidRDefault="001623D6" w:rsidP="001B23B7">
        <w:pPr>
          <w:pStyle w:val="Pta"/>
          <w:jc w:val="right"/>
          <w:rPr>
            <w:rFonts w:ascii="Times New Roman" w:hAnsi="Times New Roman" w:cs="Times New Roman"/>
            <w:sz w:val="24"/>
            <w:szCs w:val="24"/>
          </w:rPr>
        </w:pPr>
        <w:r w:rsidRPr="006045CB">
          <w:rPr>
            <w:rFonts w:ascii="Times New Roman" w:hAnsi="Times New Roman" w:cs="Times New Roman"/>
            <w:sz w:val="24"/>
            <w:szCs w:val="24"/>
          </w:rPr>
          <w:fldChar w:fldCharType="begin"/>
        </w:r>
        <w:r w:rsidRPr="006045CB">
          <w:rPr>
            <w:rFonts w:ascii="Times New Roman" w:hAnsi="Times New Roman" w:cs="Times New Roman"/>
            <w:sz w:val="24"/>
            <w:szCs w:val="24"/>
          </w:rPr>
          <w:instrText>PAGE   \* MERGEFORMAT</w:instrText>
        </w:r>
        <w:r w:rsidRPr="006045CB">
          <w:rPr>
            <w:rFonts w:ascii="Times New Roman" w:hAnsi="Times New Roman" w:cs="Times New Roman"/>
            <w:sz w:val="24"/>
            <w:szCs w:val="24"/>
          </w:rPr>
          <w:fldChar w:fldCharType="separate"/>
        </w:r>
        <w:r w:rsidR="00FE034C">
          <w:rPr>
            <w:rFonts w:ascii="Times New Roman" w:hAnsi="Times New Roman" w:cs="Times New Roman"/>
            <w:noProof/>
            <w:sz w:val="24"/>
            <w:szCs w:val="24"/>
          </w:rPr>
          <w:t>6</w:t>
        </w:r>
        <w:r w:rsidRPr="006045CB">
          <w:rPr>
            <w:rFonts w:ascii="Times New Roman" w:hAnsi="Times New Roman" w:cs="Times New Roman"/>
            <w:sz w:val="24"/>
            <w:szCs w:val="24"/>
          </w:rPr>
          <w:fldChar w:fldCharType="end"/>
        </w:r>
      </w:p>
    </w:sdtContent>
  </w:sdt>
  <w:p w:rsidR="001623D6" w:rsidRDefault="001623D6">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17B" w:rsidRDefault="0067717B" w:rsidP="001B23B7">
      <w:pPr>
        <w:spacing w:after="0" w:line="240" w:lineRule="auto"/>
      </w:pPr>
      <w:r>
        <w:separator/>
      </w:r>
    </w:p>
  </w:footnote>
  <w:footnote w:type="continuationSeparator" w:id="0">
    <w:p w:rsidR="0067717B" w:rsidRDefault="0067717B" w:rsidP="001B23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23D6" w:rsidRPr="006045CB" w:rsidRDefault="001623D6" w:rsidP="001B23B7">
    <w:pPr>
      <w:tabs>
        <w:tab w:val="center" w:pos="4536"/>
        <w:tab w:val="right" w:pos="9072"/>
      </w:tabs>
      <w:spacing w:after="0" w:line="240" w:lineRule="auto"/>
      <w:jc w:val="right"/>
      <w:rPr>
        <w:rFonts w:ascii="Times New Roman" w:eastAsia="Times New Roman" w:hAnsi="Times New Roman" w:cs="Times New Roman"/>
        <w:sz w:val="24"/>
        <w:szCs w:val="24"/>
        <w:lang w:eastAsia="sk-SK"/>
      </w:rPr>
    </w:pPr>
    <w:r w:rsidRPr="006045CB">
      <w:rPr>
        <w:rFonts w:ascii="Times New Roman" w:eastAsia="Times New Roman" w:hAnsi="Times New Roman" w:cs="Times New Roman"/>
        <w:sz w:val="24"/>
        <w:szCs w:val="24"/>
        <w:lang w:eastAsia="sk-SK"/>
      </w:rPr>
      <w:t xml:space="preserve">Príloha č. </w:t>
    </w:r>
    <w:r>
      <w:rPr>
        <w:rFonts w:ascii="Times New Roman" w:eastAsia="Times New Roman" w:hAnsi="Times New Roman" w:cs="Times New Roman"/>
        <w:sz w:val="24"/>
        <w:szCs w:val="24"/>
        <w:lang w:eastAsia="sk-SK"/>
      </w:rPr>
      <w:t>1</w:t>
    </w:r>
  </w:p>
  <w:p w:rsidR="001623D6" w:rsidRDefault="001623D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F08BF"/>
    <w:multiLevelType w:val="hybridMultilevel"/>
    <w:tmpl w:val="53848378"/>
    <w:lvl w:ilvl="0" w:tplc="4A68D36C">
      <w:start w:val="1"/>
      <w:numFmt w:val="bullet"/>
      <w:lvlText w:val="-"/>
      <w:lvlJc w:val="left"/>
      <w:pPr>
        <w:ind w:left="1069" w:hanging="360"/>
      </w:pPr>
      <w:rPr>
        <w:rFonts w:ascii="Times New Roman" w:eastAsiaTheme="minorEastAsia" w:hAnsi="Times New Roman" w:cs="Times New Roman" w:hint="default"/>
      </w:rPr>
    </w:lvl>
    <w:lvl w:ilvl="1" w:tplc="041B0003" w:tentative="1">
      <w:start w:val="1"/>
      <w:numFmt w:val="bullet"/>
      <w:lvlText w:val="o"/>
      <w:lvlJc w:val="left"/>
      <w:pPr>
        <w:ind w:left="864" w:hanging="360"/>
      </w:pPr>
      <w:rPr>
        <w:rFonts w:ascii="Courier New" w:hAnsi="Courier New" w:cs="Courier New" w:hint="default"/>
      </w:rPr>
    </w:lvl>
    <w:lvl w:ilvl="2" w:tplc="041B0005" w:tentative="1">
      <w:start w:val="1"/>
      <w:numFmt w:val="bullet"/>
      <w:lvlText w:val=""/>
      <w:lvlJc w:val="left"/>
      <w:pPr>
        <w:ind w:left="1584" w:hanging="360"/>
      </w:pPr>
      <w:rPr>
        <w:rFonts w:ascii="Wingdings" w:hAnsi="Wingdings" w:hint="default"/>
      </w:rPr>
    </w:lvl>
    <w:lvl w:ilvl="3" w:tplc="041B0001" w:tentative="1">
      <w:start w:val="1"/>
      <w:numFmt w:val="bullet"/>
      <w:lvlText w:val=""/>
      <w:lvlJc w:val="left"/>
      <w:pPr>
        <w:ind w:left="2304" w:hanging="360"/>
      </w:pPr>
      <w:rPr>
        <w:rFonts w:ascii="Symbol" w:hAnsi="Symbol" w:hint="default"/>
      </w:rPr>
    </w:lvl>
    <w:lvl w:ilvl="4" w:tplc="041B0003" w:tentative="1">
      <w:start w:val="1"/>
      <w:numFmt w:val="bullet"/>
      <w:lvlText w:val="o"/>
      <w:lvlJc w:val="left"/>
      <w:pPr>
        <w:ind w:left="3024" w:hanging="360"/>
      </w:pPr>
      <w:rPr>
        <w:rFonts w:ascii="Courier New" w:hAnsi="Courier New" w:cs="Courier New" w:hint="default"/>
      </w:rPr>
    </w:lvl>
    <w:lvl w:ilvl="5" w:tplc="041B0005" w:tentative="1">
      <w:start w:val="1"/>
      <w:numFmt w:val="bullet"/>
      <w:lvlText w:val=""/>
      <w:lvlJc w:val="left"/>
      <w:pPr>
        <w:ind w:left="3744" w:hanging="360"/>
      </w:pPr>
      <w:rPr>
        <w:rFonts w:ascii="Wingdings" w:hAnsi="Wingdings" w:hint="default"/>
      </w:rPr>
    </w:lvl>
    <w:lvl w:ilvl="6" w:tplc="041B0001" w:tentative="1">
      <w:start w:val="1"/>
      <w:numFmt w:val="bullet"/>
      <w:lvlText w:val=""/>
      <w:lvlJc w:val="left"/>
      <w:pPr>
        <w:ind w:left="4464" w:hanging="360"/>
      </w:pPr>
      <w:rPr>
        <w:rFonts w:ascii="Symbol" w:hAnsi="Symbol" w:hint="default"/>
      </w:rPr>
    </w:lvl>
    <w:lvl w:ilvl="7" w:tplc="041B0003" w:tentative="1">
      <w:start w:val="1"/>
      <w:numFmt w:val="bullet"/>
      <w:lvlText w:val="o"/>
      <w:lvlJc w:val="left"/>
      <w:pPr>
        <w:ind w:left="5184" w:hanging="360"/>
      </w:pPr>
      <w:rPr>
        <w:rFonts w:ascii="Courier New" w:hAnsi="Courier New" w:cs="Courier New" w:hint="default"/>
      </w:rPr>
    </w:lvl>
    <w:lvl w:ilvl="8" w:tplc="041B0005" w:tentative="1">
      <w:start w:val="1"/>
      <w:numFmt w:val="bullet"/>
      <w:lvlText w:val=""/>
      <w:lvlJc w:val="left"/>
      <w:pPr>
        <w:ind w:left="5904" w:hanging="360"/>
      </w:pPr>
      <w:rPr>
        <w:rFonts w:ascii="Wingdings" w:hAnsi="Wingdings" w:hint="default"/>
      </w:rPr>
    </w:lvl>
  </w:abstractNum>
  <w:abstractNum w:abstractNumId="1" w15:restartNumberingAfterBreak="0">
    <w:nsid w:val="0EF87382"/>
    <w:multiLevelType w:val="hybridMultilevel"/>
    <w:tmpl w:val="7F266A9C"/>
    <w:lvl w:ilvl="0" w:tplc="4A68D36C">
      <w:start w:val="1"/>
      <w:numFmt w:val="bullet"/>
      <w:lvlText w:val="-"/>
      <w:lvlJc w:val="left"/>
      <w:pPr>
        <w:ind w:left="1004" w:hanging="360"/>
      </w:pPr>
      <w:rPr>
        <w:rFonts w:ascii="Times New Roman" w:eastAsiaTheme="minorEastAsia" w:hAnsi="Times New Roman" w:cs="Times New Roman" w:hint="default"/>
      </w:rPr>
    </w:lvl>
    <w:lvl w:ilvl="1" w:tplc="041B0003">
      <w:start w:val="1"/>
      <w:numFmt w:val="bullet"/>
      <w:lvlText w:val="o"/>
      <w:lvlJc w:val="left"/>
      <w:pPr>
        <w:ind w:left="1724" w:hanging="360"/>
      </w:pPr>
      <w:rPr>
        <w:rFonts w:ascii="Courier New" w:hAnsi="Courier New" w:cs="Courier New" w:hint="default"/>
      </w:rPr>
    </w:lvl>
    <w:lvl w:ilvl="2" w:tplc="041B0005">
      <w:start w:val="1"/>
      <w:numFmt w:val="bullet"/>
      <w:lvlText w:val=""/>
      <w:lvlJc w:val="left"/>
      <w:pPr>
        <w:ind w:left="2444" w:hanging="360"/>
      </w:pPr>
      <w:rPr>
        <w:rFonts w:ascii="Wingdings" w:hAnsi="Wingdings" w:hint="default"/>
      </w:rPr>
    </w:lvl>
    <w:lvl w:ilvl="3" w:tplc="041B0001">
      <w:start w:val="1"/>
      <w:numFmt w:val="bullet"/>
      <w:lvlText w:val=""/>
      <w:lvlJc w:val="left"/>
      <w:pPr>
        <w:ind w:left="3164" w:hanging="360"/>
      </w:pPr>
      <w:rPr>
        <w:rFonts w:ascii="Symbol" w:hAnsi="Symbol" w:hint="default"/>
      </w:rPr>
    </w:lvl>
    <w:lvl w:ilvl="4" w:tplc="041B0003">
      <w:start w:val="1"/>
      <w:numFmt w:val="bullet"/>
      <w:lvlText w:val="o"/>
      <w:lvlJc w:val="left"/>
      <w:pPr>
        <w:ind w:left="3884" w:hanging="360"/>
      </w:pPr>
      <w:rPr>
        <w:rFonts w:ascii="Courier New" w:hAnsi="Courier New" w:cs="Courier New" w:hint="default"/>
      </w:rPr>
    </w:lvl>
    <w:lvl w:ilvl="5" w:tplc="041B0005">
      <w:start w:val="1"/>
      <w:numFmt w:val="bullet"/>
      <w:lvlText w:val=""/>
      <w:lvlJc w:val="left"/>
      <w:pPr>
        <w:ind w:left="4604" w:hanging="360"/>
      </w:pPr>
      <w:rPr>
        <w:rFonts w:ascii="Wingdings" w:hAnsi="Wingdings" w:hint="default"/>
      </w:rPr>
    </w:lvl>
    <w:lvl w:ilvl="6" w:tplc="041B0001">
      <w:start w:val="1"/>
      <w:numFmt w:val="bullet"/>
      <w:lvlText w:val=""/>
      <w:lvlJc w:val="left"/>
      <w:pPr>
        <w:ind w:left="5324" w:hanging="360"/>
      </w:pPr>
      <w:rPr>
        <w:rFonts w:ascii="Symbol" w:hAnsi="Symbol" w:hint="default"/>
      </w:rPr>
    </w:lvl>
    <w:lvl w:ilvl="7" w:tplc="041B0003">
      <w:start w:val="1"/>
      <w:numFmt w:val="bullet"/>
      <w:lvlText w:val="o"/>
      <w:lvlJc w:val="left"/>
      <w:pPr>
        <w:ind w:left="6044" w:hanging="360"/>
      </w:pPr>
      <w:rPr>
        <w:rFonts w:ascii="Courier New" w:hAnsi="Courier New" w:cs="Courier New" w:hint="default"/>
      </w:rPr>
    </w:lvl>
    <w:lvl w:ilvl="8" w:tplc="041B0005">
      <w:start w:val="1"/>
      <w:numFmt w:val="bullet"/>
      <w:lvlText w:val=""/>
      <w:lvlJc w:val="left"/>
      <w:pPr>
        <w:ind w:left="6764" w:hanging="360"/>
      </w:pPr>
      <w:rPr>
        <w:rFonts w:ascii="Wingdings" w:hAnsi="Wingdings" w:hint="default"/>
      </w:rPr>
    </w:lvl>
  </w:abstractNum>
  <w:abstractNum w:abstractNumId="2" w15:restartNumberingAfterBreak="0">
    <w:nsid w:val="12DB0BE5"/>
    <w:multiLevelType w:val="hybridMultilevel"/>
    <w:tmpl w:val="92FAF9C0"/>
    <w:lvl w:ilvl="0" w:tplc="B75CDD5C">
      <w:start w:val="1"/>
      <w:numFmt w:val="decimal"/>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3" w15:restartNumberingAfterBreak="0">
    <w:nsid w:val="326C17FB"/>
    <w:multiLevelType w:val="hybridMultilevel"/>
    <w:tmpl w:val="4D484D38"/>
    <w:lvl w:ilvl="0" w:tplc="CC2E95CE">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F1B4852"/>
    <w:multiLevelType w:val="hybridMultilevel"/>
    <w:tmpl w:val="517C6208"/>
    <w:lvl w:ilvl="0" w:tplc="A14C644C">
      <w:start w:val="1"/>
      <w:numFmt w:val="bullet"/>
      <w:lvlText w:val="-"/>
      <w:lvlJc w:val="left"/>
      <w:pPr>
        <w:ind w:left="1069"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63F20B02"/>
    <w:multiLevelType w:val="hybridMultilevel"/>
    <w:tmpl w:val="39C00230"/>
    <w:lvl w:ilvl="0" w:tplc="3B524A9C">
      <w:start w:val="1"/>
      <w:numFmt w:val="decimal"/>
      <w:lvlText w:val="%1."/>
      <w:lvlJc w:val="left"/>
      <w:pPr>
        <w:ind w:left="1324" w:hanging="360"/>
      </w:pPr>
      <w:rPr>
        <w:b/>
      </w:rPr>
    </w:lvl>
    <w:lvl w:ilvl="1" w:tplc="041B0019">
      <w:start w:val="1"/>
      <w:numFmt w:val="lowerLetter"/>
      <w:lvlText w:val="%2."/>
      <w:lvlJc w:val="left"/>
      <w:pPr>
        <w:ind w:left="2044" w:hanging="360"/>
      </w:pPr>
    </w:lvl>
    <w:lvl w:ilvl="2" w:tplc="041B001B">
      <w:start w:val="1"/>
      <w:numFmt w:val="lowerRoman"/>
      <w:lvlText w:val="%3."/>
      <w:lvlJc w:val="right"/>
      <w:pPr>
        <w:ind w:left="2764" w:hanging="180"/>
      </w:pPr>
    </w:lvl>
    <w:lvl w:ilvl="3" w:tplc="041B000F">
      <w:start w:val="1"/>
      <w:numFmt w:val="decimal"/>
      <w:lvlText w:val="%4."/>
      <w:lvlJc w:val="left"/>
      <w:pPr>
        <w:ind w:left="3484" w:hanging="360"/>
      </w:pPr>
    </w:lvl>
    <w:lvl w:ilvl="4" w:tplc="041B0019">
      <w:start w:val="1"/>
      <w:numFmt w:val="lowerLetter"/>
      <w:lvlText w:val="%5."/>
      <w:lvlJc w:val="left"/>
      <w:pPr>
        <w:ind w:left="4204" w:hanging="360"/>
      </w:pPr>
    </w:lvl>
    <w:lvl w:ilvl="5" w:tplc="041B001B">
      <w:start w:val="1"/>
      <w:numFmt w:val="lowerRoman"/>
      <w:lvlText w:val="%6."/>
      <w:lvlJc w:val="right"/>
      <w:pPr>
        <w:ind w:left="4924" w:hanging="180"/>
      </w:pPr>
    </w:lvl>
    <w:lvl w:ilvl="6" w:tplc="041B000F">
      <w:start w:val="1"/>
      <w:numFmt w:val="decimal"/>
      <w:lvlText w:val="%7."/>
      <w:lvlJc w:val="left"/>
      <w:pPr>
        <w:ind w:left="5644" w:hanging="360"/>
      </w:pPr>
    </w:lvl>
    <w:lvl w:ilvl="7" w:tplc="041B0019">
      <w:start w:val="1"/>
      <w:numFmt w:val="lowerLetter"/>
      <w:lvlText w:val="%8."/>
      <w:lvlJc w:val="left"/>
      <w:pPr>
        <w:ind w:left="6364" w:hanging="360"/>
      </w:pPr>
    </w:lvl>
    <w:lvl w:ilvl="8" w:tplc="041B001B">
      <w:start w:val="1"/>
      <w:numFmt w:val="lowerRoman"/>
      <w:lvlText w:val="%9."/>
      <w:lvlJc w:val="right"/>
      <w:pPr>
        <w:ind w:left="7084" w:hanging="180"/>
      </w:pPr>
    </w:lvl>
  </w:abstractNum>
  <w:abstractNum w:abstractNumId="6" w15:restartNumberingAfterBreak="0">
    <w:nsid w:val="78A2209C"/>
    <w:multiLevelType w:val="hybridMultilevel"/>
    <w:tmpl w:val="50C4EACC"/>
    <w:lvl w:ilvl="0" w:tplc="041B0017">
      <w:start w:val="1"/>
      <w:numFmt w:val="lowerLetter"/>
      <w:lvlText w:val="%1)"/>
      <w:lvlJc w:val="left"/>
      <w:pPr>
        <w:ind w:left="1428" w:hanging="360"/>
      </w:pPr>
    </w:lvl>
    <w:lvl w:ilvl="1" w:tplc="041B0019" w:tentative="1">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7" w15:restartNumberingAfterBreak="0">
    <w:nsid w:val="79364FA9"/>
    <w:multiLevelType w:val="hybridMultilevel"/>
    <w:tmpl w:val="8932B8D2"/>
    <w:lvl w:ilvl="0" w:tplc="54BC0DE6">
      <w:start w:val="1"/>
      <w:numFmt w:val="upperLetter"/>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8" w15:restartNumberingAfterBreak="0">
    <w:nsid w:val="7BDE54EF"/>
    <w:multiLevelType w:val="hybridMultilevel"/>
    <w:tmpl w:val="419C7968"/>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num w:numId="1">
    <w:abstractNumId w:val="8"/>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7"/>
  </w:num>
  <w:num w:numId="5">
    <w:abstractNumId w:val="2"/>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B7"/>
    <w:rsid w:val="000013C3"/>
    <w:rsid w:val="0002550B"/>
    <w:rsid w:val="00043706"/>
    <w:rsid w:val="00065DE5"/>
    <w:rsid w:val="00097069"/>
    <w:rsid w:val="000A4278"/>
    <w:rsid w:val="000B2C19"/>
    <w:rsid w:val="000D348F"/>
    <w:rsid w:val="000E5877"/>
    <w:rsid w:val="000F2BE9"/>
    <w:rsid w:val="00103841"/>
    <w:rsid w:val="001073C4"/>
    <w:rsid w:val="00113AE4"/>
    <w:rsid w:val="001201E4"/>
    <w:rsid w:val="00154407"/>
    <w:rsid w:val="00156064"/>
    <w:rsid w:val="001623D6"/>
    <w:rsid w:val="00187182"/>
    <w:rsid w:val="001B23B7"/>
    <w:rsid w:val="001B61E5"/>
    <w:rsid w:val="001D30C3"/>
    <w:rsid w:val="001E3562"/>
    <w:rsid w:val="00201CB7"/>
    <w:rsid w:val="002025F7"/>
    <w:rsid w:val="00203EE3"/>
    <w:rsid w:val="0021107F"/>
    <w:rsid w:val="002243BB"/>
    <w:rsid w:val="00226A42"/>
    <w:rsid w:val="0023360B"/>
    <w:rsid w:val="00243652"/>
    <w:rsid w:val="00243F5A"/>
    <w:rsid w:val="002570F4"/>
    <w:rsid w:val="002954D2"/>
    <w:rsid w:val="002A6FF9"/>
    <w:rsid w:val="002D0835"/>
    <w:rsid w:val="002F667C"/>
    <w:rsid w:val="002F6ADB"/>
    <w:rsid w:val="00302DA1"/>
    <w:rsid w:val="003145AE"/>
    <w:rsid w:val="00332476"/>
    <w:rsid w:val="003412E7"/>
    <w:rsid w:val="003553ED"/>
    <w:rsid w:val="003A057B"/>
    <w:rsid w:val="003A381E"/>
    <w:rsid w:val="003E11F8"/>
    <w:rsid w:val="003F392A"/>
    <w:rsid w:val="00402FB0"/>
    <w:rsid w:val="00411898"/>
    <w:rsid w:val="004221FB"/>
    <w:rsid w:val="00454846"/>
    <w:rsid w:val="0049476D"/>
    <w:rsid w:val="004A4383"/>
    <w:rsid w:val="004B7BDB"/>
    <w:rsid w:val="004C6831"/>
    <w:rsid w:val="00545703"/>
    <w:rsid w:val="0057052F"/>
    <w:rsid w:val="00591EC6"/>
    <w:rsid w:val="00591ED3"/>
    <w:rsid w:val="005E2DE6"/>
    <w:rsid w:val="00612E08"/>
    <w:rsid w:val="0065527A"/>
    <w:rsid w:val="0067717B"/>
    <w:rsid w:val="006823CF"/>
    <w:rsid w:val="006A2909"/>
    <w:rsid w:val="006A726E"/>
    <w:rsid w:val="006B6B9D"/>
    <w:rsid w:val="006F23A5"/>
    <w:rsid w:val="006F4828"/>
    <w:rsid w:val="006F678E"/>
    <w:rsid w:val="006F6B62"/>
    <w:rsid w:val="00720322"/>
    <w:rsid w:val="0075197E"/>
    <w:rsid w:val="00761208"/>
    <w:rsid w:val="007756BE"/>
    <w:rsid w:val="007A4821"/>
    <w:rsid w:val="007B40C1"/>
    <w:rsid w:val="007C5312"/>
    <w:rsid w:val="007C5E2C"/>
    <w:rsid w:val="007D6F2C"/>
    <w:rsid w:val="007F587A"/>
    <w:rsid w:val="0080042A"/>
    <w:rsid w:val="0080579D"/>
    <w:rsid w:val="00821F29"/>
    <w:rsid w:val="00865E81"/>
    <w:rsid w:val="008801B5"/>
    <w:rsid w:val="00881E07"/>
    <w:rsid w:val="008A635C"/>
    <w:rsid w:val="008B222D"/>
    <w:rsid w:val="008C79B7"/>
    <w:rsid w:val="009431E3"/>
    <w:rsid w:val="009475F5"/>
    <w:rsid w:val="00947810"/>
    <w:rsid w:val="0096070F"/>
    <w:rsid w:val="009717F5"/>
    <w:rsid w:val="009753FB"/>
    <w:rsid w:val="0098472E"/>
    <w:rsid w:val="009C424C"/>
    <w:rsid w:val="009E09F7"/>
    <w:rsid w:val="009F0FB9"/>
    <w:rsid w:val="009F4832"/>
    <w:rsid w:val="00A25D64"/>
    <w:rsid w:val="00A33C9F"/>
    <w:rsid w:val="00A340BB"/>
    <w:rsid w:val="00A60413"/>
    <w:rsid w:val="00A669CB"/>
    <w:rsid w:val="00A7788F"/>
    <w:rsid w:val="00AC30D6"/>
    <w:rsid w:val="00AF101E"/>
    <w:rsid w:val="00B00B6E"/>
    <w:rsid w:val="00B23297"/>
    <w:rsid w:val="00B547F5"/>
    <w:rsid w:val="00B76A73"/>
    <w:rsid w:val="00B84F87"/>
    <w:rsid w:val="00BA2BF4"/>
    <w:rsid w:val="00C04D74"/>
    <w:rsid w:val="00C2390A"/>
    <w:rsid w:val="00C86714"/>
    <w:rsid w:val="00C94E4E"/>
    <w:rsid w:val="00CB08AE"/>
    <w:rsid w:val="00CD6E04"/>
    <w:rsid w:val="00CE6AAE"/>
    <w:rsid w:val="00CF1A25"/>
    <w:rsid w:val="00D2313B"/>
    <w:rsid w:val="00D50F1E"/>
    <w:rsid w:val="00DD2934"/>
    <w:rsid w:val="00DE1AB0"/>
    <w:rsid w:val="00DF357C"/>
    <w:rsid w:val="00E25B7B"/>
    <w:rsid w:val="00E440B4"/>
    <w:rsid w:val="00E6411C"/>
    <w:rsid w:val="00E67432"/>
    <w:rsid w:val="00E84770"/>
    <w:rsid w:val="00EC1530"/>
    <w:rsid w:val="00EC263F"/>
    <w:rsid w:val="00ED165A"/>
    <w:rsid w:val="00ED1AC0"/>
    <w:rsid w:val="00F062D7"/>
    <w:rsid w:val="00F50A84"/>
    <w:rsid w:val="00F541B7"/>
    <w:rsid w:val="00F54EE1"/>
    <w:rsid w:val="00F87681"/>
    <w:rsid w:val="00F87BFD"/>
    <w:rsid w:val="00F97E97"/>
    <w:rsid w:val="00FA02DB"/>
    <w:rsid w:val="00FE034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633DC-8D46-48BC-BA81-5E2300007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B23B7"/>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Mriekatabuky1">
    <w:name w:val="Mriežka tabuľky1"/>
    <w:basedOn w:val="Normlnatabuka"/>
    <w:next w:val="Mriekatabuky"/>
    <w:uiPriority w:val="5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rsid w:val="001B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1B23B7"/>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1B23B7"/>
  </w:style>
  <w:style w:type="paragraph" w:styleId="Pta">
    <w:name w:val="footer"/>
    <w:basedOn w:val="Normlny"/>
    <w:link w:val="PtaChar"/>
    <w:uiPriority w:val="99"/>
    <w:unhideWhenUsed/>
    <w:rsid w:val="001B23B7"/>
    <w:pPr>
      <w:tabs>
        <w:tab w:val="center" w:pos="4536"/>
        <w:tab w:val="right" w:pos="9072"/>
      </w:tabs>
      <w:spacing w:after="0" w:line="240" w:lineRule="auto"/>
    </w:pPr>
  </w:style>
  <w:style w:type="character" w:customStyle="1" w:styleId="PtaChar">
    <w:name w:val="Päta Char"/>
    <w:basedOn w:val="Predvolenpsmoodseku"/>
    <w:link w:val="Pta"/>
    <w:uiPriority w:val="99"/>
    <w:rsid w:val="001B23B7"/>
  </w:style>
  <w:style w:type="paragraph" w:styleId="Textbubliny">
    <w:name w:val="Balloon Text"/>
    <w:basedOn w:val="Normlny"/>
    <w:link w:val="TextbublinyChar"/>
    <w:uiPriority w:val="99"/>
    <w:semiHidden/>
    <w:unhideWhenUsed/>
    <w:rsid w:val="007B40C1"/>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7B40C1"/>
    <w:rPr>
      <w:rFonts w:ascii="Tahoma" w:hAnsi="Tahoma" w:cs="Tahoma"/>
      <w:sz w:val="16"/>
      <w:szCs w:val="16"/>
    </w:rPr>
  </w:style>
  <w:style w:type="paragraph" w:customStyle="1" w:styleId="Default">
    <w:name w:val="Default"/>
    <w:rsid w:val="00A7788F"/>
    <w:pPr>
      <w:autoSpaceDE w:val="0"/>
      <w:autoSpaceDN w:val="0"/>
      <w:adjustRightInd w:val="0"/>
      <w:spacing w:after="0" w:line="240" w:lineRule="auto"/>
    </w:pPr>
    <w:rPr>
      <w:rFonts w:ascii="Times New Roman" w:hAnsi="Times New Roman" w:cs="Times New Roman"/>
      <w:color w:val="000000"/>
      <w:sz w:val="24"/>
      <w:szCs w:val="24"/>
    </w:rPr>
  </w:style>
  <w:style w:type="paragraph" w:styleId="Normlnywebov">
    <w:name w:val="Normal (Web)"/>
    <w:basedOn w:val="Normlny"/>
    <w:uiPriority w:val="99"/>
    <w:semiHidden/>
    <w:unhideWhenUsed/>
    <w:rsid w:val="00C2390A"/>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Bezriadkovania">
    <w:name w:val="No Spacing"/>
    <w:uiPriority w:val="1"/>
    <w:qFormat/>
    <w:rsid w:val="00C2390A"/>
    <w:pPr>
      <w:spacing w:after="0" w:line="240" w:lineRule="auto"/>
    </w:pPr>
    <w:rPr>
      <w:rFonts w:ascii="Calibri" w:eastAsia="Calibri" w:hAnsi="Calibri" w:cs="Times New Roman"/>
    </w:rPr>
  </w:style>
  <w:style w:type="paragraph" w:styleId="Odsekzoznamu">
    <w:name w:val="List Paragraph"/>
    <w:basedOn w:val="Normlny"/>
    <w:uiPriority w:val="34"/>
    <w:qFormat/>
    <w:rsid w:val="003412E7"/>
    <w:pPr>
      <w:spacing w:after="0" w:line="240" w:lineRule="auto"/>
      <w:ind w:left="720"/>
      <w:contextualSpacing/>
    </w:pPr>
    <w:rPr>
      <w:rFonts w:ascii="Times New Roman" w:eastAsia="Times New Roman" w:hAnsi="Times New Roman" w:cs="Times New Roman"/>
      <w:sz w:val="24"/>
      <w:szCs w:val="24"/>
      <w:lang w:eastAsia="cs-CZ"/>
    </w:rPr>
  </w:style>
  <w:style w:type="paragraph" w:styleId="Zarkazkladnhotextu2">
    <w:name w:val="Body Text Indent 2"/>
    <w:basedOn w:val="Normlny"/>
    <w:link w:val="Zarkazkladnhotextu2Char"/>
    <w:uiPriority w:val="99"/>
    <w:semiHidden/>
    <w:unhideWhenUsed/>
    <w:rsid w:val="00F541B7"/>
    <w:pPr>
      <w:autoSpaceDE w:val="0"/>
      <w:autoSpaceDN w:val="0"/>
      <w:spacing w:after="0" w:line="240" w:lineRule="auto"/>
      <w:ind w:firstLine="708"/>
      <w:jc w:val="both"/>
    </w:pPr>
    <w:rPr>
      <w:rFonts w:ascii="Arial" w:eastAsiaTheme="minorEastAsia" w:hAnsi="Arial" w:cs="Arial"/>
      <w:sz w:val="24"/>
      <w:szCs w:val="24"/>
      <w:lang w:eastAsia="sk-SK"/>
    </w:rPr>
  </w:style>
  <w:style w:type="character" w:customStyle="1" w:styleId="Zarkazkladnhotextu2Char">
    <w:name w:val="Zarážka základného textu 2 Char"/>
    <w:basedOn w:val="Predvolenpsmoodseku"/>
    <w:link w:val="Zarkazkladnhotextu2"/>
    <w:uiPriority w:val="99"/>
    <w:semiHidden/>
    <w:rsid w:val="00F541B7"/>
    <w:rPr>
      <w:rFonts w:ascii="Arial" w:eastAsiaTheme="minorEastAsia" w:hAnsi="Arial" w:cs="Arial"/>
      <w:sz w:val="24"/>
      <w:szCs w:val="24"/>
      <w:lang w:eastAsia="sk-SK"/>
    </w:rPr>
  </w:style>
  <w:style w:type="character" w:styleId="Odkaznakomentr">
    <w:name w:val="annotation reference"/>
    <w:basedOn w:val="Predvolenpsmoodseku"/>
    <w:uiPriority w:val="99"/>
    <w:semiHidden/>
    <w:unhideWhenUsed/>
    <w:rsid w:val="00154407"/>
    <w:rPr>
      <w:sz w:val="16"/>
      <w:szCs w:val="16"/>
    </w:rPr>
  </w:style>
  <w:style w:type="paragraph" w:styleId="Textkomentra">
    <w:name w:val="annotation text"/>
    <w:basedOn w:val="Normlny"/>
    <w:link w:val="TextkomentraChar"/>
    <w:uiPriority w:val="99"/>
    <w:semiHidden/>
    <w:unhideWhenUsed/>
    <w:rsid w:val="00154407"/>
    <w:pPr>
      <w:spacing w:line="240" w:lineRule="auto"/>
    </w:pPr>
    <w:rPr>
      <w:sz w:val="20"/>
      <w:szCs w:val="20"/>
    </w:rPr>
  </w:style>
  <w:style w:type="character" w:customStyle="1" w:styleId="TextkomentraChar">
    <w:name w:val="Text komentára Char"/>
    <w:basedOn w:val="Predvolenpsmoodseku"/>
    <w:link w:val="Textkomentra"/>
    <w:uiPriority w:val="99"/>
    <w:semiHidden/>
    <w:rsid w:val="00154407"/>
    <w:rPr>
      <w:sz w:val="20"/>
      <w:szCs w:val="20"/>
    </w:rPr>
  </w:style>
  <w:style w:type="paragraph" w:styleId="Predmetkomentra">
    <w:name w:val="annotation subject"/>
    <w:basedOn w:val="Textkomentra"/>
    <w:next w:val="Textkomentra"/>
    <w:link w:val="PredmetkomentraChar"/>
    <w:uiPriority w:val="99"/>
    <w:semiHidden/>
    <w:unhideWhenUsed/>
    <w:rsid w:val="00154407"/>
    <w:rPr>
      <w:b/>
      <w:bCs/>
    </w:rPr>
  </w:style>
  <w:style w:type="character" w:customStyle="1" w:styleId="PredmetkomentraChar">
    <w:name w:val="Predmet komentára Char"/>
    <w:basedOn w:val="TextkomentraChar"/>
    <w:link w:val="Predmetkomentra"/>
    <w:uiPriority w:val="99"/>
    <w:semiHidden/>
    <w:rsid w:val="00154407"/>
    <w:rPr>
      <w:b/>
      <w:bCs/>
      <w:sz w:val="20"/>
      <w:szCs w:val="20"/>
    </w:rPr>
  </w:style>
  <w:style w:type="paragraph" w:styleId="Revzia">
    <w:name w:val="Revision"/>
    <w:hidden/>
    <w:uiPriority w:val="99"/>
    <w:semiHidden/>
    <w:rsid w:val="001544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6768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Vlastný-materiál,-príloha-č.-1"/>
    <f:field ref="objsubject" par="" edit="true" text=""/>
    <f:field ref="objcreatedby" par="" text="Drieniková, Kristína"/>
    <f:field ref="objcreatedat" par="" text="4.11.2020 11:13:17"/>
    <f:field ref="objchangedby" par="" text="Matúšek, Miloš, JUDr."/>
    <f:field ref="objmodifiedat" par="" text="4.11.2020 13:53:11"/>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B8141734-BFB1-4555-B2CB-34784BB16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3951</Words>
  <Characters>22521</Characters>
  <Application>Microsoft Office Word</Application>
  <DocSecurity>0</DocSecurity>
  <Lines>187</Lines>
  <Paragraphs>52</Paragraphs>
  <ScaleCrop>false</ScaleCrop>
  <HeadingPairs>
    <vt:vector size="2" baseType="variant">
      <vt:variant>
        <vt:lpstr>Názov</vt:lpstr>
      </vt:variant>
      <vt:variant>
        <vt:i4>1</vt:i4>
      </vt:variant>
    </vt:vector>
  </HeadingPairs>
  <TitlesOfParts>
    <vt:vector size="1" baseType="lpstr">
      <vt:lpstr/>
    </vt:vector>
  </TitlesOfParts>
  <Company>Ministerstvo hospodárstva Slovenskej republiky</Company>
  <LinksUpToDate>false</LinksUpToDate>
  <CharactersWithSpaces>26420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Drienikova Kristina</dc:creator>
  <cp:keywords/>
  <dc:description/>
  <cp:lastModifiedBy>Zemanová, Ivana</cp:lastModifiedBy>
  <cp:revision>2</cp:revision>
  <cp:lastPrinted>2024-07-18T14:34:00Z</cp:lastPrinted>
  <dcterms:created xsi:type="dcterms:W3CDTF">2024-10-24T07:37:00Z</dcterms:created>
  <dcterms:modified xsi:type="dcterms:W3CDTF">2024-10-24T07:37:00Z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
  </property>
  <property fmtid="{D5CDD505-2E9C-101B-9397-08002B2CF9AE}" pid="3" name="FSC#SKEDITIONSLOVLEX@103.510:typpredpis">
    <vt:lpwstr>Nelegislatívny všeobecný materiál</vt:lpwstr>
  </property>
  <property fmtid="{D5CDD505-2E9C-101B-9397-08002B2CF9AE}" pid="4" name="FSC#SKEDITIONSLOVLEX@103.510:aktualnyrok">
    <vt:lpwstr>2020</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Nelegislatívna oblasť</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Kristína Drieniková</vt:lpwstr>
  </property>
  <property fmtid="{D5CDD505-2E9C-101B-9397-08002B2CF9AE}" pid="12" name="FSC#SKEDITIONSLOVLEX@103.510:zodppredkladatel">
    <vt:lpwstr>Ing. Richard Sulík</vt:lpwstr>
  </property>
  <property fmtid="{D5CDD505-2E9C-101B-9397-08002B2CF9AE}" pid="13" name="FSC#SKEDITIONSLOVLEX@103.510:dalsipredkladatel">
    <vt:lpwstr/>
  </property>
  <property fmtid="{D5CDD505-2E9C-101B-9397-08002B2CF9AE}" pid="14" name="FSC#SKEDITIONSLOVLEX@103.510:nazovpredpis">
    <vt:lpwstr> Návrh aktualizácie Jednotnej metodiky na posudzovanie vybraných vplyvov </vt:lpwstr>
  </property>
  <property fmtid="{D5CDD505-2E9C-101B-9397-08002B2CF9AE}" pid="15" name="FSC#SKEDITIONSLOVLEX@103.510:nazovpredpis1">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Úloha B.3 uznesenia vlády SR č. 32/2018_x000d_
Programové vyhlásenie vlády Slovenskej republiky</vt:lpwstr>
  </property>
  <property fmtid="{D5CDD505-2E9C-101B-9397-08002B2CF9AE}" pid="23" name="FSC#SKEDITIONSLOVLEX@103.510:plnynazovpredpis">
    <vt:lpwstr> Návrh aktualizácie Jednotnej metodiky na posudzovanie vybraných vplyvov </vt:lpwstr>
  </property>
  <property fmtid="{D5CDD505-2E9C-101B-9397-08002B2CF9AE}" pid="24" name="FSC#SKEDITIONSLOVLEX@103.510:plnynazovpredpis1">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32473/2020-3040-105289                         </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LP/2020/509</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Žiadne</vt:lpwstr>
  </property>
  <property fmtid="{D5CDD505-2E9C-101B-9397-08002B2CF9AE}" pid="61" name="FSC#SKEDITIONSLOVLEX@103.510:AttrStrDocPropVplyvPodnikatelskeProstr">
    <vt:lpwstr>Žiadne</vt:lpwstr>
  </property>
  <property fmtid="{D5CDD505-2E9C-101B-9397-08002B2CF9AE}" pid="62" name="FSC#SKEDITIONSLOVLEX@103.510:AttrStrDocPropVplyvSocialny">
    <vt:lpwstr>Žiadne</vt:lpwstr>
  </property>
  <property fmtid="{D5CDD505-2E9C-101B-9397-08002B2CF9AE}" pid="63" name="FSC#SKEDITIONSLOVLEX@103.510:AttrStrDocPropVplyvNaZivotProstr">
    <vt:lpwstr>Žiadne</vt:lpwstr>
  </property>
  <property fmtid="{D5CDD505-2E9C-101B-9397-08002B2CF9AE}" pid="64" name="FSC#SKEDITIONSLOVLEX@103.510:AttrStrDocPropVplyvNaInformatizaciu">
    <vt:lpwstr>Žiadne</vt:lpwstr>
  </property>
  <property fmtid="{D5CDD505-2E9C-101B-9397-08002B2CF9AE}" pid="65" name="FSC#SKEDITIONSLOVLEX@103.510:AttrStrListDocPropPoznamkaVplyv">
    <vt:lpwstr>&lt;p style="text-align: justify;"&gt;Samotný predkladaný materiál nemá vplyv na podnikateľské prostredie. Výrazný pozitívny vplyv na podnikateľské prostredie v&amp;nbsp;podobe znižovania regulačných nákladov sa očakáva až po zavedení a&amp;nbsp;uplatňovaní mechanizmu </vt:lpwstr>
  </property>
  <property fmtid="{D5CDD505-2E9C-101B-9397-08002B2CF9AE}" pid="66" name="FSC#SKEDITIONSLOVLEX@103.510:AttrStrListDocPropAltRiesenia">
    <vt:lpwstr>Alternatívnym riešením je nulový variant, t. j. ponechanie súčasného stavu bez zmien, technických upresnení a bez zavedenia princípu „one in – two out“. Uplatnenie nulového variantu by v praxi znamenalo nezastavenie zvyšovania regulačných nákladov pre pod</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podpredseda vlády a minister hospodárstva  _x000d_
členovia vlády_x000d_
predsedovia ostatných ústredných orgánov štátnej správy</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minister hospodárstva Slovenskej republiky</vt:lpwstr>
  </property>
  <property fmtid="{D5CDD505-2E9C-101B-9397-08002B2CF9AE}" pid="142" name="FSC#SKEDITIONSLOVLEX@103.510:funkciaZodpPredAkuzativ">
    <vt:lpwstr>ministra hospodárstva Slovenskej republiky</vt:lpwstr>
  </property>
  <property fmtid="{D5CDD505-2E9C-101B-9397-08002B2CF9AE}" pid="143" name="FSC#SKEDITIONSLOVLEX@103.510:funkciaZodpPredDativ">
    <vt:lpwstr>ministrovi hospodárstva Slovenskej republiky</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Richard Sulík_x000d_
minister hospodárstva Slovenskej republiky</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&lt;p style="text-align: justify;"&gt;Po vzore dobrých príkladov z iných krajín a v súlade s plánmi Európskej komisie sa vláda SR zaviazala v Programovom vyhlásení zaviesť princíp „one in – one out“ s účinnosťou &amp;nbsp;od 1.&amp;nbsp;1. 2021 a princíp „one in - two </vt:lpwstr>
  </property>
  <property fmtid="{D5CDD505-2E9C-101B-9397-08002B2CF9AE}" pid="150" name="FSC#SKEDITIONSLOVLEX@103.510:vytvorenedna">
    <vt:lpwstr>4. 11. 2020</vt:lpwstr>
  </property>
  <property fmtid="{D5CDD505-2E9C-101B-9397-08002B2CF9AE}" pid="151" name="FSC#COOSYSTEM@1.1:Container">
    <vt:lpwstr>COO.2145.1000.3.4081373</vt:lpwstr>
  </property>
  <property fmtid="{D5CDD505-2E9C-101B-9397-08002B2CF9AE}" pid="152" name="FSC#FSCFOLIO@1.1001:docpropproject">
    <vt:lpwstr/>
  </property>
</Properties>
</file>