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A6A0D" w14:textId="77777777" w:rsidR="00B90F24" w:rsidRPr="00895898" w:rsidRDefault="00B90F24" w:rsidP="00B90F24">
      <w:pPr>
        <w:jc w:val="center"/>
        <w:rPr>
          <w:rFonts w:eastAsia="Calibri"/>
          <w:b/>
          <w:sz w:val="28"/>
          <w:szCs w:val="28"/>
        </w:rPr>
      </w:pPr>
      <w:bookmarkStart w:id="0" w:name="_GoBack"/>
      <w:bookmarkEnd w:id="0"/>
      <w:r w:rsidRPr="00895898">
        <w:rPr>
          <w:rFonts w:eastAsia="Calibri"/>
          <w:b/>
          <w:sz w:val="28"/>
          <w:szCs w:val="28"/>
        </w:rPr>
        <w:t>Analýza vplyvov na podnikateľské prostredie</w:t>
      </w:r>
    </w:p>
    <w:p w14:paraId="273351DC" w14:textId="77777777" w:rsidR="00B90F24" w:rsidRPr="00895898" w:rsidRDefault="00B90F24" w:rsidP="00B90F24">
      <w:pPr>
        <w:jc w:val="both"/>
        <w:rPr>
          <w:rFonts w:eastAsia="Calibri"/>
          <w:b/>
        </w:rPr>
      </w:pPr>
    </w:p>
    <w:p w14:paraId="76D8364A" w14:textId="77777777" w:rsidR="00B90F24" w:rsidRPr="00D47577" w:rsidRDefault="00B90F24" w:rsidP="00B90F24">
      <w:pPr>
        <w:jc w:val="both"/>
        <w:rPr>
          <w:rFonts w:eastAsia="Calibri"/>
        </w:rPr>
      </w:pPr>
      <w:r w:rsidRPr="001F1B43">
        <w:rPr>
          <w:rFonts w:eastAsia="Calibri"/>
          <w:b/>
        </w:rPr>
        <w:t>Názov materiálu:</w:t>
      </w:r>
      <w:r>
        <w:rPr>
          <w:rFonts w:eastAsia="Calibri"/>
          <w:b/>
        </w:rPr>
        <w:t xml:space="preserve"> </w:t>
      </w:r>
      <w:r w:rsidRPr="00D47577">
        <w:rPr>
          <w:rFonts w:eastAsia="Calibri"/>
        </w:rPr>
        <w:t>Návrh zákona o všeobecnej bezpečnosti výrobkov a o zmene a doplnení niektorých zákonov</w:t>
      </w:r>
    </w:p>
    <w:p w14:paraId="5FA7BF20" w14:textId="77777777" w:rsidR="00B90F24" w:rsidRPr="00D47577" w:rsidRDefault="00B90F24" w:rsidP="00B90F24">
      <w:pPr>
        <w:jc w:val="both"/>
        <w:rPr>
          <w:rFonts w:eastAsia="Calibri"/>
        </w:rPr>
      </w:pPr>
      <w:r w:rsidRPr="001F1B43">
        <w:rPr>
          <w:rFonts w:eastAsia="Calibri"/>
          <w:b/>
        </w:rPr>
        <w:t>Predkladateľ:</w:t>
      </w:r>
      <w:r>
        <w:rPr>
          <w:rFonts w:eastAsia="Calibri"/>
          <w:b/>
        </w:rPr>
        <w:t xml:space="preserve"> </w:t>
      </w:r>
      <w:r>
        <w:rPr>
          <w:rFonts w:eastAsia="Calibri"/>
        </w:rPr>
        <w:t>Ministerstvo hospodárstva SR</w:t>
      </w:r>
    </w:p>
    <w:p w14:paraId="415C0D69" w14:textId="77777777" w:rsidR="00B90F24" w:rsidRPr="001F1B43" w:rsidRDefault="00B90F24" w:rsidP="00B90F24">
      <w:pPr>
        <w:jc w:val="both"/>
        <w:rPr>
          <w:rFonts w:eastAsia="Calibri"/>
          <w:b/>
        </w:rPr>
      </w:pPr>
    </w:p>
    <w:p w14:paraId="037B465F" w14:textId="77777777" w:rsidR="00B90F24" w:rsidRPr="001F1B43" w:rsidRDefault="00B90F24" w:rsidP="00B90F24">
      <w:pPr>
        <w:jc w:val="both"/>
        <w:rPr>
          <w:rFonts w:eastAsia="Calibri"/>
          <w:b/>
        </w:rPr>
      </w:pPr>
      <w:r w:rsidRPr="001F1B43">
        <w:rPr>
          <w:rFonts w:eastAsia="Calibri"/>
          <w:b/>
        </w:rPr>
        <w:t>3.1 Náklady regulácie</w:t>
      </w:r>
    </w:p>
    <w:p w14:paraId="2B475A18" w14:textId="77777777" w:rsidR="00B90F24" w:rsidRPr="001F1B43" w:rsidRDefault="00B90F24" w:rsidP="00B90F24">
      <w:pPr>
        <w:tabs>
          <w:tab w:val="left" w:pos="8025"/>
        </w:tabs>
        <w:rPr>
          <w:rFonts w:eastAsia="Calibri"/>
          <w:bCs/>
          <w:i/>
          <w:iCs/>
        </w:rPr>
      </w:pPr>
      <w:r w:rsidRPr="001F1B43">
        <w:rPr>
          <w:rFonts w:eastAsia="Calibri"/>
          <w:b/>
          <w:i/>
          <w:iCs/>
        </w:rPr>
        <w:t xml:space="preserve">3.1.1 Súhrnná tabuľka nákladov regulácie </w:t>
      </w:r>
      <w:r>
        <w:rPr>
          <w:rFonts w:eastAsia="Calibri"/>
          <w:b/>
          <w:i/>
          <w:iCs/>
        </w:rPr>
        <w:tab/>
      </w:r>
    </w:p>
    <w:p w14:paraId="6B580B4E" w14:textId="77777777" w:rsidR="00B90F24" w:rsidRPr="00D8247C" w:rsidRDefault="00B90F24" w:rsidP="00B90F24">
      <w:pPr>
        <w:jc w:val="both"/>
        <w:rPr>
          <w:rFonts w:eastAsia="Calibri"/>
          <w:i/>
        </w:rPr>
      </w:pPr>
      <w:r w:rsidRPr="00D8247C">
        <w:rPr>
          <w:rFonts w:eastAsia="Calibri"/>
          <w:i/>
        </w:rPr>
        <w:t>Tabuľka č. 1: Zmeny nákladov (ročne) v prepočte na podnikateľské prostredie (PP), vyhodnotenie mechanizmu znižovania byrokracie a náklado</w:t>
      </w:r>
      <w:r>
        <w:rPr>
          <w:rFonts w:eastAsia="Calibri"/>
          <w:i/>
        </w:rPr>
        <w:t xml:space="preserve">v, náklady </w:t>
      </w:r>
      <w:proofErr w:type="spellStart"/>
      <w:r w:rsidRPr="00804BC8">
        <w:rPr>
          <w:rFonts w:eastAsia="Calibri"/>
          <w:i/>
        </w:rPr>
        <w:t>goldplatingu</w:t>
      </w:r>
      <w:proofErr w:type="spellEnd"/>
      <w:r>
        <w:rPr>
          <w:rStyle w:val="Odkaznapoznmkupodiarou"/>
          <w:rFonts w:eastAsia="Calibri"/>
          <w:i/>
        </w:rPr>
        <w:footnoteReference w:id="1"/>
      </w:r>
      <w:r>
        <w:rPr>
          <w:rFonts w:eastAsia="Calibri"/>
          <w:i/>
        </w:rPr>
        <w:t xml:space="preserve"> na podnikateľské prostredie</w:t>
      </w:r>
      <w:r w:rsidRPr="00D8247C">
        <w:rPr>
          <w:rFonts w:eastAsia="Calibri"/>
          <w:i/>
        </w:rPr>
        <w:t xml:space="preserve">. </w:t>
      </w:r>
    </w:p>
    <w:p w14:paraId="2BB69F35" w14:textId="77777777" w:rsidR="00B90F24" w:rsidRPr="00D8247C" w:rsidRDefault="00B90F24" w:rsidP="00B90F24">
      <w:pPr>
        <w:jc w:val="both"/>
        <w:rPr>
          <w:rFonts w:eastAsia="Calibri"/>
          <w:i/>
        </w:rPr>
      </w:pPr>
      <w:r w:rsidRPr="00D8247C">
        <w:rPr>
          <w:rFonts w:eastAsia="Calibri"/>
          <w:i/>
        </w:rPr>
        <w:t xml:space="preserve">Nahraďte rovnakou tabuľkou po vyplnení Kalkulačky nákladov podnikateľského prostredia, ktorá je povinnou prílohou tejto analýzy a nájdete ju na </w:t>
      </w:r>
      <w:hyperlink r:id="rId9" w:history="1">
        <w:r w:rsidRPr="00D8247C">
          <w:rPr>
            <w:rFonts w:eastAsia="Calibri"/>
            <w:i/>
            <w:color w:val="0563C1"/>
            <w:u w:val="single"/>
          </w:rPr>
          <w:t>webovom sídle MH SR</w:t>
        </w:r>
      </w:hyperlink>
      <w:r w:rsidRPr="00D8247C">
        <w:rPr>
          <w:rFonts w:eastAsia="Calibri"/>
          <w:i/>
        </w:rPr>
        <w:t xml:space="preserve">, (ďalej len </w:t>
      </w:r>
      <w:r>
        <w:rPr>
          <w:rFonts w:eastAsia="Calibri"/>
          <w:i/>
        </w:rPr>
        <w:t>„</w:t>
      </w:r>
      <w:r w:rsidRPr="00D8247C">
        <w:rPr>
          <w:rFonts w:eastAsia="Calibri"/>
          <w:i/>
        </w:rPr>
        <w:t>Kalkulačka nákladov</w:t>
      </w:r>
      <w:r>
        <w:rPr>
          <w:rFonts w:eastAsia="Calibri"/>
          <w:i/>
        </w:rPr>
        <w:t>“</w:t>
      </w:r>
      <w:r w:rsidRPr="00D8247C">
        <w:rPr>
          <w:rFonts w:eastAsia="Calibri"/>
          <w:i/>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B90F24" w:rsidRPr="00C929AE" w14:paraId="3ED3A8A5" w14:textId="77777777" w:rsidTr="00FC031F">
        <w:trPr>
          <w:trHeight w:val="270"/>
        </w:trPr>
        <w:tc>
          <w:tcPr>
            <w:tcW w:w="146" w:type="dxa"/>
            <w:tcBorders>
              <w:top w:val="nil"/>
              <w:left w:val="nil"/>
              <w:bottom w:val="nil"/>
              <w:right w:val="nil"/>
            </w:tcBorders>
            <w:shd w:val="clear" w:color="auto" w:fill="auto"/>
            <w:noWrap/>
            <w:vAlign w:val="bottom"/>
            <w:hideMark/>
          </w:tcPr>
          <w:p w14:paraId="18066F13" w14:textId="77777777" w:rsidR="00B90F24" w:rsidRPr="00C929AE" w:rsidRDefault="00B90F24" w:rsidP="00FC031F">
            <w:pPr>
              <w:rPr>
                <w:color w:val="000000"/>
                <w:sz w:val="20"/>
                <w:szCs w:val="20"/>
              </w:rPr>
            </w:pPr>
          </w:p>
        </w:tc>
        <w:tc>
          <w:tcPr>
            <w:tcW w:w="3540" w:type="dxa"/>
            <w:tcBorders>
              <w:top w:val="nil"/>
              <w:left w:val="nil"/>
              <w:bottom w:val="nil"/>
              <w:right w:val="nil"/>
            </w:tcBorders>
            <w:shd w:val="clear" w:color="auto" w:fill="auto"/>
            <w:noWrap/>
            <w:vAlign w:val="bottom"/>
            <w:hideMark/>
          </w:tcPr>
          <w:p w14:paraId="49DFF5EE" w14:textId="77777777" w:rsidR="00B90F24" w:rsidRPr="00C929AE" w:rsidRDefault="00B90F24" w:rsidP="00FC031F">
            <w:pPr>
              <w:rPr>
                <w:color w:val="000000"/>
                <w:sz w:val="20"/>
                <w:szCs w:val="20"/>
              </w:rPr>
            </w:pPr>
          </w:p>
        </w:tc>
        <w:tc>
          <w:tcPr>
            <w:tcW w:w="2792" w:type="dxa"/>
            <w:gridSpan w:val="2"/>
            <w:tcBorders>
              <w:top w:val="nil"/>
              <w:left w:val="nil"/>
              <w:bottom w:val="nil"/>
              <w:right w:val="nil"/>
            </w:tcBorders>
            <w:shd w:val="clear" w:color="auto" w:fill="auto"/>
            <w:noWrap/>
            <w:vAlign w:val="bottom"/>
            <w:hideMark/>
          </w:tcPr>
          <w:p w14:paraId="2FEA96FC" w14:textId="77777777" w:rsidR="00B90F24" w:rsidRPr="00C929AE" w:rsidRDefault="00B90F24" w:rsidP="00FC031F">
            <w:pPr>
              <w:rPr>
                <w:color w:val="000000"/>
                <w:sz w:val="20"/>
                <w:szCs w:val="20"/>
              </w:rPr>
            </w:pPr>
          </w:p>
        </w:tc>
        <w:tc>
          <w:tcPr>
            <w:tcW w:w="160" w:type="dxa"/>
            <w:tcBorders>
              <w:top w:val="nil"/>
              <w:left w:val="nil"/>
              <w:bottom w:val="nil"/>
              <w:right w:val="nil"/>
            </w:tcBorders>
            <w:shd w:val="clear" w:color="auto" w:fill="auto"/>
            <w:noWrap/>
            <w:vAlign w:val="bottom"/>
            <w:hideMark/>
          </w:tcPr>
          <w:p w14:paraId="55AF0E1F" w14:textId="77777777" w:rsidR="00B90F24" w:rsidRPr="00C929AE" w:rsidRDefault="00B90F24" w:rsidP="00FC031F">
            <w:pPr>
              <w:rPr>
                <w:color w:val="000000"/>
                <w:sz w:val="20"/>
                <w:szCs w:val="20"/>
              </w:rPr>
            </w:pPr>
          </w:p>
        </w:tc>
        <w:tc>
          <w:tcPr>
            <w:tcW w:w="2716" w:type="dxa"/>
            <w:gridSpan w:val="2"/>
            <w:tcBorders>
              <w:top w:val="nil"/>
              <w:left w:val="nil"/>
              <w:bottom w:val="nil"/>
              <w:right w:val="nil"/>
            </w:tcBorders>
            <w:shd w:val="clear" w:color="auto" w:fill="auto"/>
            <w:noWrap/>
            <w:vAlign w:val="bottom"/>
            <w:hideMark/>
          </w:tcPr>
          <w:p w14:paraId="37BDAD87" w14:textId="77777777" w:rsidR="00B90F24" w:rsidRPr="00C929AE" w:rsidRDefault="00B90F24" w:rsidP="00FC031F">
            <w:pPr>
              <w:rPr>
                <w:color w:val="000000"/>
                <w:sz w:val="20"/>
                <w:szCs w:val="20"/>
              </w:rPr>
            </w:pPr>
          </w:p>
        </w:tc>
        <w:tc>
          <w:tcPr>
            <w:tcW w:w="160" w:type="dxa"/>
            <w:tcBorders>
              <w:top w:val="nil"/>
              <w:left w:val="nil"/>
              <w:bottom w:val="nil"/>
              <w:right w:val="nil"/>
            </w:tcBorders>
            <w:shd w:val="clear" w:color="auto" w:fill="auto"/>
            <w:noWrap/>
            <w:vAlign w:val="bottom"/>
            <w:hideMark/>
          </w:tcPr>
          <w:p w14:paraId="02B6EDF6" w14:textId="77777777" w:rsidR="00B90F24" w:rsidRPr="00C929AE" w:rsidRDefault="00B90F24" w:rsidP="00FC031F">
            <w:pPr>
              <w:jc w:val="center"/>
              <w:rPr>
                <w:color w:val="000000"/>
                <w:sz w:val="20"/>
                <w:szCs w:val="20"/>
              </w:rPr>
            </w:pPr>
          </w:p>
        </w:tc>
      </w:tr>
      <w:tr w:rsidR="00B90F24" w:rsidRPr="00C929AE" w14:paraId="2EFDB197" w14:textId="77777777" w:rsidTr="00FC031F">
        <w:trPr>
          <w:gridAfter w:val="2"/>
          <w:wAfter w:w="583" w:type="dxa"/>
          <w:trHeight w:val="451"/>
        </w:trPr>
        <w:tc>
          <w:tcPr>
            <w:tcW w:w="146" w:type="dxa"/>
            <w:tcBorders>
              <w:top w:val="nil"/>
              <w:left w:val="nil"/>
              <w:bottom w:val="nil"/>
              <w:right w:val="nil"/>
            </w:tcBorders>
            <w:shd w:val="clear" w:color="auto" w:fill="auto"/>
            <w:noWrap/>
            <w:vAlign w:val="bottom"/>
            <w:hideMark/>
          </w:tcPr>
          <w:p w14:paraId="58F99736" w14:textId="77777777" w:rsidR="00B90F24" w:rsidRPr="00C929AE" w:rsidRDefault="00B90F24" w:rsidP="00FC031F">
            <w:pPr>
              <w:rPr>
                <w:color w:val="000000"/>
                <w:sz w:val="20"/>
                <w:szCs w:val="20"/>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A2AD837" w14:textId="77777777" w:rsidR="00B90F24" w:rsidRPr="00C929AE" w:rsidRDefault="00B90F24" w:rsidP="00FC031F">
            <w:pPr>
              <w:jc w:val="center"/>
              <w:rPr>
                <w:b/>
                <w:bCs/>
                <w:i/>
                <w:iCs/>
                <w:color w:val="000000"/>
                <w:sz w:val="20"/>
                <w:szCs w:val="20"/>
              </w:rPr>
            </w:pPr>
            <w:r w:rsidRPr="00C929AE">
              <w:rPr>
                <w:b/>
                <w:bCs/>
                <w:i/>
                <w:iCs/>
                <w:color w:val="000000"/>
                <w:sz w:val="20"/>
                <w:szCs w:val="20"/>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58B5C1DF" w14:textId="77777777" w:rsidR="00B90F24" w:rsidRPr="00C929AE" w:rsidRDefault="00B90F24" w:rsidP="00FC031F">
            <w:pPr>
              <w:jc w:val="center"/>
              <w:rPr>
                <w:b/>
                <w:bCs/>
                <w:color w:val="000000"/>
                <w:sz w:val="20"/>
                <w:szCs w:val="20"/>
              </w:rPr>
            </w:pPr>
            <w:r w:rsidRPr="00C929AE">
              <w:rPr>
                <w:b/>
                <w:bCs/>
                <w:color w:val="000000"/>
                <w:sz w:val="20"/>
                <w:szCs w:val="20"/>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4FDB66A5" w14:textId="77777777" w:rsidR="00B90F24" w:rsidRPr="00C929AE" w:rsidRDefault="00B90F24" w:rsidP="00FC031F">
            <w:pPr>
              <w:jc w:val="center"/>
              <w:rPr>
                <w:b/>
                <w:bCs/>
                <w:color w:val="000000"/>
                <w:sz w:val="20"/>
                <w:szCs w:val="20"/>
              </w:rPr>
            </w:pPr>
            <w:r w:rsidRPr="00C929AE">
              <w:rPr>
                <w:b/>
                <w:bCs/>
                <w:color w:val="000000"/>
                <w:sz w:val="20"/>
                <w:szCs w:val="20"/>
              </w:rPr>
              <w:t>Zníženie nákladov v € na PP</w:t>
            </w:r>
          </w:p>
        </w:tc>
      </w:tr>
      <w:tr w:rsidR="00B90F24" w:rsidRPr="00C929AE" w14:paraId="0B35A04B" w14:textId="77777777" w:rsidTr="00FC031F">
        <w:trPr>
          <w:gridAfter w:val="2"/>
          <w:wAfter w:w="583" w:type="dxa"/>
          <w:trHeight w:val="600"/>
        </w:trPr>
        <w:tc>
          <w:tcPr>
            <w:tcW w:w="146" w:type="dxa"/>
            <w:tcBorders>
              <w:top w:val="nil"/>
              <w:left w:val="nil"/>
              <w:bottom w:val="nil"/>
              <w:right w:val="nil"/>
            </w:tcBorders>
            <w:shd w:val="clear" w:color="auto" w:fill="auto"/>
            <w:noWrap/>
            <w:vAlign w:val="bottom"/>
            <w:hideMark/>
          </w:tcPr>
          <w:p w14:paraId="5592CC0A" w14:textId="77777777" w:rsidR="00B90F24" w:rsidRPr="00C929AE" w:rsidRDefault="00B90F24" w:rsidP="00FC031F">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7BAA81D5" w14:textId="77777777" w:rsidR="00B90F24" w:rsidRPr="00C929AE" w:rsidRDefault="00B90F24" w:rsidP="00FC031F">
            <w:pPr>
              <w:rPr>
                <w:b/>
                <w:bCs/>
                <w:i/>
                <w:iCs/>
                <w:color w:val="000000"/>
                <w:sz w:val="20"/>
                <w:szCs w:val="20"/>
              </w:rPr>
            </w:pPr>
            <w:r w:rsidRPr="00C929AE">
              <w:rPr>
                <w:b/>
                <w:bCs/>
                <w:i/>
                <w:iCs/>
                <w:color w:val="000000"/>
                <w:sz w:val="20"/>
                <w:szCs w:val="20"/>
              </w:rPr>
              <w:t>A.</w:t>
            </w:r>
            <w:r>
              <w:rPr>
                <w:b/>
                <w:bCs/>
                <w:i/>
                <w:iCs/>
                <w:color w:val="000000"/>
                <w:sz w:val="20"/>
                <w:szCs w:val="20"/>
              </w:rPr>
              <w:t xml:space="preserve"> </w:t>
            </w:r>
            <w:r w:rsidRPr="00C929AE">
              <w:rPr>
                <w:b/>
                <w:bCs/>
                <w:i/>
                <w:iCs/>
                <w:color w:val="000000"/>
                <w:sz w:val="20"/>
                <w:szCs w:val="20"/>
              </w:rPr>
              <w:t xml:space="preserve">Dane, odvody, clá a poplatky, ktorých cieľom je znižovať negatívne </w:t>
            </w:r>
            <w:proofErr w:type="spellStart"/>
            <w:r w:rsidRPr="00C929AE">
              <w:rPr>
                <w:b/>
                <w:bCs/>
                <w:i/>
                <w:iCs/>
                <w:color w:val="000000"/>
                <w:sz w:val="20"/>
                <w:szCs w:val="20"/>
              </w:rPr>
              <w:t>externality</w:t>
            </w:r>
            <w:proofErr w:type="spellEnd"/>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743BF4A" w14:textId="77777777" w:rsidR="00B90F24" w:rsidRPr="00C929AE" w:rsidRDefault="00B90F24" w:rsidP="00FC031F">
            <w:pPr>
              <w:jc w:val="center"/>
              <w:rPr>
                <w:b/>
                <w:bCs/>
                <w:color w:val="000000"/>
                <w:sz w:val="20"/>
                <w:szCs w:val="20"/>
              </w:rPr>
            </w:pPr>
            <w:r>
              <w:rPr>
                <w:b/>
                <w:bCs/>
                <w:color w:val="000000"/>
                <w:sz w:val="20"/>
                <w:szCs w:val="20"/>
              </w:rPr>
              <w:t>0</w:t>
            </w:r>
            <w:r w:rsidRPr="00C929AE">
              <w:rPr>
                <w:b/>
                <w:bCs/>
                <w:color w:val="000000"/>
                <w:sz w:val="20"/>
                <w:szCs w:val="20"/>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5D0E5DE9" w14:textId="77777777" w:rsidR="00B90F24" w:rsidRPr="00C929AE" w:rsidRDefault="00B90F24" w:rsidP="00FC031F">
            <w:pPr>
              <w:jc w:val="center"/>
              <w:rPr>
                <w:b/>
                <w:bCs/>
                <w:color w:val="000000"/>
                <w:sz w:val="20"/>
                <w:szCs w:val="20"/>
              </w:rPr>
            </w:pPr>
            <w:r>
              <w:rPr>
                <w:b/>
                <w:bCs/>
                <w:color w:val="000000"/>
                <w:sz w:val="20"/>
                <w:szCs w:val="20"/>
              </w:rPr>
              <w:t>0</w:t>
            </w:r>
            <w:r w:rsidRPr="00C929AE">
              <w:rPr>
                <w:b/>
                <w:bCs/>
                <w:color w:val="000000"/>
                <w:sz w:val="20"/>
                <w:szCs w:val="20"/>
              </w:rPr>
              <w:t> </w:t>
            </w:r>
          </w:p>
        </w:tc>
      </w:tr>
      <w:tr w:rsidR="00B90F24" w:rsidRPr="00C929AE" w14:paraId="34629A52" w14:textId="77777777" w:rsidTr="00FC031F">
        <w:trPr>
          <w:gridAfter w:val="2"/>
          <w:wAfter w:w="583" w:type="dxa"/>
          <w:trHeight w:val="420"/>
        </w:trPr>
        <w:tc>
          <w:tcPr>
            <w:tcW w:w="146" w:type="dxa"/>
            <w:tcBorders>
              <w:top w:val="nil"/>
              <w:left w:val="nil"/>
              <w:bottom w:val="nil"/>
              <w:right w:val="nil"/>
            </w:tcBorders>
            <w:shd w:val="clear" w:color="auto" w:fill="auto"/>
            <w:noWrap/>
            <w:vAlign w:val="bottom"/>
            <w:hideMark/>
          </w:tcPr>
          <w:p w14:paraId="23531F43" w14:textId="77777777" w:rsidR="00B90F24" w:rsidRPr="00C929AE" w:rsidRDefault="00B90F24" w:rsidP="00FC031F">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6E301CA" w14:textId="77777777" w:rsidR="00B90F24" w:rsidRPr="00C929AE" w:rsidRDefault="00B90F24" w:rsidP="00FC031F">
            <w:pPr>
              <w:rPr>
                <w:b/>
                <w:bCs/>
                <w:i/>
                <w:iCs/>
                <w:color w:val="000000"/>
                <w:sz w:val="20"/>
                <w:szCs w:val="20"/>
              </w:rPr>
            </w:pPr>
            <w:r w:rsidRPr="00C929AE">
              <w:rPr>
                <w:b/>
                <w:bCs/>
                <w:i/>
                <w:iCs/>
                <w:color w:val="000000"/>
                <w:sz w:val="20"/>
                <w:szCs w:val="20"/>
              </w:rPr>
              <w:t xml:space="preserve">B. Iné </w:t>
            </w:r>
            <w:r w:rsidRPr="00952CF6">
              <w:rPr>
                <w:b/>
                <w:bCs/>
                <w:i/>
                <w:iCs/>
                <w:color w:val="000000"/>
                <w:sz w:val="20"/>
                <w:szCs w:val="20"/>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DC881EB" w14:textId="77777777" w:rsidR="00B90F24" w:rsidRPr="00C929AE" w:rsidRDefault="00B90F24" w:rsidP="00FC031F">
            <w:pPr>
              <w:jc w:val="center"/>
              <w:rPr>
                <w:b/>
                <w:bCs/>
                <w:color w:val="000000"/>
                <w:sz w:val="20"/>
                <w:szCs w:val="20"/>
              </w:rPr>
            </w:pPr>
            <w:r w:rsidRPr="00C929AE">
              <w:rPr>
                <w:b/>
                <w:bCs/>
                <w:color w:val="000000"/>
                <w:sz w:val="20"/>
                <w:szCs w:val="20"/>
              </w:rPr>
              <w:t> </w:t>
            </w:r>
            <w:r>
              <w:rPr>
                <w:b/>
                <w:bCs/>
                <w:color w:val="000000"/>
                <w:sz w:val="20"/>
                <w:szCs w:val="20"/>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02CDE8C" w14:textId="77777777" w:rsidR="00B90F24" w:rsidRPr="00C929AE" w:rsidRDefault="00B90F24" w:rsidP="00FC031F">
            <w:pPr>
              <w:jc w:val="center"/>
              <w:rPr>
                <w:b/>
                <w:bCs/>
                <w:color w:val="000000"/>
                <w:sz w:val="20"/>
                <w:szCs w:val="20"/>
              </w:rPr>
            </w:pPr>
            <w:r>
              <w:rPr>
                <w:b/>
                <w:bCs/>
                <w:color w:val="000000"/>
                <w:sz w:val="20"/>
                <w:szCs w:val="20"/>
              </w:rPr>
              <w:t>0</w:t>
            </w:r>
            <w:r w:rsidRPr="00C929AE">
              <w:rPr>
                <w:b/>
                <w:bCs/>
                <w:color w:val="000000"/>
                <w:sz w:val="20"/>
                <w:szCs w:val="20"/>
              </w:rPr>
              <w:t> </w:t>
            </w:r>
          </w:p>
        </w:tc>
      </w:tr>
      <w:tr w:rsidR="00B90F24" w:rsidRPr="00C929AE" w14:paraId="5FE50AFA" w14:textId="77777777" w:rsidTr="00FC031F">
        <w:trPr>
          <w:gridAfter w:val="2"/>
          <w:wAfter w:w="583" w:type="dxa"/>
          <w:trHeight w:val="435"/>
        </w:trPr>
        <w:tc>
          <w:tcPr>
            <w:tcW w:w="146" w:type="dxa"/>
            <w:tcBorders>
              <w:top w:val="nil"/>
              <w:left w:val="nil"/>
              <w:bottom w:val="nil"/>
              <w:right w:val="nil"/>
            </w:tcBorders>
            <w:shd w:val="clear" w:color="auto" w:fill="auto"/>
            <w:noWrap/>
            <w:vAlign w:val="bottom"/>
            <w:hideMark/>
          </w:tcPr>
          <w:p w14:paraId="45C70020" w14:textId="77777777" w:rsidR="00B90F24" w:rsidRPr="00C929AE" w:rsidRDefault="00B90F24" w:rsidP="00FC031F">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7E5C9846" w14:textId="77777777" w:rsidR="00B90F24" w:rsidRPr="00C929AE" w:rsidRDefault="00B90F24" w:rsidP="00FC031F">
            <w:pPr>
              <w:rPr>
                <w:b/>
                <w:bCs/>
                <w:i/>
                <w:iCs/>
                <w:color w:val="000000"/>
                <w:sz w:val="20"/>
                <w:szCs w:val="20"/>
              </w:rPr>
            </w:pPr>
            <w:r w:rsidRPr="00C929AE">
              <w:rPr>
                <w:b/>
                <w:bCs/>
                <w:i/>
                <w:iCs/>
                <w:color w:val="000000"/>
                <w:sz w:val="20"/>
                <w:szCs w:val="20"/>
              </w:rPr>
              <w:t>C.</w:t>
            </w:r>
            <w:r>
              <w:rPr>
                <w:b/>
                <w:bCs/>
                <w:i/>
                <w:iCs/>
                <w:color w:val="000000"/>
                <w:sz w:val="20"/>
                <w:szCs w:val="20"/>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414AAEAA" w14:textId="77777777" w:rsidR="00B90F24" w:rsidRPr="00C929AE" w:rsidRDefault="00B90F24" w:rsidP="00FC031F">
            <w:pPr>
              <w:jc w:val="center"/>
              <w:rPr>
                <w:b/>
                <w:bCs/>
                <w:color w:val="000000"/>
                <w:sz w:val="20"/>
                <w:szCs w:val="20"/>
              </w:rPr>
            </w:pPr>
            <w:r w:rsidRPr="00C929AE">
              <w:rPr>
                <w:b/>
                <w:bCs/>
                <w:color w:val="000000"/>
                <w:sz w:val="20"/>
                <w:szCs w:val="20"/>
              </w:rPr>
              <w:t> </w:t>
            </w:r>
            <w:r>
              <w:rPr>
                <w:b/>
                <w:bCs/>
                <w:color w:val="000000"/>
                <w:sz w:val="20"/>
                <w:szCs w:val="20"/>
              </w:rPr>
              <w:t>8 044</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91B85B3" w14:textId="77777777" w:rsidR="00B90F24" w:rsidRPr="00C929AE" w:rsidRDefault="00B90F24" w:rsidP="00FC031F">
            <w:pPr>
              <w:jc w:val="center"/>
              <w:rPr>
                <w:b/>
                <w:bCs/>
                <w:color w:val="000000"/>
                <w:sz w:val="20"/>
                <w:szCs w:val="20"/>
              </w:rPr>
            </w:pPr>
            <w:r>
              <w:rPr>
                <w:b/>
                <w:bCs/>
                <w:color w:val="000000"/>
                <w:sz w:val="20"/>
                <w:szCs w:val="20"/>
              </w:rPr>
              <w:t>0</w:t>
            </w:r>
            <w:r w:rsidRPr="00C929AE">
              <w:rPr>
                <w:b/>
                <w:bCs/>
                <w:color w:val="000000"/>
                <w:sz w:val="20"/>
                <w:szCs w:val="20"/>
              </w:rPr>
              <w:t> </w:t>
            </w:r>
          </w:p>
        </w:tc>
      </w:tr>
      <w:tr w:rsidR="00B90F24" w:rsidRPr="00C929AE" w14:paraId="3795C029" w14:textId="77777777" w:rsidTr="00FC031F">
        <w:trPr>
          <w:gridAfter w:val="2"/>
          <w:wAfter w:w="583" w:type="dxa"/>
          <w:trHeight w:val="480"/>
        </w:trPr>
        <w:tc>
          <w:tcPr>
            <w:tcW w:w="146" w:type="dxa"/>
            <w:tcBorders>
              <w:top w:val="nil"/>
              <w:left w:val="nil"/>
              <w:bottom w:val="nil"/>
              <w:right w:val="nil"/>
            </w:tcBorders>
            <w:shd w:val="clear" w:color="auto" w:fill="auto"/>
            <w:noWrap/>
            <w:vAlign w:val="bottom"/>
            <w:hideMark/>
          </w:tcPr>
          <w:p w14:paraId="70E308B0" w14:textId="77777777" w:rsidR="00B90F24" w:rsidRPr="00C929AE" w:rsidRDefault="00B90F24" w:rsidP="00FC031F">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0D1290B" w14:textId="77777777" w:rsidR="00B90F24" w:rsidRPr="00C929AE" w:rsidRDefault="00B90F24" w:rsidP="00FC031F">
            <w:pPr>
              <w:rPr>
                <w:b/>
                <w:bCs/>
                <w:i/>
                <w:iCs/>
                <w:color w:val="000000"/>
                <w:sz w:val="20"/>
                <w:szCs w:val="20"/>
              </w:rPr>
            </w:pPr>
            <w:r w:rsidRPr="00E961E8">
              <w:rPr>
                <w:b/>
                <w:bCs/>
                <w:i/>
                <w:iCs/>
                <w:color w:val="000000"/>
                <w:sz w:val="20"/>
                <w:szCs w:val="20"/>
              </w:rPr>
              <w:t xml:space="preserve">D. </w:t>
            </w:r>
            <w:r>
              <w:rPr>
                <w:b/>
                <w:bCs/>
                <w:i/>
                <w:iCs/>
                <w:color w:val="000000"/>
                <w:sz w:val="20"/>
                <w:szCs w:val="20"/>
              </w:rPr>
              <w:t xml:space="preserve">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320746D" w14:textId="77777777" w:rsidR="00B90F24" w:rsidRPr="00C929AE" w:rsidRDefault="00B90F24" w:rsidP="00FC031F">
            <w:pPr>
              <w:jc w:val="center"/>
              <w:rPr>
                <w:b/>
                <w:bCs/>
                <w:color w:val="000000"/>
                <w:sz w:val="20"/>
                <w:szCs w:val="20"/>
              </w:rPr>
            </w:pPr>
            <w:r>
              <w:rPr>
                <w:b/>
                <w:bCs/>
                <w:color w:val="000000"/>
                <w:sz w:val="20"/>
                <w:szCs w:val="20"/>
              </w:rPr>
              <w:t>0</w:t>
            </w:r>
            <w:r w:rsidRPr="00C929AE">
              <w:rPr>
                <w:b/>
                <w:bCs/>
                <w:color w:val="000000"/>
                <w:sz w:val="20"/>
                <w:szCs w:val="20"/>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F1F1C84" w14:textId="77777777" w:rsidR="00B90F24" w:rsidRPr="00C929AE" w:rsidRDefault="00B90F24" w:rsidP="00FC031F">
            <w:pPr>
              <w:jc w:val="center"/>
              <w:rPr>
                <w:b/>
                <w:bCs/>
                <w:color w:val="000000"/>
                <w:sz w:val="20"/>
                <w:szCs w:val="20"/>
              </w:rPr>
            </w:pPr>
            <w:r>
              <w:rPr>
                <w:b/>
                <w:bCs/>
                <w:color w:val="000000"/>
                <w:sz w:val="20"/>
                <w:szCs w:val="20"/>
              </w:rPr>
              <w:t>0</w:t>
            </w:r>
            <w:r w:rsidRPr="00C929AE">
              <w:rPr>
                <w:b/>
                <w:bCs/>
                <w:color w:val="000000"/>
                <w:sz w:val="20"/>
                <w:szCs w:val="20"/>
              </w:rPr>
              <w:t> </w:t>
            </w:r>
          </w:p>
        </w:tc>
      </w:tr>
      <w:tr w:rsidR="00B90F24" w:rsidRPr="00C929AE" w14:paraId="3B554340" w14:textId="77777777" w:rsidTr="00FC031F">
        <w:trPr>
          <w:gridAfter w:val="2"/>
          <w:wAfter w:w="583" w:type="dxa"/>
          <w:trHeight w:val="480"/>
        </w:trPr>
        <w:tc>
          <w:tcPr>
            <w:tcW w:w="146" w:type="dxa"/>
            <w:tcBorders>
              <w:top w:val="nil"/>
              <w:left w:val="nil"/>
              <w:bottom w:val="nil"/>
              <w:right w:val="nil"/>
            </w:tcBorders>
            <w:shd w:val="clear" w:color="auto" w:fill="auto"/>
            <w:noWrap/>
            <w:vAlign w:val="bottom"/>
          </w:tcPr>
          <w:p w14:paraId="06F9A4F6" w14:textId="77777777" w:rsidR="00B90F24" w:rsidRPr="00C929AE" w:rsidRDefault="00B90F24" w:rsidP="00FC031F">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323A3075" w14:textId="77777777" w:rsidR="00B90F24" w:rsidRPr="00C929AE" w:rsidRDefault="00B90F24" w:rsidP="00FC031F">
            <w:pPr>
              <w:rPr>
                <w:b/>
                <w:bCs/>
                <w:i/>
                <w:iCs/>
                <w:color w:val="000000"/>
                <w:sz w:val="20"/>
                <w:szCs w:val="20"/>
              </w:rPr>
            </w:pPr>
            <w:r>
              <w:rPr>
                <w:b/>
                <w:bCs/>
                <w:i/>
                <w:iCs/>
                <w:color w:val="000000"/>
                <w:sz w:val="20"/>
                <w:szCs w:val="20"/>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7D61D017" w14:textId="77777777" w:rsidR="00B90F24" w:rsidRPr="00C929AE" w:rsidRDefault="00B90F24" w:rsidP="00FC031F">
            <w:pPr>
              <w:jc w:val="center"/>
              <w:rPr>
                <w:b/>
                <w:bCs/>
                <w:color w:val="000000"/>
                <w:sz w:val="20"/>
                <w:szCs w:val="20"/>
              </w:rPr>
            </w:pPr>
            <w:r>
              <w:rPr>
                <w:b/>
                <w:bCs/>
                <w:color w:val="000000"/>
                <w:sz w:val="20"/>
                <w:szCs w:val="20"/>
              </w:rPr>
              <w:t>849 054</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2C790F86" w14:textId="77777777" w:rsidR="00B90F24" w:rsidRPr="00C929AE" w:rsidRDefault="00B90F24" w:rsidP="00FC031F">
            <w:pPr>
              <w:jc w:val="center"/>
              <w:rPr>
                <w:b/>
                <w:bCs/>
                <w:color w:val="000000"/>
                <w:sz w:val="20"/>
                <w:szCs w:val="20"/>
              </w:rPr>
            </w:pPr>
            <w:r>
              <w:rPr>
                <w:b/>
                <w:bCs/>
                <w:color w:val="000000"/>
                <w:sz w:val="20"/>
                <w:szCs w:val="20"/>
              </w:rPr>
              <w:t>0</w:t>
            </w:r>
          </w:p>
        </w:tc>
      </w:tr>
      <w:tr w:rsidR="00B90F24" w:rsidRPr="00C929AE" w14:paraId="4B0952EE" w14:textId="77777777" w:rsidTr="00FC031F">
        <w:trPr>
          <w:gridAfter w:val="2"/>
          <w:wAfter w:w="583" w:type="dxa"/>
          <w:trHeight w:val="600"/>
        </w:trPr>
        <w:tc>
          <w:tcPr>
            <w:tcW w:w="146" w:type="dxa"/>
            <w:tcBorders>
              <w:top w:val="nil"/>
              <w:left w:val="nil"/>
              <w:bottom w:val="nil"/>
              <w:right w:val="nil"/>
            </w:tcBorders>
            <w:shd w:val="clear" w:color="auto" w:fill="auto"/>
            <w:noWrap/>
            <w:vAlign w:val="bottom"/>
            <w:hideMark/>
          </w:tcPr>
          <w:p w14:paraId="5101B13C" w14:textId="77777777" w:rsidR="00B90F24" w:rsidRPr="00C929AE" w:rsidRDefault="00B90F24" w:rsidP="00FC031F">
            <w:pPr>
              <w:rPr>
                <w:color w:val="000000"/>
                <w:sz w:val="20"/>
                <w:szCs w:val="20"/>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48F93379" w14:textId="77777777" w:rsidR="00B90F24" w:rsidRPr="00C929AE" w:rsidRDefault="00B90F24" w:rsidP="00FC031F">
            <w:pPr>
              <w:rPr>
                <w:b/>
                <w:bCs/>
                <w:i/>
                <w:iCs/>
                <w:color w:val="000000"/>
                <w:sz w:val="20"/>
                <w:szCs w:val="20"/>
              </w:rPr>
            </w:pPr>
            <w:r w:rsidRPr="00C929AE">
              <w:rPr>
                <w:b/>
                <w:bCs/>
                <w:i/>
                <w:iCs/>
                <w:color w:val="000000"/>
                <w:sz w:val="20"/>
                <w:szCs w:val="20"/>
              </w:rPr>
              <w:t>Spolu = A+B+C+D</w:t>
            </w:r>
            <w:r w:rsidRPr="00E961E8">
              <w:rPr>
                <w:b/>
                <w:bCs/>
                <w:i/>
                <w:iCs/>
                <w:color w:val="000000"/>
                <w:sz w:val="20"/>
                <w:szCs w:val="20"/>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1B387948" w14:textId="77777777" w:rsidR="00B90F24" w:rsidRPr="00C929AE" w:rsidRDefault="00B90F24" w:rsidP="00FC031F">
            <w:pPr>
              <w:jc w:val="center"/>
              <w:rPr>
                <w:b/>
                <w:bCs/>
                <w:color w:val="000000"/>
                <w:sz w:val="20"/>
                <w:szCs w:val="20"/>
              </w:rPr>
            </w:pPr>
            <w:r w:rsidRPr="00C929AE">
              <w:rPr>
                <w:b/>
                <w:bCs/>
                <w:color w:val="000000"/>
                <w:sz w:val="20"/>
                <w:szCs w:val="20"/>
              </w:rPr>
              <w:t> </w:t>
            </w:r>
            <w:r>
              <w:rPr>
                <w:b/>
                <w:bCs/>
                <w:color w:val="000000"/>
                <w:sz w:val="20"/>
                <w:szCs w:val="20"/>
              </w:rPr>
              <w:t>857 098</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60918E34" w14:textId="77777777" w:rsidR="00B90F24" w:rsidRPr="00C929AE" w:rsidRDefault="00B90F24" w:rsidP="00FC031F">
            <w:pPr>
              <w:jc w:val="center"/>
              <w:rPr>
                <w:b/>
                <w:bCs/>
                <w:color w:val="000000"/>
                <w:sz w:val="20"/>
                <w:szCs w:val="20"/>
              </w:rPr>
            </w:pPr>
            <w:r w:rsidRPr="00C929AE">
              <w:rPr>
                <w:b/>
                <w:bCs/>
                <w:color w:val="000000"/>
                <w:sz w:val="20"/>
                <w:szCs w:val="20"/>
              </w:rPr>
              <w:t> </w:t>
            </w:r>
            <w:r>
              <w:rPr>
                <w:b/>
                <w:bCs/>
                <w:color w:val="000000"/>
                <w:sz w:val="20"/>
                <w:szCs w:val="20"/>
              </w:rPr>
              <w:t>0</w:t>
            </w:r>
          </w:p>
        </w:tc>
      </w:tr>
      <w:tr w:rsidR="00B90F24" w:rsidRPr="00C929AE" w14:paraId="6018E1E8" w14:textId="77777777" w:rsidTr="00FC031F">
        <w:trPr>
          <w:trHeight w:val="270"/>
        </w:trPr>
        <w:tc>
          <w:tcPr>
            <w:tcW w:w="146" w:type="dxa"/>
            <w:tcBorders>
              <w:top w:val="nil"/>
              <w:left w:val="nil"/>
              <w:bottom w:val="nil"/>
              <w:right w:val="nil"/>
            </w:tcBorders>
            <w:shd w:val="clear" w:color="auto" w:fill="auto"/>
            <w:noWrap/>
            <w:vAlign w:val="bottom"/>
            <w:hideMark/>
          </w:tcPr>
          <w:p w14:paraId="3FBF5FD5" w14:textId="77777777" w:rsidR="00B90F24" w:rsidRPr="00C929AE" w:rsidRDefault="00B90F24" w:rsidP="00FC031F">
            <w:pPr>
              <w:rPr>
                <w:color w:val="000000"/>
                <w:sz w:val="20"/>
                <w:szCs w:val="20"/>
              </w:rPr>
            </w:pPr>
          </w:p>
        </w:tc>
        <w:tc>
          <w:tcPr>
            <w:tcW w:w="3540" w:type="dxa"/>
            <w:tcBorders>
              <w:top w:val="nil"/>
              <w:left w:val="nil"/>
              <w:bottom w:val="nil"/>
              <w:right w:val="nil"/>
            </w:tcBorders>
            <w:shd w:val="clear" w:color="auto" w:fill="auto"/>
            <w:noWrap/>
            <w:vAlign w:val="bottom"/>
            <w:hideMark/>
          </w:tcPr>
          <w:p w14:paraId="2BCC5362" w14:textId="77777777" w:rsidR="00B90F24" w:rsidRPr="00C929AE" w:rsidRDefault="00B90F24" w:rsidP="00FC031F">
            <w:pPr>
              <w:rPr>
                <w:color w:val="000000"/>
                <w:sz w:val="20"/>
                <w:szCs w:val="20"/>
              </w:rPr>
            </w:pPr>
          </w:p>
        </w:tc>
        <w:tc>
          <w:tcPr>
            <w:tcW w:w="2792" w:type="dxa"/>
            <w:gridSpan w:val="2"/>
            <w:tcBorders>
              <w:top w:val="nil"/>
              <w:left w:val="nil"/>
              <w:bottom w:val="nil"/>
              <w:right w:val="nil"/>
            </w:tcBorders>
            <w:shd w:val="clear" w:color="auto" w:fill="auto"/>
            <w:vAlign w:val="center"/>
            <w:hideMark/>
          </w:tcPr>
          <w:p w14:paraId="58A7AABF" w14:textId="77777777" w:rsidR="00B90F24" w:rsidRPr="00C929AE" w:rsidRDefault="00B90F24" w:rsidP="00FC031F">
            <w:pPr>
              <w:rPr>
                <w:i/>
                <w:iCs/>
                <w:color w:val="000000"/>
                <w:sz w:val="20"/>
                <w:szCs w:val="20"/>
              </w:rPr>
            </w:pPr>
          </w:p>
        </w:tc>
        <w:tc>
          <w:tcPr>
            <w:tcW w:w="160" w:type="dxa"/>
            <w:tcBorders>
              <w:top w:val="nil"/>
              <w:left w:val="nil"/>
              <w:bottom w:val="nil"/>
              <w:right w:val="nil"/>
            </w:tcBorders>
            <w:shd w:val="clear" w:color="auto" w:fill="auto"/>
            <w:vAlign w:val="center"/>
            <w:hideMark/>
          </w:tcPr>
          <w:p w14:paraId="334E3A8D" w14:textId="77777777" w:rsidR="00B90F24" w:rsidRPr="00C929AE" w:rsidRDefault="00B90F24" w:rsidP="00FC031F">
            <w:pPr>
              <w:rPr>
                <w:i/>
                <w:iCs/>
                <w:color w:val="000000"/>
                <w:sz w:val="20"/>
                <w:szCs w:val="20"/>
              </w:rPr>
            </w:pPr>
          </w:p>
        </w:tc>
        <w:tc>
          <w:tcPr>
            <w:tcW w:w="2716" w:type="dxa"/>
            <w:gridSpan w:val="2"/>
            <w:tcBorders>
              <w:top w:val="nil"/>
              <w:left w:val="nil"/>
              <w:bottom w:val="nil"/>
              <w:right w:val="nil"/>
            </w:tcBorders>
            <w:shd w:val="clear" w:color="auto" w:fill="auto"/>
            <w:vAlign w:val="center"/>
            <w:hideMark/>
          </w:tcPr>
          <w:p w14:paraId="5B2912E8" w14:textId="77777777" w:rsidR="00B90F24" w:rsidRPr="00C929AE" w:rsidRDefault="00B90F24" w:rsidP="00FC031F">
            <w:pPr>
              <w:rPr>
                <w:i/>
                <w:iCs/>
                <w:color w:val="000000"/>
                <w:sz w:val="20"/>
                <w:szCs w:val="20"/>
              </w:rPr>
            </w:pPr>
          </w:p>
        </w:tc>
        <w:tc>
          <w:tcPr>
            <w:tcW w:w="160" w:type="dxa"/>
            <w:tcBorders>
              <w:top w:val="nil"/>
              <w:left w:val="nil"/>
              <w:bottom w:val="nil"/>
              <w:right w:val="nil"/>
            </w:tcBorders>
            <w:shd w:val="clear" w:color="auto" w:fill="auto"/>
            <w:vAlign w:val="center"/>
            <w:hideMark/>
          </w:tcPr>
          <w:p w14:paraId="51C72665" w14:textId="77777777" w:rsidR="00B90F24" w:rsidRPr="00C929AE" w:rsidRDefault="00B90F24" w:rsidP="00FC031F">
            <w:pPr>
              <w:rPr>
                <w:i/>
                <w:iCs/>
                <w:color w:val="000000"/>
                <w:sz w:val="20"/>
                <w:szCs w:val="20"/>
              </w:rPr>
            </w:pPr>
          </w:p>
        </w:tc>
      </w:tr>
      <w:tr w:rsidR="00B90F24" w:rsidRPr="00C929AE" w14:paraId="761CDFB8" w14:textId="77777777" w:rsidTr="00FC031F">
        <w:trPr>
          <w:gridAfter w:val="2"/>
          <w:wAfter w:w="583" w:type="dxa"/>
          <w:trHeight w:val="412"/>
        </w:trPr>
        <w:tc>
          <w:tcPr>
            <w:tcW w:w="146" w:type="dxa"/>
            <w:tcBorders>
              <w:top w:val="nil"/>
              <w:left w:val="nil"/>
              <w:bottom w:val="nil"/>
              <w:right w:val="nil"/>
            </w:tcBorders>
            <w:shd w:val="clear" w:color="auto" w:fill="auto"/>
            <w:noWrap/>
            <w:vAlign w:val="bottom"/>
            <w:hideMark/>
          </w:tcPr>
          <w:p w14:paraId="359F6CBB" w14:textId="77777777" w:rsidR="00B90F24" w:rsidRPr="00C929AE" w:rsidRDefault="00B90F24" w:rsidP="00FC031F">
            <w:pPr>
              <w:rPr>
                <w:color w:val="000000"/>
                <w:sz w:val="20"/>
                <w:szCs w:val="20"/>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01B078B" w14:textId="77777777" w:rsidR="00B90F24" w:rsidRPr="00C929AE" w:rsidRDefault="00B90F24" w:rsidP="00FC031F">
            <w:pPr>
              <w:rPr>
                <w:i/>
                <w:iCs/>
                <w:color w:val="000000"/>
              </w:rPr>
            </w:pPr>
            <w:r w:rsidRPr="00C929AE">
              <w:rPr>
                <w:i/>
                <w:iCs/>
                <w:color w:val="000000"/>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67FD2F84" w14:textId="77777777" w:rsidR="00B90F24" w:rsidRPr="00C929AE" w:rsidRDefault="00B90F24" w:rsidP="00FC031F">
            <w:pPr>
              <w:jc w:val="center"/>
              <w:rPr>
                <w:b/>
                <w:bCs/>
                <w:color w:val="000000"/>
                <w:sz w:val="20"/>
                <w:szCs w:val="20"/>
              </w:rPr>
            </w:pPr>
            <w:r w:rsidRPr="00C929AE">
              <w:rPr>
                <w:b/>
                <w:bCs/>
                <w:color w:val="000000"/>
                <w:sz w:val="20"/>
                <w:szCs w:val="20"/>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7714DADA" w14:textId="77777777" w:rsidR="00B90F24" w:rsidRPr="00C929AE" w:rsidRDefault="00B90F24" w:rsidP="00FC031F">
            <w:pPr>
              <w:jc w:val="center"/>
              <w:rPr>
                <w:b/>
                <w:bCs/>
                <w:color w:val="000000"/>
                <w:sz w:val="20"/>
                <w:szCs w:val="20"/>
              </w:rPr>
            </w:pPr>
            <w:r w:rsidRPr="00C929AE">
              <w:rPr>
                <w:b/>
                <w:bCs/>
                <w:color w:val="000000"/>
                <w:sz w:val="20"/>
                <w:szCs w:val="20"/>
              </w:rPr>
              <w:t>Zníženie nákladov v € na PP</w:t>
            </w:r>
          </w:p>
        </w:tc>
      </w:tr>
      <w:tr w:rsidR="00B90F24" w:rsidRPr="00C929AE" w14:paraId="1EEFED7A" w14:textId="77777777" w:rsidTr="00FC031F">
        <w:trPr>
          <w:gridAfter w:val="2"/>
          <w:wAfter w:w="583" w:type="dxa"/>
          <w:trHeight w:val="840"/>
        </w:trPr>
        <w:tc>
          <w:tcPr>
            <w:tcW w:w="146" w:type="dxa"/>
            <w:tcBorders>
              <w:top w:val="nil"/>
              <w:left w:val="nil"/>
              <w:bottom w:val="nil"/>
              <w:right w:val="nil"/>
            </w:tcBorders>
            <w:shd w:val="clear" w:color="auto" w:fill="auto"/>
            <w:noWrap/>
            <w:vAlign w:val="bottom"/>
            <w:hideMark/>
          </w:tcPr>
          <w:p w14:paraId="4CBF7FDE" w14:textId="77777777" w:rsidR="00B90F24" w:rsidRPr="00C929AE" w:rsidRDefault="00B90F24" w:rsidP="00FC031F">
            <w:pPr>
              <w:rPr>
                <w:color w:val="000000"/>
                <w:sz w:val="20"/>
                <w:szCs w:val="20"/>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69994262" w14:textId="77777777" w:rsidR="00B90F24" w:rsidRPr="00C929AE" w:rsidRDefault="00B90F24" w:rsidP="00FC031F">
            <w:pPr>
              <w:rPr>
                <w:b/>
                <w:bCs/>
                <w:i/>
                <w:iCs/>
                <w:color w:val="000000"/>
                <w:sz w:val="20"/>
                <w:szCs w:val="20"/>
              </w:rPr>
            </w:pPr>
            <w:r>
              <w:rPr>
                <w:b/>
                <w:bCs/>
                <w:i/>
                <w:iCs/>
                <w:color w:val="000000"/>
                <w:sz w:val="20"/>
                <w:szCs w:val="20"/>
              </w:rPr>
              <w:t>F</w:t>
            </w:r>
            <w:r w:rsidRPr="00C929AE">
              <w:rPr>
                <w:b/>
                <w:bCs/>
                <w:i/>
                <w:iCs/>
                <w:color w:val="000000"/>
                <w:sz w:val="20"/>
                <w:szCs w:val="20"/>
              </w:rPr>
              <w:t>. Úplná harmonizácia práva EÚ</w:t>
            </w:r>
            <w:r w:rsidRPr="00C929AE">
              <w:rPr>
                <w:b/>
                <w:bCs/>
                <w:i/>
                <w:iCs/>
                <w:color w:val="000000"/>
                <w:sz w:val="20"/>
                <w:szCs w:val="20"/>
              </w:rPr>
              <w:br/>
            </w:r>
            <w:r w:rsidRPr="00C929AE">
              <w:rPr>
                <w:i/>
                <w:iCs/>
                <w:color w:val="000000"/>
                <w:sz w:val="16"/>
                <w:szCs w:val="16"/>
              </w:rPr>
              <w:t xml:space="preserve">(okrem daní, odvodov, ciel a poplatkov, ktorých cieľom je znižovať negatívne </w:t>
            </w:r>
            <w:proofErr w:type="spellStart"/>
            <w:r w:rsidRPr="00C929AE">
              <w:rPr>
                <w:i/>
                <w:iCs/>
                <w:color w:val="000000"/>
                <w:sz w:val="16"/>
                <w:szCs w:val="16"/>
              </w:rPr>
              <w:t>externality</w:t>
            </w:r>
            <w:proofErr w:type="spellEnd"/>
            <w:r w:rsidRPr="00C929AE">
              <w:rPr>
                <w:i/>
                <w:iCs/>
                <w:color w:val="000000"/>
                <w:sz w:val="16"/>
                <w:szCs w:val="16"/>
              </w:rPr>
              <w:t>)</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794A888" w14:textId="77777777" w:rsidR="00B90F24" w:rsidRPr="00C929AE" w:rsidRDefault="00B90F24" w:rsidP="00FC031F">
            <w:pPr>
              <w:jc w:val="center"/>
              <w:rPr>
                <w:b/>
                <w:bCs/>
                <w:color w:val="000000"/>
                <w:sz w:val="20"/>
                <w:szCs w:val="20"/>
              </w:rPr>
            </w:pPr>
            <w:r w:rsidRPr="00C929AE">
              <w:rPr>
                <w:b/>
                <w:bCs/>
                <w:color w:val="000000"/>
                <w:sz w:val="20"/>
                <w:szCs w:val="20"/>
              </w:rPr>
              <w:t> </w:t>
            </w:r>
            <w:r>
              <w:rPr>
                <w:b/>
                <w:bCs/>
                <w:color w:val="000000"/>
                <w:sz w:val="20"/>
                <w:szCs w:val="20"/>
              </w:rPr>
              <w:t>857 098</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5D1237B4" w14:textId="77777777" w:rsidR="00B90F24" w:rsidRPr="00C929AE" w:rsidRDefault="00B90F24" w:rsidP="00FC031F">
            <w:pPr>
              <w:jc w:val="center"/>
              <w:rPr>
                <w:b/>
                <w:bCs/>
                <w:color w:val="000000"/>
                <w:sz w:val="20"/>
                <w:szCs w:val="20"/>
              </w:rPr>
            </w:pPr>
            <w:r>
              <w:rPr>
                <w:b/>
                <w:bCs/>
                <w:color w:val="000000"/>
                <w:sz w:val="20"/>
                <w:szCs w:val="20"/>
              </w:rPr>
              <w:t>0</w:t>
            </w:r>
            <w:r w:rsidRPr="00C929AE">
              <w:rPr>
                <w:b/>
                <w:bCs/>
                <w:color w:val="000000"/>
                <w:sz w:val="20"/>
                <w:szCs w:val="20"/>
              </w:rPr>
              <w:t> </w:t>
            </w:r>
          </w:p>
        </w:tc>
      </w:tr>
      <w:tr w:rsidR="00B90F24" w:rsidRPr="00C929AE" w14:paraId="0F0B0565" w14:textId="77777777" w:rsidTr="00FC031F">
        <w:trPr>
          <w:gridAfter w:val="2"/>
          <w:wAfter w:w="583" w:type="dxa"/>
          <w:trHeight w:val="486"/>
        </w:trPr>
        <w:tc>
          <w:tcPr>
            <w:tcW w:w="146" w:type="dxa"/>
            <w:tcBorders>
              <w:top w:val="nil"/>
              <w:left w:val="nil"/>
              <w:bottom w:val="nil"/>
              <w:right w:val="nil"/>
            </w:tcBorders>
            <w:shd w:val="clear" w:color="auto" w:fill="auto"/>
            <w:noWrap/>
            <w:vAlign w:val="bottom"/>
            <w:hideMark/>
          </w:tcPr>
          <w:p w14:paraId="7576292C" w14:textId="77777777" w:rsidR="00B90F24" w:rsidRPr="00C929AE" w:rsidRDefault="00B90F24" w:rsidP="00FC031F">
            <w:pPr>
              <w:rPr>
                <w:color w:val="000000"/>
                <w:sz w:val="20"/>
                <w:szCs w:val="20"/>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5116849B" w14:textId="77777777" w:rsidR="00B90F24" w:rsidRPr="00C929AE" w:rsidRDefault="00B90F24" w:rsidP="00FC031F">
            <w:pPr>
              <w:rPr>
                <w:b/>
                <w:bCs/>
                <w:i/>
                <w:iCs/>
                <w:color w:val="000000"/>
                <w:sz w:val="20"/>
                <w:szCs w:val="20"/>
              </w:rPr>
            </w:pPr>
            <w:r>
              <w:rPr>
                <w:b/>
                <w:bCs/>
                <w:i/>
                <w:iCs/>
                <w:color w:val="000000"/>
                <w:sz w:val="20"/>
                <w:szCs w:val="20"/>
              </w:rPr>
              <w:t>G</w:t>
            </w:r>
            <w:r w:rsidRPr="00C929AE">
              <w:rPr>
                <w:b/>
                <w:bCs/>
                <w:i/>
                <w:iCs/>
                <w:color w:val="000000"/>
                <w:sz w:val="20"/>
                <w:szCs w:val="20"/>
              </w:rPr>
              <w:t xml:space="preserve">. </w:t>
            </w:r>
            <w:proofErr w:type="spellStart"/>
            <w:r w:rsidRPr="00C929AE">
              <w:rPr>
                <w:b/>
                <w:bCs/>
                <w:i/>
                <w:iCs/>
                <w:color w:val="000000"/>
                <w:sz w:val="20"/>
                <w:szCs w:val="20"/>
              </w:rPr>
              <w:t>Goldplating</w:t>
            </w:r>
            <w:proofErr w:type="spellEnd"/>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67E9FF74" w14:textId="77777777" w:rsidR="00B90F24" w:rsidRPr="00C929AE" w:rsidRDefault="00B90F24" w:rsidP="00FC031F">
            <w:pPr>
              <w:jc w:val="center"/>
              <w:rPr>
                <w:b/>
                <w:bCs/>
                <w:color w:val="000000"/>
                <w:sz w:val="20"/>
                <w:szCs w:val="20"/>
              </w:rPr>
            </w:pPr>
            <w:r>
              <w:rPr>
                <w:b/>
                <w:bCs/>
                <w:color w:val="000000"/>
                <w:sz w:val="20"/>
                <w:szCs w:val="20"/>
              </w:rPr>
              <w:t>0</w:t>
            </w:r>
            <w:r w:rsidRPr="00C929AE">
              <w:rPr>
                <w:b/>
                <w:bCs/>
                <w:color w:val="000000"/>
                <w:sz w:val="20"/>
                <w:szCs w:val="20"/>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16F9FA7B" w14:textId="77777777" w:rsidR="00B90F24" w:rsidRPr="00C929AE" w:rsidRDefault="00B90F24" w:rsidP="00FC031F">
            <w:pPr>
              <w:jc w:val="center"/>
              <w:rPr>
                <w:b/>
                <w:bCs/>
                <w:color w:val="000000"/>
                <w:sz w:val="20"/>
                <w:szCs w:val="20"/>
              </w:rPr>
            </w:pPr>
            <w:r w:rsidRPr="00C929AE">
              <w:rPr>
                <w:b/>
                <w:bCs/>
                <w:color w:val="000000"/>
                <w:sz w:val="20"/>
                <w:szCs w:val="20"/>
              </w:rPr>
              <w:t> </w:t>
            </w:r>
            <w:r>
              <w:rPr>
                <w:b/>
                <w:bCs/>
                <w:color w:val="000000"/>
                <w:sz w:val="20"/>
                <w:szCs w:val="20"/>
              </w:rPr>
              <w:t>0</w:t>
            </w:r>
          </w:p>
        </w:tc>
      </w:tr>
      <w:tr w:rsidR="00B90F24" w:rsidRPr="00C929AE" w14:paraId="0CC43816" w14:textId="77777777" w:rsidTr="00FC031F">
        <w:trPr>
          <w:trHeight w:val="360"/>
        </w:trPr>
        <w:tc>
          <w:tcPr>
            <w:tcW w:w="146" w:type="dxa"/>
            <w:tcBorders>
              <w:top w:val="nil"/>
              <w:left w:val="nil"/>
              <w:bottom w:val="nil"/>
              <w:right w:val="nil"/>
            </w:tcBorders>
            <w:shd w:val="clear" w:color="auto" w:fill="auto"/>
            <w:noWrap/>
            <w:vAlign w:val="bottom"/>
            <w:hideMark/>
          </w:tcPr>
          <w:p w14:paraId="34DABCD3" w14:textId="77777777" w:rsidR="00B90F24" w:rsidRPr="00C929AE" w:rsidRDefault="00B90F24" w:rsidP="00FC031F">
            <w:pPr>
              <w:rPr>
                <w:color w:val="000000"/>
                <w:sz w:val="20"/>
                <w:szCs w:val="20"/>
              </w:rPr>
            </w:pPr>
          </w:p>
        </w:tc>
        <w:tc>
          <w:tcPr>
            <w:tcW w:w="3540" w:type="dxa"/>
            <w:tcBorders>
              <w:top w:val="nil"/>
              <w:left w:val="nil"/>
              <w:bottom w:val="nil"/>
              <w:right w:val="nil"/>
            </w:tcBorders>
            <w:shd w:val="clear" w:color="auto" w:fill="auto"/>
            <w:noWrap/>
            <w:vAlign w:val="bottom"/>
            <w:hideMark/>
          </w:tcPr>
          <w:p w14:paraId="468AA8EB" w14:textId="77777777" w:rsidR="00B90F24" w:rsidRPr="00C929AE" w:rsidRDefault="00B90F24" w:rsidP="00FC031F">
            <w:pPr>
              <w:rPr>
                <w:color w:val="000000"/>
                <w:sz w:val="20"/>
                <w:szCs w:val="20"/>
              </w:rPr>
            </w:pPr>
          </w:p>
        </w:tc>
        <w:tc>
          <w:tcPr>
            <w:tcW w:w="2792" w:type="dxa"/>
            <w:gridSpan w:val="2"/>
            <w:tcBorders>
              <w:top w:val="nil"/>
              <w:left w:val="nil"/>
              <w:bottom w:val="nil"/>
              <w:right w:val="nil"/>
            </w:tcBorders>
            <w:shd w:val="clear" w:color="auto" w:fill="auto"/>
            <w:vAlign w:val="center"/>
            <w:hideMark/>
          </w:tcPr>
          <w:p w14:paraId="507F1709" w14:textId="77777777" w:rsidR="00B90F24" w:rsidRPr="00C929AE" w:rsidRDefault="00B90F24" w:rsidP="00FC031F">
            <w:pPr>
              <w:rPr>
                <w:i/>
                <w:iCs/>
                <w:color w:val="000000"/>
                <w:sz w:val="20"/>
                <w:szCs w:val="20"/>
              </w:rPr>
            </w:pPr>
          </w:p>
        </w:tc>
        <w:tc>
          <w:tcPr>
            <w:tcW w:w="160" w:type="dxa"/>
            <w:tcBorders>
              <w:top w:val="nil"/>
              <w:left w:val="nil"/>
              <w:bottom w:val="nil"/>
              <w:right w:val="nil"/>
            </w:tcBorders>
            <w:shd w:val="clear" w:color="auto" w:fill="auto"/>
            <w:vAlign w:val="center"/>
            <w:hideMark/>
          </w:tcPr>
          <w:p w14:paraId="36A3A20A" w14:textId="77777777" w:rsidR="00B90F24" w:rsidRPr="00C929AE" w:rsidRDefault="00B90F24" w:rsidP="00FC031F">
            <w:pPr>
              <w:rPr>
                <w:i/>
                <w:iCs/>
                <w:color w:val="000000"/>
                <w:sz w:val="20"/>
                <w:szCs w:val="20"/>
              </w:rPr>
            </w:pPr>
          </w:p>
        </w:tc>
        <w:tc>
          <w:tcPr>
            <w:tcW w:w="2716" w:type="dxa"/>
            <w:gridSpan w:val="2"/>
            <w:tcBorders>
              <w:top w:val="nil"/>
              <w:left w:val="nil"/>
              <w:bottom w:val="nil"/>
              <w:right w:val="nil"/>
            </w:tcBorders>
            <w:shd w:val="clear" w:color="auto" w:fill="auto"/>
            <w:vAlign w:val="center"/>
            <w:hideMark/>
          </w:tcPr>
          <w:p w14:paraId="3E8C3772" w14:textId="77777777" w:rsidR="00B90F24" w:rsidRPr="00C929AE" w:rsidRDefault="00B90F24" w:rsidP="00FC031F">
            <w:pPr>
              <w:rPr>
                <w:i/>
                <w:iCs/>
                <w:color w:val="000000"/>
                <w:sz w:val="20"/>
                <w:szCs w:val="20"/>
              </w:rPr>
            </w:pPr>
          </w:p>
        </w:tc>
        <w:tc>
          <w:tcPr>
            <w:tcW w:w="160" w:type="dxa"/>
            <w:tcBorders>
              <w:top w:val="nil"/>
              <w:left w:val="nil"/>
              <w:bottom w:val="nil"/>
              <w:right w:val="nil"/>
            </w:tcBorders>
            <w:shd w:val="clear" w:color="auto" w:fill="auto"/>
            <w:vAlign w:val="center"/>
            <w:hideMark/>
          </w:tcPr>
          <w:p w14:paraId="2437D3C7" w14:textId="77777777" w:rsidR="00B90F24" w:rsidRPr="00C929AE" w:rsidRDefault="00B90F24" w:rsidP="00FC031F">
            <w:pPr>
              <w:rPr>
                <w:i/>
                <w:iCs/>
                <w:color w:val="000000"/>
                <w:sz w:val="20"/>
                <w:szCs w:val="20"/>
              </w:rPr>
            </w:pPr>
          </w:p>
        </w:tc>
      </w:tr>
      <w:tr w:rsidR="00B90F24" w:rsidRPr="00C929AE" w14:paraId="67146A33" w14:textId="77777777" w:rsidTr="00FC031F">
        <w:trPr>
          <w:gridAfter w:val="2"/>
          <w:wAfter w:w="583" w:type="dxa"/>
          <w:trHeight w:val="390"/>
        </w:trPr>
        <w:tc>
          <w:tcPr>
            <w:tcW w:w="146" w:type="dxa"/>
            <w:tcBorders>
              <w:top w:val="nil"/>
              <w:left w:val="nil"/>
              <w:bottom w:val="nil"/>
              <w:right w:val="nil"/>
            </w:tcBorders>
            <w:shd w:val="clear" w:color="auto" w:fill="auto"/>
            <w:noWrap/>
            <w:vAlign w:val="bottom"/>
            <w:hideMark/>
          </w:tcPr>
          <w:p w14:paraId="5EA85FB5" w14:textId="77777777" w:rsidR="00B90F24" w:rsidRPr="00C929AE" w:rsidRDefault="00B90F24" w:rsidP="00FC031F">
            <w:pPr>
              <w:rPr>
                <w:color w:val="000000"/>
                <w:sz w:val="20"/>
                <w:szCs w:val="20"/>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C6C9A09" w14:textId="77777777" w:rsidR="00B90F24" w:rsidRPr="00C929AE" w:rsidRDefault="00B90F24" w:rsidP="00FC031F">
            <w:pPr>
              <w:rPr>
                <w:i/>
                <w:iCs/>
                <w:color w:val="000000"/>
                <w:sz w:val="20"/>
                <w:szCs w:val="20"/>
              </w:rPr>
            </w:pPr>
            <w:r w:rsidRPr="00C929AE">
              <w:rPr>
                <w:i/>
                <w:iCs/>
                <w:color w:val="000000"/>
                <w:sz w:val="20"/>
                <w:szCs w:val="20"/>
              </w:rPr>
              <w:t>VÝPOČET PRAVIDLA 1in</w:t>
            </w:r>
            <w:r>
              <w:rPr>
                <w:i/>
                <w:iCs/>
                <w:color w:val="000000"/>
                <w:sz w:val="20"/>
                <w:szCs w:val="20"/>
              </w:rPr>
              <w:t xml:space="preserve"> </w:t>
            </w:r>
            <w:r w:rsidRPr="00C929AE">
              <w:rPr>
                <w:i/>
                <w:iCs/>
                <w:color w:val="000000"/>
                <w:sz w:val="20"/>
                <w:szCs w:val="20"/>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6D5E5210" w14:textId="77777777" w:rsidR="00B90F24" w:rsidRPr="00C929AE" w:rsidRDefault="00B90F24" w:rsidP="00FC031F">
            <w:pPr>
              <w:jc w:val="center"/>
              <w:rPr>
                <w:color w:val="000000"/>
                <w:sz w:val="20"/>
                <w:szCs w:val="20"/>
              </w:rPr>
            </w:pPr>
            <w:r w:rsidRPr="00C929AE">
              <w:rPr>
                <w:color w:val="000000"/>
                <w:sz w:val="20"/>
                <w:szCs w:val="20"/>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67F2752" w14:textId="77777777" w:rsidR="00B90F24" w:rsidRPr="00C929AE" w:rsidRDefault="00B90F24" w:rsidP="00FC031F">
            <w:pPr>
              <w:jc w:val="center"/>
              <w:rPr>
                <w:color w:val="000000"/>
                <w:sz w:val="20"/>
                <w:szCs w:val="20"/>
              </w:rPr>
            </w:pPr>
            <w:r w:rsidRPr="00C929AE">
              <w:rPr>
                <w:color w:val="000000"/>
                <w:sz w:val="20"/>
                <w:szCs w:val="20"/>
              </w:rPr>
              <w:t>OUT</w:t>
            </w:r>
          </w:p>
        </w:tc>
      </w:tr>
      <w:tr w:rsidR="00B90F24" w:rsidRPr="00C929AE" w14:paraId="1A5529A1" w14:textId="77777777" w:rsidTr="00FC031F">
        <w:trPr>
          <w:gridAfter w:val="2"/>
          <w:wAfter w:w="583" w:type="dxa"/>
          <w:trHeight w:val="390"/>
        </w:trPr>
        <w:tc>
          <w:tcPr>
            <w:tcW w:w="146" w:type="dxa"/>
            <w:tcBorders>
              <w:top w:val="nil"/>
              <w:left w:val="nil"/>
              <w:bottom w:val="nil"/>
              <w:right w:val="nil"/>
            </w:tcBorders>
            <w:shd w:val="clear" w:color="auto" w:fill="auto"/>
            <w:noWrap/>
            <w:vAlign w:val="bottom"/>
            <w:hideMark/>
          </w:tcPr>
          <w:p w14:paraId="153B1892" w14:textId="77777777" w:rsidR="00B90F24" w:rsidRPr="00C929AE" w:rsidRDefault="00B90F24" w:rsidP="00FC031F">
            <w:pPr>
              <w:rPr>
                <w:color w:val="000000"/>
                <w:sz w:val="20"/>
                <w:szCs w:val="20"/>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172A5E0D" w14:textId="77777777" w:rsidR="00B90F24" w:rsidRPr="00751DA9" w:rsidRDefault="00B90F24" w:rsidP="00FC031F">
            <w:pPr>
              <w:rPr>
                <w:i/>
                <w:iCs/>
                <w:color w:val="000000"/>
                <w:sz w:val="20"/>
                <w:szCs w:val="20"/>
              </w:rPr>
            </w:pPr>
            <w:r w:rsidRPr="00751DA9">
              <w:rPr>
                <w:b/>
                <w:i/>
                <w:iCs/>
                <w:color w:val="000000"/>
                <w:sz w:val="20"/>
                <w:szCs w:val="20"/>
              </w:rPr>
              <w:t>H.</w:t>
            </w:r>
            <w:r>
              <w:rPr>
                <w:i/>
                <w:iCs/>
                <w:color w:val="000000"/>
                <w:sz w:val="20"/>
                <w:szCs w:val="20"/>
              </w:rPr>
              <w:t xml:space="preserve"> Náklady okrem výnimiek = B+D</w:t>
            </w:r>
            <w:r w:rsidRPr="00751DA9">
              <w:rPr>
                <w:i/>
                <w:iCs/>
                <w:color w:val="000000"/>
                <w:sz w:val="20"/>
                <w:szCs w:val="20"/>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4F66D75D" w14:textId="77777777" w:rsidR="00B90F24" w:rsidRPr="00C929AE" w:rsidRDefault="00B90F24" w:rsidP="00FC031F">
            <w:pPr>
              <w:jc w:val="center"/>
              <w:rPr>
                <w:b/>
                <w:bCs/>
                <w:color w:val="000000"/>
                <w:sz w:val="20"/>
                <w:szCs w:val="20"/>
              </w:rPr>
            </w:pPr>
            <w:r w:rsidRPr="00C929AE">
              <w:rPr>
                <w:b/>
                <w:bCs/>
                <w:color w:val="000000"/>
                <w:sz w:val="20"/>
                <w:szCs w:val="20"/>
              </w:rPr>
              <w:t> </w:t>
            </w:r>
            <w:r>
              <w:rPr>
                <w:b/>
                <w:bCs/>
                <w:color w:val="000000"/>
                <w:sz w:val="20"/>
                <w:szCs w:val="20"/>
              </w:rPr>
              <w:t>0</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760DEEE" w14:textId="77777777" w:rsidR="00B90F24" w:rsidRPr="00C929AE" w:rsidRDefault="00B90F24" w:rsidP="00FC031F">
            <w:pPr>
              <w:jc w:val="center"/>
              <w:rPr>
                <w:b/>
                <w:bCs/>
                <w:color w:val="000000"/>
                <w:sz w:val="20"/>
                <w:szCs w:val="20"/>
              </w:rPr>
            </w:pPr>
            <w:r>
              <w:rPr>
                <w:b/>
                <w:bCs/>
                <w:color w:val="000000"/>
                <w:sz w:val="20"/>
                <w:szCs w:val="20"/>
              </w:rPr>
              <w:t>0</w:t>
            </w:r>
            <w:r w:rsidRPr="00C929AE">
              <w:rPr>
                <w:b/>
                <w:bCs/>
                <w:color w:val="000000"/>
                <w:sz w:val="20"/>
                <w:szCs w:val="20"/>
              </w:rPr>
              <w:t> </w:t>
            </w:r>
          </w:p>
        </w:tc>
      </w:tr>
    </w:tbl>
    <w:p w14:paraId="502ABECF" w14:textId="77777777" w:rsidR="00B90F24" w:rsidRPr="00895898" w:rsidRDefault="00B90F24" w:rsidP="00B90F24">
      <w:pPr>
        <w:rPr>
          <w:rFonts w:eastAsia="Calibri"/>
          <w:b/>
        </w:rPr>
        <w:sectPr w:rsidR="00B90F24" w:rsidRPr="00895898" w:rsidSect="00FC031F">
          <w:footerReference w:type="default" r:id="rId10"/>
          <w:pgSz w:w="11906" w:h="16838"/>
          <w:pgMar w:top="993" w:right="1417" w:bottom="1417" w:left="1417" w:header="708" w:footer="708" w:gutter="0"/>
          <w:pgNumType w:start="1"/>
          <w:cols w:space="708"/>
          <w:docGrid w:linePitch="360"/>
        </w:sectPr>
      </w:pPr>
    </w:p>
    <w:p w14:paraId="12E6E351" w14:textId="77777777" w:rsidR="00B90F24" w:rsidRPr="001F1B43" w:rsidRDefault="00B90F24" w:rsidP="00B90F24">
      <w:pPr>
        <w:rPr>
          <w:rFonts w:eastAsia="Calibri"/>
          <w:b/>
          <w:i/>
          <w:iCs/>
        </w:rPr>
      </w:pPr>
      <w:r w:rsidRPr="001F1B43">
        <w:rPr>
          <w:rFonts w:eastAsia="Calibri"/>
          <w:b/>
          <w:i/>
          <w:iCs/>
        </w:rPr>
        <w:lastRenderedPageBreak/>
        <w:t>3.1.2 Výpočty vplyvov jednotlivých regulácií na zmeny v nákladoch podnikateľov</w:t>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p>
    <w:p w14:paraId="3EAB6548" w14:textId="77777777" w:rsidR="00B90F24" w:rsidRDefault="00B90F24" w:rsidP="00B90F24">
      <w:pPr>
        <w:jc w:val="both"/>
        <w:rPr>
          <w:rFonts w:eastAsia="Calibri"/>
          <w:i/>
        </w:rPr>
      </w:pPr>
      <w:r w:rsidRPr="00D8247C">
        <w:rPr>
          <w:rFonts w:eastAsia="Calibri"/>
          <w:i/>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B90F24" w:rsidRPr="000A6B7F" w14:paraId="7208A858" w14:textId="77777777" w:rsidTr="00FC031F">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059403D" w14:textId="77777777" w:rsidR="00B90F24" w:rsidRPr="000A6B7F" w:rsidRDefault="00B90F24" w:rsidP="00FC031F">
            <w:pPr>
              <w:jc w:val="center"/>
              <w:rPr>
                <w:b/>
                <w:bCs/>
                <w:color w:val="000000"/>
                <w:sz w:val="20"/>
                <w:szCs w:val="20"/>
              </w:rPr>
            </w:pPr>
            <w:proofErr w:type="spellStart"/>
            <w:r w:rsidRPr="000A6B7F">
              <w:rPr>
                <w:b/>
                <w:bCs/>
                <w:color w:val="000000"/>
                <w:sz w:val="20"/>
                <w:szCs w:val="20"/>
              </w:rPr>
              <w:t>P.č</w:t>
            </w:r>
            <w:proofErr w:type="spellEnd"/>
            <w:r w:rsidRPr="000A6B7F">
              <w:rPr>
                <w:b/>
                <w:bCs/>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B025023" w14:textId="77777777" w:rsidR="00B90F24" w:rsidRPr="000A6B7F" w:rsidRDefault="00B90F24" w:rsidP="00FC031F">
            <w:pPr>
              <w:jc w:val="center"/>
              <w:rPr>
                <w:b/>
                <w:bCs/>
                <w:color w:val="000000"/>
                <w:sz w:val="20"/>
                <w:szCs w:val="20"/>
              </w:rPr>
            </w:pPr>
            <w:r w:rsidRPr="000A6B7F">
              <w:rPr>
                <w:b/>
                <w:bCs/>
                <w:color w:val="000000"/>
                <w:sz w:val="20"/>
                <w:szCs w:val="20"/>
              </w:rPr>
              <w:t xml:space="preserve">Zrozumiteľný a stručný opis regulácie </w:t>
            </w:r>
            <w:r w:rsidRPr="000A6B7F">
              <w:rPr>
                <w:b/>
                <w:bCs/>
                <w:color w:val="000000"/>
                <w:sz w:val="20"/>
                <w:szCs w:val="20"/>
              </w:rPr>
              <w:br/>
              <w:t>(dôvod zvýšenia/zníženia nákladov na PP</w:t>
            </w:r>
            <w:r>
              <w:rPr>
                <w:b/>
                <w:bCs/>
                <w:color w:val="000000"/>
                <w:sz w:val="20"/>
                <w:szCs w:val="20"/>
              </w:rPr>
              <w:t xml:space="preserve"> a dôvod ponechania nákladov na PP, ktoré sú </w:t>
            </w:r>
            <w:proofErr w:type="spellStart"/>
            <w:r>
              <w:rPr>
                <w:b/>
                <w:bCs/>
                <w:color w:val="000000"/>
                <w:sz w:val="20"/>
                <w:szCs w:val="20"/>
              </w:rPr>
              <w:t>goldplatngom</w:t>
            </w:r>
            <w:proofErr w:type="spellEnd"/>
            <w:r w:rsidRPr="000A6B7F">
              <w:rPr>
                <w:b/>
                <w:bCs/>
                <w:color w:val="000000"/>
                <w:sz w:val="20"/>
                <w:szCs w:val="20"/>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72C8F85F" w14:textId="77777777" w:rsidR="00B90F24" w:rsidRPr="000A6B7F" w:rsidRDefault="00B90F24" w:rsidP="00FC031F">
            <w:pPr>
              <w:jc w:val="center"/>
              <w:rPr>
                <w:b/>
                <w:bCs/>
                <w:color w:val="000000"/>
                <w:sz w:val="20"/>
                <w:szCs w:val="20"/>
              </w:rPr>
            </w:pPr>
            <w:r w:rsidRPr="000A6B7F">
              <w:rPr>
                <w:b/>
                <w:bCs/>
                <w:color w:val="000000"/>
                <w:sz w:val="20"/>
                <w:szCs w:val="20"/>
              </w:rPr>
              <w:t>Číslo normy</w:t>
            </w:r>
            <w:r w:rsidRPr="000A6B7F">
              <w:rPr>
                <w:b/>
                <w:bCs/>
                <w:color w:val="000000"/>
                <w:sz w:val="20"/>
                <w:szCs w:val="20"/>
              </w:rPr>
              <w:br/>
            </w:r>
            <w:r w:rsidRPr="000A6B7F">
              <w:rPr>
                <w:color w:val="000000"/>
                <w:sz w:val="20"/>
                <w:szCs w:val="20"/>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22ED546B" w14:textId="77777777" w:rsidR="00B90F24" w:rsidRPr="000A6B7F" w:rsidRDefault="00B90F24" w:rsidP="00FC031F">
            <w:pPr>
              <w:jc w:val="center"/>
              <w:rPr>
                <w:b/>
                <w:bCs/>
                <w:color w:val="000000"/>
                <w:sz w:val="20"/>
                <w:szCs w:val="20"/>
              </w:rPr>
            </w:pPr>
            <w:r w:rsidRPr="000A6B7F">
              <w:rPr>
                <w:b/>
                <w:bCs/>
                <w:color w:val="000000"/>
                <w:sz w:val="20"/>
                <w:szCs w:val="20"/>
              </w:rPr>
              <w:t>Lokalizácia</w:t>
            </w:r>
            <w:r w:rsidRPr="000A6B7F">
              <w:rPr>
                <w:b/>
                <w:bCs/>
                <w:color w:val="000000"/>
                <w:sz w:val="20"/>
                <w:szCs w:val="20"/>
              </w:rPr>
              <w:br/>
              <w:t>(§, ods.</w:t>
            </w:r>
            <w:r>
              <w:rPr>
                <w:b/>
                <w:bCs/>
                <w:color w:val="000000"/>
                <w:sz w:val="20"/>
                <w:szCs w:val="20"/>
              </w:rPr>
              <w:t>, čl.,...</w:t>
            </w:r>
            <w:r w:rsidRPr="000A6B7F">
              <w:rPr>
                <w:b/>
                <w:bCs/>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5CC42C0" w14:textId="77777777" w:rsidR="00B90F24" w:rsidRDefault="00B90F24" w:rsidP="00FC031F">
            <w:pPr>
              <w:jc w:val="center"/>
              <w:rPr>
                <w:color w:val="000000"/>
                <w:sz w:val="20"/>
                <w:szCs w:val="20"/>
              </w:rPr>
            </w:pPr>
            <w:r w:rsidRPr="000A6B7F">
              <w:rPr>
                <w:b/>
                <w:bCs/>
                <w:color w:val="000000"/>
                <w:sz w:val="20"/>
                <w:szCs w:val="20"/>
              </w:rPr>
              <w:t xml:space="preserve">Pôvod regulácie: </w:t>
            </w:r>
            <w:r w:rsidRPr="000A6B7F">
              <w:rPr>
                <w:b/>
                <w:bCs/>
                <w:color w:val="000000"/>
                <w:sz w:val="20"/>
                <w:szCs w:val="20"/>
              </w:rPr>
              <w:br/>
            </w:r>
            <w:r>
              <w:rPr>
                <w:color w:val="000000"/>
                <w:sz w:val="20"/>
                <w:szCs w:val="20"/>
              </w:rPr>
              <w:t>SK</w:t>
            </w:r>
            <w:r w:rsidRPr="000A6B7F">
              <w:rPr>
                <w:color w:val="000000"/>
                <w:sz w:val="20"/>
                <w:szCs w:val="20"/>
              </w:rPr>
              <w:t xml:space="preserve">/EÚ úplná </w:t>
            </w:r>
            <w:proofErr w:type="spellStart"/>
            <w:r w:rsidRPr="000A6B7F">
              <w:rPr>
                <w:color w:val="000000"/>
                <w:sz w:val="20"/>
                <w:szCs w:val="20"/>
              </w:rPr>
              <w:t>harm</w:t>
            </w:r>
            <w:proofErr w:type="spellEnd"/>
            <w:r w:rsidRPr="000A6B7F">
              <w:rPr>
                <w:color w:val="000000"/>
                <w:sz w:val="20"/>
                <w:szCs w:val="20"/>
              </w:rPr>
              <w:t>./</w:t>
            </w:r>
          </w:p>
          <w:p w14:paraId="082963DF" w14:textId="77777777" w:rsidR="00B90F24" w:rsidRPr="000A6B7F" w:rsidRDefault="00B90F24" w:rsidP="00FC031F">
            <w:pPr>
              <w:jc w:val="center"/>
              <w:rPr>
                <w:b/>
                <w:bCs/>
                <w:color w:val="000000"/>
                <w:sz w:val="20"/>
                <w:szCs w:val="20"/>
              </w:rPr>
            </w:pPr>
            <w:proofErr w:type="spellStart"/>
            <w:r>
              <w:rPr>
                <w:color w:val="000000"/>
                <w:sz w:val="20"/>
                <w:szCs w:val="20"/>
              </w:rPr>
              <w:t>G</w:t>
            </w:r>
            <w:r w:rsidRPr="000A6B7F">
              <w:rPr>
                <w:color w:val="000000"/>
                <w:sz w:val="20"/>
                <w:szCs w:val="20"/>
              </w:rPr>
              <w:t>oldplating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E90441" w14:textId="77777777" w:rsidR="00B90F24" w:rsidRPr="000A6B7F" w:rsidRDefault="00B90F24" w:rsidP="00FC031F">
            <w:pPr>
              <w:jc w:val="center"/>
              <w:rPr>
                <w:b/>
                <w:bCs/>
                <w:color w:val="000000"/>
                <w:sz w:val="20"/>
                <w:szCs w:val="20"/>
              </w:rPr>
            </w:pPr>
            <w:r w:rsidRPr="000A6B7F">
              <w:rPr>
                <w:b/>
                <w:bCs/>
                <w:color w:val="000000"/>
                <w:sz w:val="20"/>
                <w:szCs w:val="20"/>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4550BD4" w14:textId="77777777" w:rsidR="00B90F24" w:rsidRPr="000A6B7F" w:rsidRDefault="00B90F24" w:rsidP="00FC031F">
            <w:pPr>
              <w:jc w:val="center"/>
              <w:rPr>
                <w:b/>
                <w:bCs/>
                <w:color w:val="000000"/>
                <w:sz w:val="20"/>
                <w:szCs w:val="20"/>
              </w:rPr>
            </w:pPr>
            <w:r w:rsidRPr="000A6B7F">
              <w:rPr>
                <w:b/>
                <w:bCs/>
                <w:color w:val="000000"/>
                <w:sz w:val="20"/>
                <w:szCs w:val="20"/>
              </w:rPr>
              <w:t xml:space="preserve">Kategória </w:t>
            </w:r>
            <w:proofErr w:type="spellStart"/>
            <w:r w:rsidRPr="000A6B7F">
              <w:rPr>
                <w:b/>
                <w:bCs/>
                <w:color w:val="000000"/>
                <w:sz w:val="20"/>
                <w:szCs w:val="20"/>
              </w:rPr>
              <w:t>dotk</w:t>
            </w:r>
            <w:proofErr w:type="spellEnd"/>
            <w:r w:rsidRPr="000A6B7F">
              <w:rPr>
                <w:b/>
                <w:bCs/>
                <w:color w:val="000000"/>
                <w:sz w:val="20"/>
                <w:szCs w:val="20"/>
              </w:rPr>
              <w:t>.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B3922A" w14:textId="77777777" w:rsidR="00B90F24" w:rsidRDefault="00B90F24" w:rsidP="00FC031F">
            <w:pPr>
              <w:jc w:val="center"/>
              <w:rPr>
                <w:b/>
                <w:bCs/>
                <w:color w:val="000000"/>
                <w:sz w:val="20"/>
                <w:szCs w:val="20"/>
              </w:rPr>
            </w:pPr>
            <w:r w:rsidRPr="00895898">
              <w:rPr>
                <w:b/>
                <w:bCs/>
                <w:color w:val="000000"/>
                <w:sz w:val="20"/>
                <w:szCs w:val="20"/>
              </w:rPr>
              <w:t xml:space="preserve">Počet </w:t>
            </w:r>
          </w:p>
          <w:p w14:paraId="1CFB4068" w14:textId="77777777" w:rsidR="00B90F24" w:rsidRPr="00895898" w:rsidRDefault="00B90F24" w:rsidP="00FC031F">
            <w:pPr>
              <w:jc w:val="center"/>
              <w:rPr>
                <w:b/>
                <w:bCs/>
                <w:color w:val="000000"/>
                <w:sz w:val="20"/>
                <w:szCs w:val="20"/>
              </w:rPr>
            </w:pPr>
            <w:proofErr w:type="spellStart"/>
            <w:r>
              <w:rPr>
                <w:b/>
                <w:bCs/>
                <w:color w:val="000000"/>
                <w:sz w:val="20"/>
                <w:szCs w:val="20"/>
              </w:rPr>
              <w:t>dotk</w:t>
            </w:r>
            <w:proofErr w:type="spellEnd"/>
            <w:r>
              <w:rPr>
                <w:b/>
                <w:bCs/>
                <w:color w:val="000000"/>
                <w:sz w:val="20"/>
                <w:szCs w:val="20"/>
              </w:rPr>
              <w:t>.</w:t>
            </w:r>
            <w:r w:rsidRPr="00895898">
              <w:rPr>
                <w:b/>
                <w:bCs/>
                <w:color w:val="000000"/>
                <w:sz w:val="20"/>
                <w:szCs w:val="20"/>
              </w:rPr>
              <w:t xml:space="preserve"> subjektov </w:t>
            </w:r>
            <w:r>
              <w:rPr>
                <w:b/>
                <w:bCs/>
                <w:color w:val="000000"/>
                <w:sz w:val="20"/>
                <w:szCs w:val="20"/>
              </w:rPr>
              <w:t>spolu</w:t>
            </w:r>
            <w:r w:rsidRPr="00895898">
              <w:rPr>
                <w:b/>
                <w:bCs/>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E2A607" w14:textId="77777777" w:rsidR="00B90F24" w:rsidRPr="000A6B7F" w:rsidRDefault="00B90F24" w:rsidP="00FC031F">
            <w:pPr>
              <w:jc w:val="center"/>
              <w:rPr>
                <w:b/>
                <w:bCs/>
                <w:color w:val="000000"/>
                <w:sz w:val="20"/>
                <w:szCs w:val="20"/>
              </w:rPr>
            </w:pPr>
            <w:r w:rsidRPr="000A6B7F">
              <w:rPr>
                <w:b/>
                <w:bCs/>
                <w:color w:val="000000"/>
                <w:sz w:val="20"/>
                <w:szCs w:val="20"/>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B0848FD" w14:textId="77777777" w:rsidR="00B90F24" w:rsidRPr="000A6B7F" w:rsidRDefault="00B90F24" w:rsidP="00FC031F">
            <w:pPr>
              <w:jc w:val="center"/>
              <w:rPr>
                <w:b/>
                <w:bCs/>
                <w:color w:val="000000"/>
                <w:sz w:val="20"/>
                <w:szCs w:val="20"/>
              </w:rPr>
            </w:pPr>
            <w:r>
              <w:rPr>
                <w:b/>
                <w:bCs/>
                <w:color w:val="000000"/>
                <w:sz w:val="20"/>
                <w:szCs w:val="20"/>
              </w:rPr>
              <w:t xml:space="preserve">Vplyv na </w:t>
            </w:r>
            <w:proofErr w:type="spellStart"/>
            <w:r>
              <w:rPr>
                <w:b/>
                <w:bCs/>
                <w:color w:val="000000"/>
                <w:sz w:val="20"/>
                <w:szCs w:val="20"/>
              </w:rPr>
              <w:t>kateg</w:t>
            </w:r>
            <w:proofErr w:type="spellEnd"/>
            <w:r>
              <w:rPr>
                <w:b/>
                <w:bCs/>
                <w:color w:val="000000"/>
                <w:sz w:val="20"/>
                <w:szCs w:val="20"/>
              </w:rPr>
              <w:t xml:space="preserve">. </w:t>
            </w:r>
            <w:proofErr w:type="spellStart"/>
            <w:r>
              <w:rPr>
                <w:b/>
                <w:bCs/>
                <w:color w:val="000000"/>
                <w:sz w:val="20"/>
                <w:szCs w:val="20"/>
              </w:rPr>
              <w:t>dotk</w:t>
            </w:r>
            <w:proofErr w:type="spellEnd"/>
            <w:r>
              <w:rPr>
                <w:b/>
                <w:bCs/>
                <w:color w:val="000000"/>
                <w:sz w:val="20"/>
                <w:szCs w:val="20"/>
              </w:rPr>
              <w:t>. subjekt.</w:t>
            </w:r>
            <w:r w:rsidRPr="000A6B7F">
              <w:rPr>
                <w:b/>
                <w:bCs/>
                <w:color w:val="000000"/>
                <w:sz w:val="20"/>
                <w:szCs w:val="20"/>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7E4E1DB" w14:textId="77777777" w:rsidR="00B90F24" w:rsidRPr="00895898" w:rsidRDefault="00B90F24" w:rsidP="00FC031F">
            <w:pPr>
              <w:jc w:val="center"/>
              <w:rPr>
                <w:bCs/>
                <w:color w:val="000000"/>
                <w:sz w:val="20"/>
                <w:szCs w:val="20"/>
              </w:rPr>
            </w:pPr>
            <w:r w:rsidRPr="000A6B7F">
              <w:rPr>
                <w:b/>
                <w:bCs/>
                <w:color w:val="000000"/>
                <w:sz w:val="20"/>
                <w:szCs w:val="20"/>
              </w:rPr>
              <w:t>Druh vplyvu</w:t>
            </w:r>
            <w:r w:rsidRPr="000A6B7F">
              <w:rPr>
                <w:b/>
                <w:bCs/>
                <w:color w:val="000000"/>
                <w:sz w:val="20"/>
                <w:szCs w:val="20"/>
              </w:rPr>
              <w:br/>
            </w:r>
            <w:r w:rsidRPr="00895898">
              <w:rPr>
                <w:bCs/>
                <w:color w:val="000000"/>
                <w:sz w:val="20"/>
                <w:szCs w:val="20"/>
              </w:rPr>
              <w:t xml:space="preserve">In (zvyšuje náklady) / </w:t>
            </w:r>
          </w:p>
          <w:p w14:paraId="22B9877F" w14:textId="77777777" w:rsidR="00B90F24" w:rsidRPr="00895898" w:rsidRDefault="00B90F24" w:rsidP="00FC031F">
            <w:pPr>
              <w:jc w:val="center"/>
              <w:rPr>
                <w:b/>
                <w:bCs/>
                <w:color w:val="000000"/>
                <w:sz w:val="20"/>
                <w:szCs w:val="20"/>
              </w:rPr>
            </w:pPr>
            <w:proofErr w:type="spellStart"/>
            <w:r w:rsidRPr="00895898">
              <w:rPr>
                <w:bCs/>
                <w:color w:val="000000"/>
                <w:sz w:val="20"/>
                <w:szCs w:val="20"/>
              </w:rPr>
              <w:t>Out</w:t>
            </w:r>
            <w:proofErr w:type="spellEnd"/>
            <w:r w:rsidRPr="00895898">
              <w:rPr>
                <w:bCs/>
                <w:color w:val="000000"/>
                <w:sz w:val="20"/>
                <w:szCs w:val="20"/>
              </w:rPr>
              <w:t xml:space="preserve"> (znižuje náklady</w:t>
            </w:r>
            <w:r w:rsidRPr="00895898">
              <w:rPr>
                <w:b/>
                <w:bCs/>
                <w:color w:val="000000"/>
                <w:sz w:val="20"/>
                <w:szCs w:val="20"/>
              </w:rPr>
              <w:t>)</w:t>
            </w:r>
          </w:p>
          <w:p w14:paraId="428FCD35" w14:textId="77777777" w:rsidR="00B90F24" w:rsidRPr="000A6B7F" w:rsidRDefault="00B90F24" w:rsidP="00FC031F">
            <w:pPr>
              <w:jc w:val="center"/>
              <w:rPr>
                <w:b/>
                <w:bCs/>
                <w:color w:val="000000"/>
                <w:sz w:val="20"/>
                <w:szCs w:val="20"/>
              </w:rPr>
            </w:pPr>
            <w:r w:rsidRPr="000A6B7F">
              <w:rPr>
                <w:color w:val="000000"/>
                <w:sz w:val="20"/>
                <w:szCs w:val="20"/>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1C03B54" w14:textId="77777777" w:rsidR="00B90F24" w:rsidRPr="006B5D74" w:rsidRDefault="00B90F24" w:rsidP="00FC031F">
            <w:pPr>
              <w:jc w:val="center"/>
              <w:rPr>
                <w:b/>
                <w:bCs/>
                <w:color w:val="000000"/>
                <w:sz w:val="18"/>
                <w:szCs w:val="18"/>
              </w:rPr>
            </w:pPr>
            <w:r w:rsidRPr="006B5D74">
              <w:rPr>
                <w:b/>
                <w:bCs/>
                <w:color w:val="000000"/>
                <w:sz w:val="18"/>
                <w:szCs w:val="18"/>
              </w:rPr>
              <w:t>1in</w:t>
            </w:r>
          </w:p>
          <w:p w14:paraId="66B0CD85" w14:textId="77777777" w:rsidR="00B90F24" w:rsidRPr="006B5D74" w:rsidRDefault="00B90F24" w:rsidP="00FC031F">
            <w:pPr>
              <w:jc w:val="center"/>
              <w:rPr>
                <w:b/>
                <w:bCs/>
                <w:color w:val="000000"/>
                <w:sz w:val="18"/>
                <w:szCs w:val="18"/>
              </w:rPr>
            </w:pPr>
            <w:r w:rsidRPr="006B5D74">
              <w:rPr>
                <w:b/>
                <w:bCs/>
                <w:color w:val="000000"/>
                <w:sz w:val="18"/>
                <w:szCs w:val="18"/>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7C95683" w14:textId="77777777" w:rsidR="00B90F24" w:rsidRPr="006B5D74" w:rsidRDefault="00B90F24" w:rsidP="00FC031F">
            <w:pPr>
              <w:jc w:val="center"/>
              <w:rPr>
                <w:b/>
                <w:bCs/>
                <w:color w:val="000000"/>
                <w:sz w:val="18"/>
                <w:szCs w:val="18"/>
              </w:rPr>
            </w:pPr>
            <w:proofErr w:type="spellStart"/>
            <w:r w:rsidRPr="006B5D74">
              <w:rPr>
                <w:b/>
                <w:bCs/>
                <w:color w:val="000000"/>
                <w:sz w:val="18"/>
                <w:szCs w:val="18"/>
              </w:rPr>
              <w:t>Goldplating</w:t>
            </w:r>
            <w:proofErr w:type="spellEnd"/>
            <w:r w:rsidRPr="006B5D74">
              <w:rPr>
                <w:b/>
                <w:bCs/>
                <w:color w:val="000000"/>
                <w:sz w:val="18"/>
                <w:szCs w:val="18"/>
              </w:rPr>
              <w:t xml:space="preserve"> celkom</w:t>
            </w:r>
          </w:p>
        </w:tc>
      </w:tr>
      <w:tr w:rsidR="0068740F" w:rsidRPr="00895898" w14:paraId="5DAF4420" w14:textId="77777777" w:rsidTr="00FC0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512F201E" w14:textId="77777777" w:rsidR="0068740F" w:rsidRPr="000E31E9" w:rsidRDefault="0068740F" w:rsidP="0068740F">
            <w:pPr>
              <w:rPr>
                <w:sz w:val="20"/>
                <w:szCs w:val="20"/>
              </w:rPr>
            </w:pPr>
            <w:r w:rsidRPr="000E31E9">
              <w:rPr>
                <w:color w:val="000000"/>
                <w:sz w:val="20"/>
                <w:szCs w:val="20"/>
              </w:rPr>
              <w:t>1</w:t>
            </w:r>
          </w:p>
        </w:tc>
        <w:tc>
          <w:tcPr>
            <w:tcW w:w="1740" w:type="dxa"/>
            <w:shd w:val="clear" w:color="auto" w:fill="auto"/>
            <w:vAlign w:val="center"/>
          </w:tcPr>
          <w:p w14:paraId="17F00B53" w14:textId="77777777" w:rsidR="0068740F" w:rsidRPr="000E31E9" w:rsidRDefault="0068740F" w:rsidP="0068740F">
            <w:pPr>
              <w:rPr>
                <w:sz w:val="20"/>
                <w:szCs w:val="20"/>
              </w:rPr>
            </w:pPr>
            <w:r w:rsidRPr="000E31E9">
              <w:rPr>
                <w:color w:val="000000"/>
                <w:sz w:val="20"/>
                <w:szCs w:val="20"/>
              </w:rPr>
              <w:t>Nová právna úprava pre oblasť všeobecnej bezpečnosti výrobkov</w:t>
            </w:r>
          </w:p>
        </w:tc>
        <w:tc>
          <w:tcPr>
            <w:tcW w:w="992" w:type="dxa"/>
            <w:vAlign w:val="center"/>
          </w:tcPr>
          <w:p w14:paraId="6EEF1C42" w14:textId="77777777" w:rsidR="0068740F" w:rsidRPr="000E31E9" w:rsidRDefault="0068740F" w:rsidP="0068740F">
            <w:pPr>
              <w:rPr>
                <w:sz w:val="20"/>
                <w:szCs w:val="20"/>
              </w:rPr>
            </w:pPr>
            <w:r w:rsidRPr="000E31E9">
              <w:rPr>
                <w:color w:val="000000"/>
                <w:sz w:val="20"/>
                <w:szCs w:val="20"/>
              </w:rPr>
              <w:t>Návrh zákona</w:t>
            </w:r>
          </w:p>
        </w:tc>
        <w:tc>
          <w:tcPr>
            <w:tcW w:w="1134" w:type="dxa"/>
            <w:vAlign w:val="center"/>
          </w:tcPr>
          <w:p w14:paraId="661BF727" w14:textId="77777777" w:rsidR="0068740F" w:rsidRPr="000E31E9" w:rsidRDefault="0068740F" w:rsidP="0068740F">
            <w:pPr>
              <w:rPr>
                <w:sz w:val="20"/>
                <w:szCs w:val="20"/>
              </w:rPr>
            </w:pPr>
            <w:r w:rsidRPr="000E31E9">
              <w:rPr>
                <w:color w:val="000000"/>
                <w:sz w:val="20"/>
                <w:szCs w:val="20"/>
              </w:rPr>
              <w:t xml:space="preserve">Čl. I </w:t>
            </w:r>
          </w:p>
        </w:tc>
        <w:tc>
          <w:tcPr>
            <w:tcW w:w="1843" w:type="dxa"/>
            <w:shd w:val="clear" w:color="auto" w:fill="auto"/>
            <w:vAlign w:val="center"/>
          </w:tcPr>
          <w:p w14:paraId="59E571A7" w14:textId="77777777" w:rsidR="0068740F" w:rsidRPr="000E31E9" w:rsidRDefault="0068740F" w:rsidP="0068740F">
            <w:pPr>
              <w:pStyle w:val="gmail-m-1648484718305530482msolistparagraph"/>
              <w:spacing w:before="0" w:beforeAutospacing="0" w:after="0" w:afterAutospacing="0"/>
              <w:jc w:val="both"/>
              <w:rPr>
                <w:rFonts w:ascii="Times New Roman" w:eastAsia="Times New Roman" w:hAnsi="Times New Roman" w:cs="Times New Roman"/>
                <w:sz w:val="20"/>
                <w:szCs w:val="20"/>
              </w:rPr>
            </w:pPr>
            <w:r w:rsidRPr="000E31E9">
              <w:rPr>
                <w:rFonts w:ascii="Times New Roman" w:hAnsi="Times New Roman" w:cs="Times New Roman"/>
                <w:color w:val="000000"/>
                <w:sz w:val="20"/>
                <w:szCs w:val="20"/>
              </w:rPr>
              <w:t>2. EÚ úplná harmonizácia</w:t>
            </w:r>
          </w:p>
        </w:tc>
        <w:tc>
          <w:tcPr>
            <w:tcW w:w="992" w:type="dxa"/>
            <w:vAlign w:val="center"/>
          </w:tcPr>
          <w:p w14:paraId="5245EF61" w14:textId="3B913289" w:rsidR="0068740F" w:rsidRPr="000E31E9" w:rsidRDefault="0068740F" w:rsidP="0068740F">
            <w:pPr>
              <w:rPr>
                <w:color w:val="000000"/>
                <w:sz w:val="20"/>
                <w:szCs w:val="20"/>
              </w:rPr>
            </w:pPr>
            <w:r>
              <w:rPr>
                <w:color w:val="000000"/>
                <w:sz w:val="20"/>
                <w:szCs w:val="20"/>
              </w:rPr>
              <w:t>01.03.25</w:t>
            </w:r>
          </w:p>
        </w:tc>
        <w:tc>
          <w:tcPr>
            <w:tcW w:w="1160" w:type="dxa"/>
            <w:shd w:val="clear" w:color="auto" w:fill="auto"/>
            <w:noWrap/>
            <w:vAlign w:val="center"/>
          </w:tcPr>
          <w:p w14:paraId="5FFD42AA" w14:textId="77777777" w:rsidR="0068740F" w:rsidRPr="000E31E9" w:rsidRDefault="0068740F" w:rsidP="0068740F">
            <w:pPr>
              <w:rPr>
                <w:color w:val="000000"/>
                <w:sz w:val="20"/>
                <w:szCs w:val="20"/>
              </w:rPr>
            </w:pPr>
            <w:r w:rsidRPr="000E31E9">
              <w:rPr>
                <w:color w:val="000000"/>
                <w:sz w:val="20"/>
                <w:szCs w:val="20"/>
              </w:rPr>
              <w:t>Hospodárske subjekty</w:t>
            </w:r>
          </w:p>
        </w:tc>
        <w:tc>
          <w:tcPr>
            <w:tcW w:w="1108" w:type="dxa"/>
            <w:vAlign w:val="center"/>
          </w:tcPr>
          <w:p w14:paraId="11F35937" w14:textId="77777777" w:rsidR="0068740F" w:rsidRPr="000E31E9" w:rsidRDefault="0068740F" w:rsidP="0068740F">
            <w:pPr>
              <w:rPr>
                <w:sz w:val="20"/>
                <w:szCs w:val="20"/>
              </w:rPr>
            </w:pPr>
            <w:r w:rsidRPr="000E31E9">
              <w:rPr>
                <w:color w:val="000000"/>
                <w:sz w:val="20"/>
                <w:szCs w:val="20"/>
              </w:rPr>
              <w:t xml:space="preserve">6 000 </w:t>
            </w:r>
          </w:p>
        </w:tc>
        <w:tc>
          <w:tcPr>
            <w:tcW w:w="851" w:type="dxa"/>
            <w:shd w:val="clear" w:color="auto" w:fill="auto"/>
            <w:noWrap/>
            <w:vAlign w:val="center"/>
          </w:tcPr>
          <w:p w14:paraId="3FB24435" w14:textId="77777777" w:rsidR="0068740F" w:rsidRPr="000E31E9" w:rsidRDefault="0068740F" w:rsidP="0068740F">
            <w:pPr>
              <w:rPr>
                <w:sz w:val="20"/>
                <w:szCs w:val="20"/>
              </w:rPr>
            </w:pPr>
            <w:r w:rsidRPr="000E31E9">
              <w:rPr>
                <w:color w:val="000000"/>
                <w:sz w:val="20"/>
                <w:szCs w:val="20"/>
              </w:rPr>
              <w:t>53</w:t>
            </w:r>
          </w:p>
        </w:tc>
        <w:tc>
          <w:tcPr>
            <w:tcW w:w="843" w:type="dxa"/>
            <w:shd w:val="clear" w:color="auto" w:fill="auto"/>
            <w:noWrap/>
            <w:vAlign w:val="center"/>
          </w:tcPr>
          <w:p w14:paraId="34EF8C0E" w14:textId="77777777" w:rsidR="0068740F" w:rsidRPr="000E31E9" w:rsidRDefault="0068740F" w:rsidP="0068740F">
            <w:pPr>
              <w:rPr>
                <w:color w:val="000000"/>
                <w:sz w:val="20"/>
                <w:szCs w:val="20"/>
              </w:rPr>
            </w:pPr>
            <w:r w:rsidRPr="000E31E9">
              <w:rPr>
                <w:color w:val="000000"/>
                <w:sz w:val="20"/>
                <w:szCs w:val="20"/>
              </w:rPr>
              <w:t>319 536</w:t>
            </w:r>
          </w:p>
        </w:tc>
        <w:tc>
          <w:tcPr>
            <w:tcW w:w="1000" w:type="dxa"/>
            <w:shd w:val="clear" w:color="auto" w:fill="auto"/>
            <w:noWrap/>
            <w:vAlign w:val="center"/>
          </w:tcPr>
          <w:p w14:paraId="64DCD704" w14:textId="77777777" w:rsidR="0068740F" w:rsidRPr="000E31E9" w:rsidRDefault="0068740F" w:rsidP="0068740F">
            <w:pPr>
              <w:rPr>
                <w:sz w:val="20"/>
                <w:szCs w:val="20"/>
              </w:rPr>
            </w:pPr>
            <w:r w:rsidRPr="000E31E9">
              <w:rPr>
                <w:color w:val="000000"/>
                <w:sz w:val="20"/>
                <w:szCs w:val="20"/>
              </w:rPr>
              <w:t>In (zvyšuje náklady)</w:t>
            </w:r>
          </w:p>
        </w:tc>
        <w:tc>
          <w:tcPr>
            <w:tcW w:w="708" w:type="dxa"/>
            <w:shd w:val="clear" w:color="auto" w:fill="auto"/>
            <w:noWrap/>
            <w:vAlign w:val="center"/>
          </w:tcPr>
          <w:p w14:paraId="07319DCE" w14:textId="77777777" w:rsidR="0068740F" w:rsidRPr="000E31E9" w:rsidRDefault="0068740F" w:rsidP="0068740F">
            <w:pPr>
              <w:rPr>
                <w:color w:val="000000"/>
                <w:sz w:val="20"/>
                <w:szCs w:val="20"/>
              </w:rPr>
            </w:pPr>
            <w:r w:rsidRPr="000E31E9">
              <w:rPr>
                <w:sz w:val="20"/>
                <w:szCs w:val="20"/>
              </w:rPr>
              <w:t>0</w:t>
            </w:r>
          </w:p>
        </w:tc>
        <w:tc>
          <w:tcPr>
            <w:tcW w:w="1134" w:type="dxa"/>
            <w:vAlign w:val="center"/>
          </w:tcPr>
          <w:p w14:paraId="157FAA27" w14:textId="77777777" w:rsidR="0068740F" w:rsidRPr="000E31E9" w:rsidRDefault="0068740F" w:rsidP="0068740F">
            <w:pPr>
              <w:rPr>
                <w:sz w:val="20"/>
                <w:szCs w:val="20"/>
              </w:rPr>
            </w:pPr>
            <w:r w:rsidRPr="000E31E9">
              <w:rPr>
                <w:color w:val="000000"/>
                <w:sz w:val="20"/>
                <w:szCs w:val="20"/>
              </w:rPr>
              <w:t>0</w:t>
            </w:r>
          </w:p>
        </w:tc>
      </w:tr>
      <w:tr w:rsidR="0068740F" w:rsidRPr="00895898" w14:paraId="4911D589" w14:textId="77777777" w:rsidTr="00FC0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27D5750A" w14:textId="77777777" w:rsidR="0068740F" w:rsidRPr="000E31E9" w:rsidRDefault="0068740F" w:rsidP="0068740F">
            <w:pPr>
              <w:rPr>
                <w:sz w:val="20"/>
                <w:szCs w:val="20"/>
              </w:rPr>
            </w:pPr>
            <w:r w:rsidRPr="000E31E9">
              <w:rPr>
                <w:color w:val="000000"/>
                <w:sz w:val="20"/>
                <w:szCs w:val="20"/>
              </w:rPr>
              <w:t>2</w:t>
            </w:r>
          </w:p>
        </w:tc>
        <w:tc>
          <w:tcPr>
            <w:tcW w:w="1740" w:type="dxa"/>
            <w:shd w:val="clear" w:color="auto" w:fill="auto"/>
            <w:vAlign w:val="center"/>
          </w:tcPr>
          <w:p w14:paraId="42F7CC4F" w14:textId="77777777" w:rsidR="0068740F" w:rsidRPr="000E31E9" w:rsidRDefault="0068740F" w:rsidP="0068740F">
            <w:pPr>
              <w:rPr>
                <w:sz w:val="20"/>
                <w:szCs w:val="20"/>
              </w:rPr>
            </w:pPr>
            <w:r w:rsidRPr="000E31E9">
              <w:rPr>
                <w:color w:val="000000"/>
                <w:sz w:val="20"/>
                <w:szCs w:val="20"/>
              </w:rPr>
              <w:t>Nová právna úprava pre oblasť všeobecnej bezpečnosti výrobkov</w:t>
            </w:r>
          </w:p>
        </w:tc>
        <w:tc>
          <w:tcPr>
            <w:tcW w:w="992" w:type="dxa"/>
            <w:vAlign w:val="center"/>
          </w:tcPr>
          <w:p w14:paraId="3765DE13" w14:textId="77777777" w:rsidR="0068740F" w:rsidRPr="000E31E9" w:rsidRDefault="0068740F" w:rsidP="0068740F">
            <w:pPr>
              <w:rPr>
                <w:sz w:val="20"/>
                <w:szCs w:val="20"/>
              </w:rPr>
            </w:pPr>
            <w:r w:rsidRPr="000E31E9">
              <w:rPr>
                <w:color w:val="000000"/>
                <w:sz w:val="20"/>
                <w:szCs w:val="20"/>
              </w:rPr>
              <w:t>Návrh zákona</w:t>
            </w:r>
          </w:p>
        </w:tc>
        <w:tc>
          <w:tcPr>
            <w:tcW w:w="1134" w:type="dxa"/>
            <w:vAlign w:val="center"/>
          </w:tcPr>
          <w:p w14:paraId="5A053D8B" w14:textId="77777777" w:rsidR="0068740F" w:rsidRPr="000E31E9" w:rsidRDefault="0068740F" w:rsidP="0068740F">
            <w:pPr>
              <w:rPr>
                <w:sz w:val="20"/>
                <w:szCs w:val="20"/>
              </w:rPr>
            </w:pPr>
            <w:r w:rsidRPr="000E31E9">
              <w:rPr>
                <w:color w:val="000000"/>
                <w:sz w:val="20"/>
                <w:szCs w:val="20"/>
              </w:rPr>
              <w:t>Čl. I</w:t>
            </w:r>
          </w:p>
        </w:tc>
        <w:tc>
          <w:tcPr>
            <w:tcW w:w="1843" w:type="dxa"/>
            <w:shd w:val="clear" w:color="auto" w:fill="auto"/>
            <w:vAlign w:val="center"/>
          </w:tcPr>
          <w:p w14:paraId="1616D1A5" w14:textId="77777777" w:rsidR="0068740F" w:rsidRPr="000E31E9" w:rsidDel="00801596" w:rsidRDefault="0068740F" w:rsidP="0068740F">
            <w:pPr>
              <w:pStyle w:val="gmail-m-1648484718305530482msolistparagraph"/>
              <w:spacing w:before="0" w:beforeAutospacing="0" w:after="0" w:afterAutospacing="0"/>
              <w:jc w:val="both"/>
              <w:rPr>
                <w:rFonts w:ascii="Times New Roman" w:eastAsia="Times New Roman" w:hAnsi="Times New Roman" w:cs="Times New Roman"/>
                <w:sz w:val="20"/>
                <w:szCs w:val="20"/>
              </w:rPr>
            </w:pPr>
            <w:r w:rsidRPr="000E31E9">
              <w:rPr>
                <w:rFonts w:ascii="Times New Roman" w:hAnsi="Times New Roman" w:cs="Times New Roman"/>
                <w:color w:val="000000"/>
                <w:sz w:val="20"/>
                <w:szCs w:val="20"/>
              </w:rPr>
              <w:t>2. EÚ úplná harmonizácia</w:t>
            </w:r>
          </w:p>
        </w:tc>
        <w:tc>
          <w:tcPr>
            <w:tcW w:w="992" w:type="dxa"/>
            <w:vAlign w:val="center"/>
          </w:tcPr>
          <w:p w14:paraId="047559BF" w14:textId="4C4C8CE2" w:rsidR="0068740F" w:rsidRPr="000E31E9" w:rsidRDefault="0068740F" w:rsidP="0068740F">
            <w:pPr>
              <w:rPr>
                <w:color w:val="000000"/>
                <w:sz w:val="20"/>
                <w:szCs w:val="20"/>
              </w:rPr>
            </w:pPr>
            <w:r>
              <w:rPr>
                <w:color w:val="000000"/>
                <w:sz w:val="20"/>
                <w:szCs w:val="20"/>
              </w:rPr>
              <w:t>01.03.25</w:t>
            </w:r>
          </w:p>
        </w:tc>
        <w:tc>
          <w:tcPr>
            <w:tcW w:w="1160" w:type="dxa"/>
            <w:shd w:val="clear" w:color="auto" w:fill="auto"/>
            <w:noWrap/>
            <w:vAlign w:val="center"/>
          </w:tcPr>
          <w:p w14:paraId="2500ADB5" w14:textId="77777777" w:rsidR="0068740F" w:rsidRPr="000E31E9" w:rsidRDefault="0068740F" w:rsidP="0068740F">
            <w:pPr>
              <w:rPr>
                <w:color w:val="000000"/>
                <w:sz w:val="20"/>
                <w:szCs w:val="20"/>
              </w:rPr>
            </w:pPr>
            <w:proofErr w:type="spellStart"/>
            <w:r w:rsidRPr="000E31E9">
              <w:rPr>
                <w:color w:val="000000"/>
                <w:sz w:val="20"/>
                <w:szCs w:val="20"/>
              </w:rPr>
              <w:t>Eshopy</w:t>
            </w:r>
            <w:proofErr w:type="spellEnd"/>
          </w:p>
        </w:tc>
        <w:tc>
          <w:tcPr>
            <w:tcW w:w="1108" w:type="dxa"/>
            <w:vAlign w:val="center"/>
          </w:tcPr>
          <w:p w14:paraId="2614D0DF" w14:textId="77777777" w:rsidR="0068740F" w:rsidRPr="000E31E9" w:rsidRDefault="0068740F" w:rsidP="0068740F">
            <w:pPr>
              <w:rPr>
                <w:sz w:val="20"/>
                <w:szCs w:val="20"/>
              </w:rPr>
            </w:pPr>
            <w:r w:rsidRPr="000E31E9">
              <w:rPr>
                <w:color w:val="000000"/>
                <w:sz w:val="20"/>
                <w:szCs w:val="20"/>
              </w:rPr>
              <w:t xml:space="preserve">14 500 </w:t>
            </w:r>
          </w:p>
        </w:tc>
        <w:tc>
          <w:tcPr>
            <w:tcW w:w="851" w:type="dxa"/>
            <w:shd w:val="clear" w:color="auto" w:fill="auto"/>
            <w:noWrap/>
            <w:vAlign w:val="center"/>
          </w:tcPr>
          <w:p w14:paraId="079DC5DE" w14:textId="77777777" w:rsidR="0068740F" w:rsidRPr="000E31E9" w:rsidRDefault="0068740F" w:rsidP="0068740F">
            <w:pPr>
              <w:rPr>
                <w:sz w:val="20"/>
                <w:szCs w:val="20"/>
              </w:rPr>
            </w:pPr>
            <w:r w:rsidRPr="000E31E9">
              <w:rPr>
                <w:color w:val="000000"/>
                <w:sz w:val="20"/>
                <w:szCs w:val="20"/>
              </w:rPr>
              <w:t>37</w:t>
            </w:r>
          </w:p>
        </w:tc>
        <w:tc>
          <w:tcPr>
            <w:tcW w:w="843" w:type="dxa"/>
            <w:shd w:val="clear" w:color="auto" w:fill="auto"/>
            <w:noWrap/>
            <w:vAlign w:val="center"/>
          </w:tcPr>
          <w:p w14:paraId="4ABC9ABB" w14:textId="77777777" w:rsidR="0068740F" w:rsidRPr="000E31E9" w:rsidRDefault="0068740F" w:rsidP="0068740F">
            <w:pPr>
              <w:rPr>
                <w:color w:val="000000"/>
                <w:sz w:val="20"/>
                <w:szCs w:val="20"/>
              </w:rPr>
            </w:pPr>
            <w:r w:rsidRPr="000E31E9">
              <w:rPr>
                <w:color w:val="000000"/>
                <w:sz w:val="20"/>
                <w:szCs w:val="20"/>
              </w:rPr>
              <w:t>529 517</w:t>
            </w:r>
          </w:p>
        </w:tc>
        <w:tc>
          <w:tcPr>
            <w:tcW w:w="1000" w:type="dxa"/>
            <w:shd w:val="clear" w:color="auto" w:fill="auto"/>
            <w:noWrap/>
            <w:vAlign w:val="center"/>
          </w:tcPr>
          <w:p w14:paraId="4088E3E8" w14:textId="77777777" w:rsidR="0068740F" w:rsidRPr="000E31E9" w:rsidRDefault="0068740F" w:rsidP="0068740F">
            <w:pPr>
              <w:rPr>
                <w:sz w:val="20"/>
                <w:szCs w:val="20"/>
              </w:rPr>
            </w:pPr>
            <w:r w:rsidRPr="000E31E9">
              <w:rPr>
                <w:color w:val="000000"/>
                <w:sz w:val="20"/>
                <w:szCs w:val="20"/>
              </w:rPr>
              <w:t>In (zvyšuje náklady)</w:t>
            </w:r>
          </w:p>
        </w:tc>
        <w:tc>
          <w:tcPr>
            <w:tcW w:w="708" w:type="dxa"/>
            <w:shd w:val="clear" w:color="auto" w:fill="auto"/>
            <w:noWrap/>
            <w:vAlign w:val="center"/>
          </w:tcPr>
          <w:p w14:paraId="5E9C0B4E" w14:textId="77777777" w:rsidR="0068740F" w:rsidRPr="000E31E9" w:rsidRDefault="0068740F" w:rsidP="0068740F">
            <w:pPr>
              <w:rPr>
                <w:color w:val="000000"/>
                <w:sz w:val="20"/>
                <w:szCs w:val="20"/>
              </w:rPr>
            </w:pPr>
            <w:r w:rsidRPr="000E31E9">
              <w:rPr>
                <w:sz w:val="20"/>
                <w:szCs w:val="20"/>
              </w:rPr>
              <w:t>0</w:t>
            </w:r>
          </w:p>
        </w:tc>
        <w:tc>
          <w:tcPr>
            <w:tcW w:w="1134" w:type="dxa"/>
            <w:vAlign w:val="center"/>
          </w:tcPr>
          <w:p w14:paraId="236A88E1" w14:textId="77777777" w:rsidR="0068740F" w:rsidRPr="000E31E9" w:rsidRDefault="0068740F" w:rsidP="0068740F">
            <w:pPr>
              <w:rPr>
                <w:sz w:val="20"/>
                <w:szCs w:val="20"/>
              </w:rPr>
            </w:pPr>
            <w:r w:rsidRPr="000E31E9">
              <w:rPr>
                <w:color w:val="000000"/>
                <w:sz w:val="20"/>
                <w:szCs w:val="20"/>
              </w:rPr>
              <w:t>0</w:t>
            </w:r>
          </w:p>
        </w:tc>
      </w:tr>
      <w:tr w:rsidR="0068740F" w:rsidRPr="00895898" w14:paraId="460F0BB4" w14:textId="77777777" w:rsidTr="00FC0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4C39D2A5" w14:textId="77777777" w:rsidR="0068740F" w:rsidRPr="000E31E9" w:rsidRDefault="0068740F" w:rsidP="0068740F">
            <w:pPr>
              <w:rPr>
                <w:sz w:val="20"/>
                <w:szCs w:val="20"/>
              </w:rPr>
            </w:pPr>
            <w:r w:rsidRPr="000E31E9">
              <w:rPr>
                <w:color w:val="000000"/>
                <w:sz w:val="20"/>
                <w:szCs w:val="20"/>
              </w:rPr>
              <w:t>3</w:t>
            </w:r>
          </w:p>
        </w:tc>
        <w:tc>
          <w:tcPr>
            <w:tcW w:w="1740" w:type="dxa"/>
            <w:shd w:val="clear" w:color="auto" w:fill="auto"/>
            <w:vAlign w:val="center"/>
          </w:tcPr>
          <w:p w14:paraId="6152D0AB" w14:textId="77777777" w:rsidR="0068740F" w:rsidRPr="000E31E9" w:rsidRDefault="0068740F" w:rsidP="0068740F">
            <w:pPr>
              <w:rPr>
                <w:sz w:val="20"/>
                <w:szCs w:val="20"/>
              </w:rPr>
            </w:pPr>
            <w:r w:rsidRPr="000E31E9">
              <w:rPr>
                <w:color w:val="000000"/>
                <w:sz w:val="20"/>
                <w:szCs w:val="20"/>
              </w:rPr>
              <w:t>Sankcia pre výrobcov v súvislosti s povinnosťou vypracovávať technickú dokumentáciu</w:t>
            </w:r>
          </w:p>
        </w:tc>
        <w:tc>
          <w:tcPr>
            <w:tcW w:w="992" w:type="dxa"/>
            <w:vAlign w:val="center"/>
          </w:tcPr>
          <w:p w14:paraId="411C09F6" w14:textId="77777777" w:rsidR="0068740F" w:rsidRPr="000E31E9" w:rsidRDefault="0068740F" w:rsidP="0068740F">
            <w:pPr>
              <w:rPr>
                <w:sz w:val="20"/>
                <w:szCs w:val="20"/>
              </w:rPr>
            </w:pPr>
            <w:r w:rsidRPr="000E31E9">
              <w:rPr>
                <w:color w:val="000000"/>
                <w:sz w:val="20"/>
                <w:szCs w:val="20"/>
              </w:rPr>
              <w:t>Návrh zákona</w:t>
            </w:r>
          </w:p>
        </w:tc>
        <w:tc>
          <w:tcPr>
            <w:tcW w:w="1134" w:type="dxa"/>
            <w:vAlign w:val="center"/>
          </w:tcPr>
          <w:p w14:paraId="6BB6F409" w14:textId="77777777" w:rsidR="0068740F" w:rsidRPr="000E31E9" w:rsidRDefault="0068740F" w:rsidP="0068740F">
            <w:pPr>
              <w:rPr>
                <w:sz w:val="20"/>
                <w:szCs w:val="20"/>
              </w:rPr>
            </w:pPr>
            <w:r w:rsidRPr="000E31E9">
              <w:rPr>
                <w:color w:val="000000"/>
                <w:sz w:val="20"/>
                <w:szCs w:val="20"/>
              </w:rPr>
              <w:t>Čl. I § 9 ods. 1 písm. a)</w:t>
            </w:r>
          </w:p>
        </w:tc>
        <w:tc>
          <w:tcPr>
            <w:tcW w:w="1843" w:type="dxa"/>
            <w:shd w:val="clear" w:color="auto" w:fill="auto"/>
            <w:vAlign w:val="center"/>
          </w:tcPr>
          <w:p w14:paraId="64BCFD05" w14:textId="77777777" w:rsidR="0068740F" w:rsidRPr="000E31E9" w:rsidDel="00801596" w:rsidRDefault="0068740F" w:rsidP="0068740F">
            <w:pPr>
              <w:pStyle w:val="gmail-m-1648484718305530482msolistparagraph"/>
              <w:spacing w:before="0" w:beforeAutospacing="0" w:after="0" w:afterAutospacing="0"/>
              <w:jc w:val="both"/>
              <w:rPr>
                <w:rFonts w:ascii="Times New Roman" w:eastAsia="Times New Roman" w:hAnsi="Times New Roman" w:cs="Times New Roman"/>
                <w:sz w:val="20"/>
                <w:szCs w:val="20"/>
              </w:rPr>
            </w:pPr>
            <w:r w:rsidRPr="000E31E9">
              <w:rPr>
                <w:rFonts w:ascii="Times New Roman" w:hAnsi="Times New Roman" w:cs="Times New Roman"/>
                <w:color w:val="000000"/>
                <w:sz w:val="20"/>
                <w:szCs w:val="20"/>
              </w:rPr>
              <w:t>2. EÚ úplná harmonizácia</w:t>
            </w:r>
          </w:p>
        </w:tc>
        <w:tc>
          <w:tcPr>
            <w:tcW w:w="992" w:type="dxa"/>
            <w:vAlign w:val="center"/>
          </w:tcPr>
          <w:p w14:paraId="41439D7B" w14:textId="2FC58F26" w:rsidR="0068740F" w:rsidRPr="000E31E9" w:rsidRDefault="0068740F" w:rsidP="0068740F">
            <w:pPr>
              <w:rPr>
                <w:color w:val="000000"/>
                <w:sz w:val="20"/>
                <w:szCs w:val="20"/>
              </w:rPr>
            </w:pPr>
            <w:r>
              <w:rPr>
                <w:color w:val="000000"/>
                <w:sz w:val="20"/>
                <w:szCs w:val="20"/>
              </w:rPr>
              <w:t>01.03.25</w:t>
            </w:r>
          </w:p>
        </w:tc>
        <w:tc>
          <w:tcPr>
            <w:tcW w:w="1160" w:type="dxa"/>
            <w:shd w:val="clear" w:color="auto" w:fill="auto"/>
            <w:noWrap/>
            <w:vAlign w:val="center"/>
          </w:tcPr>
          <w:p w14:paraId="59FD4A67" w14:textId="77777777" w:rsidR="0068740F" w:rsidRPr="000E31E9" w:rsidRDefault="0068740F" w:rsidP="0068740F">
            <w:pPr>
              <w:rPr>
                <w:color w:val="000000"/>
                <w:sz w:val="20"/>
                <w:szCs w:val="20"/>
              </w:rPr>
            </w:pPr>
            <w:r w:rsidRPr="000E31E9">
              <w:rPr>
                <w:color w:val="000000"/>
                <w:sz w:val="20"/>
                <w:szCs w:val="20"/>
              </w:rPr>
              <w:t>Výrobcovia</w:t>
            </w:r>
          </w:p>
        </w:tc>
        <w:tc>
          <w:tcPr>
            <w:tcW w:w="1108" w:type="dxa"/>
            <w:vAlign w:val="center"/>
          </w:tcPr>
          <w:p w14:paraId="651C3FA3" w14:textId="77777777" w:rsidR="0068740F" w:rsidRPr="000E31E9" w:rsidRDefault="0068740F" w:rsidP="0068740F">
            <w:pPr>
              <w:rPr>
                <w:sz w:val="20"/>
                <w:szCs w:val="20"/>
              </w:rPr>
            </w:pPr>
            <w:r w:rsidRPr="000E31E9">
              <w:rPr>
                <w:color w:val="000000"/>
                <w:sz w:val="20"/>
                <w:szCs w:val="20"/>
              </w:rPr>
              <w:t xml:space="preserve">                   5 </w:t>
            </w:r>
          </w:p>
        </w:tc>
        <w:tc>
          <w:tcPr>
            <w:tcW w:w="851" w:type="dxa"/>
            <w:shd w:val="clear" w:color="auto" w:fill="auto"/>
            <w:noWrap/>
            <w:vAlign w:val="center"/>
          </w:tcPr>
          <w:p w14:paraId="07C2317A" w14:textId="77777777" w:rsidR="0068740F" w:rsidRPr="000E31E9" w:rsidRDefault="0068740F" w:rsidP="0068740F">
            <w:pPr>
              <w:rPr>
                <w:sz w:val="20"/>
                <w:szCs w:val="20"/>
              </w:rPr>
            </w:pPr>
            <w:r w:rsidRPr="000E31E9">
              <w:rPr>
                <w:color w:val="000000"/>
                <w:sz w:val="20"/>
                <w:szCs w:val="20"/>
              </w:rPr>
              <w:t>1 609</w:t>
            </w:r>
          </w:p>
        </w:tc>
        <w:tc>
          <w:tcPr>
            <w:tcW w:w="843" w:type="dxa"/>
            <w:shd w:val="clear" w:color="auto" w:fill="auto"/>
            <w:noWrap/>
            <w:vAlign w:val="center"/>
          </w:tcPr>
          <w:p w14:paraId="3FF0BFF4" w14:textId="77777777" w:rsidR="0068740F" w:rsidRPr="000E31E9" w:rsidRDefault="0068740F" w:rsidP="0068740F">
            <w:pPr>
              <w:rPr>
                <w:color w:val="000000"/>
                <w:sz w:val="20"/>
                <w:szCs w:val="20"/>
              </w:rPr>
            </w:pPr>
            <w:r w:rsidRPr="000E31E9">
              <w:rPr>
                <w:color w:val="000000"/>
                <w:sz w:val="20"/>
                <w:szCs w:val="20"/>
              </w:rPr>
              <w:t>8 044</w:t>
            </w:r>
          </w:p>
        </w:tc>
        <w:tc>
          <w:tcPr>
            <w:tcW w:w="1000" w:type="dxa"/>
            <w:shd w:val="clear" w:color="auto" w:fill="auto"/>
            <w:noWrap/>
            <w:vAlign w:val="center"/>
          </w:tcPr>
          <w:p w14:paraId="1200DB0B" w14:textId="77777777" w:rsidR="0068740F" w:rsidRPr="000E31E9" w:rsidRDefault="0068740F" w:rsidP="0068740F">
            <w:pPr>
              <w:rPr>
                <w:sz w:val="20"/>
                <w:szCs w:val="20"/>
              </w:rPr>
            </w:pPr>
            <w:r w:rsidRPr="000E31E9">
              <w:rPr>
                <w:color w:val="000000"/>
                <w:sz w:val="20"/>
                <w:szCs w:val="20"/>
              </w:rPr>
              <w:t>In (zvyšuje náklady)</w:t>
            </w:r>
          </w:p>
        </w:tc>
        <w:tc>
          <w:tcPr>
            <w:tcW w:w="708" w:type="dxa"/>
            <w:shd w:val="clear" w:color="auto" w:fill="auto"/>
            <w:noWrap/>
            <w:vAlign w:val="center"/>
          </w:tcPr>
          <w:p w14:paraId="45E001F3" w14:textId="77777777" w:rsidR="0068740F" w:rsidRPr="000E31E9" w:rsidRDefault="0068740F" w:rsidP="0068740F">
            <w:pPr>
              <w:rPr>
                <w:color w:val="000000"/>
                <w:sz w:val="20"/>
                <w:szCs w:val="20"/>
              </w:rPr>
            </w:pPr>
            <w:r w:rsidRPr="000E31E9">
              <w:rPr>
                <w:sz w:val="20"/>
                <w:szCs w:val="20"/>
              </w:rPr>
              <w:t>0</w:t>
            </w:r>
          </w:p>
        </w:tc>
        <w:tc>
          <w:tcPr>
            <w:tcW w:w="1134" w:type="dxa"/>
            <w:vAlign w:val="center"/>
          </w:tcPr>
          <w:p w14:paraId="3DB78FA9" w14:textId="77777777" w:rsidR="0068740F" w:rsidRPr="000E31E9" w:rsidRDefault="0068740F" w:rsidP="0068740F">
            <w:pPr>
              <w:rPr>
                <w:sz w:val="20"/>
                <w:szCs w:val="20"/>
              </w:rPr>
            </w:pPr>
            <w:r w:rsidRPr="000E31E9">
              <w:rPr>
                <w:color w:val="000000"/>
                <w:sz w:val="20"/>
                <w:szCs w:val="20"/>
              </w:rPr>
              <w:t>0</w:t>
            </w:r>
          </w:p>
        </w:tc>
      </w:tr>
    </w:tbl>
    <w:p w14:paraId="4A40D2E7" w14:textId="77777777" w:rsidR="00B90F24" w:rsidRPr="00895898" w:rsidRDefault="00B90F24" w:rsidP="00B90F24">
      <w:pPr>
        <w:jc w:val="both"/>
        <w:rPr>
          <w:rFonts w:eastAsia="Calibri"/>
          <w:i/>
        </w:rPr>
      </w:pPr>
    </w:p>
    <w:p w14:paraId="33E7D1F1" w14:textId="77777777" w:rsidR="00B90F24" w:rsidRPr="00895898" w:rsidRDefault="00B90F24" w:rsidP="00B90F24">
      <w:pPr>
        <w:jc w:val="both"/>
        <w:rPr>
          <w:rFonts w:eastAsia="Calibri"/>
          <w:b/>
          <w:bCs/>
          <w:i/>
        </w:rPr>
        <w:sectPr w:rsidR="00B90F24" w:rsidRPr="00895898" w:rsidSect="00FC031F">
          <w:pgSz w:w="16838" w:h="11906" w:orient="landscape"/>
          <w:pgMar w:top="1417" w:right="1417" w:bottom="1417" w:left="1417" w:header="708" w:footer="708" w:gutter="0"/>
          <w:cols w:space="708"/>
          <w:docGrid w:linePitch="360"/>
        </w:sectPr>
      </w:pPr>
    </w:p>
    <w:p w14:paraId="5F6DE536" w14:textId="77777777" w:rsidR="00B90F24" w:rsidRPr="001F1B43" w:rsidRDefault="00B90F24" w:rsidP="00B90F24">
      <w:pPr>
        <w:jc w:val="both"/>
        <w:rPr>
          <w:rFonts w:eastAsia="Calibri"/>
          <w:b/>
          <w:bCs/>
          <w:i/>
          <w:u w:val="single"/>
        </w:rPr>
      </w:pPr>
      <w:r>
        <w:rPr>
          <w:rFonts w:eastAsia="Calibri"/>
          <w:b/>
          <w:bCs/>
          <w:i/>
          <w:u w:val="single"/>
        </w:rPr>
        <w:lastRenderedPageBreak/>
        <w:t xml:space="preserve">3.1.3 </w:t>
      </w:r>
      <w:r w:rsidRPr="001F1B43">
        <w:rPr>
          <w:rFonts w:eastAsia="Calibri"/>
          <w:b/>
          <w:bCs/>
          <w:i/>
          <w:u w:val="single"/>
        </w:rPr>
        <w:t xml:space="preserve">Doplňujúce informácie k spôsobu výpočtu vplyvov jednotlivých regulácií na zmenu nákladov </w:t>
      </w:r>
    </w:p>
    <w:p w14:paraId="15FF4095" w14:textId="77777777" w:rsidR="00B90F24" w:rsidRDefault="00B90F24" w:rsidP="00B90F24">
      <w:pPr>
        <w:jc w:val="both"/>
        <w:rPr>
          <w:rFonts w:eastAsia="Calibri"/>
          <w:bCs/>
          <w:i/>
          <w:iCs/>
          <w:color w:val="000000"/>
        </w:rPr>
      </w:pPr>
      <w:r w:rsidRPr="00D8247C">
        <w:rPr>
          <w:rFonts w:eastAsia="Calibri"/>
          <w:bCs/>
          <w:i/>
          <w:iCs/>
          <w:color w:val="000000"/>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eastAsia="Calibri"/>
          <w:bCs/>
          <w:i/>
          <w:iCs/>
          <w:color w:val="000000"/>
        </w:rPr>
        <w:t>link</w:t>
      </w:r>
      <w:proofErr w:type="spellEnd"/>
      <w:r w:rsidRPr="00D8247C">
        <w:rPr>
          <w:rFonts w:eastAsia="Calibri"/>
          <w:bCs/>
          <w:i/>
          <w:iCs/>
          <w:color w:val="000000"/>
        </w:rPr>
        <w:t xml:space="preserve"> na konkrétne štatistiky, ak sú dostupné na internete). Jednotlivé regulácie môžu mať jeden alebo viac typov nákladov (A. Dane, odvody, clá</w:t>
      </w:r>
      <w:r>
        <w:rPr>
          <w:rFonts w:eastAsia="Calibri"/>
          <w:bCs/>
          <w:i/>
          <w:iCs/>
          <w:color w:val="000000"/>
        </w:rPr>
        <w:t xml:space="preserve"> </w:t>
      </w:r>
      <w:r w:rsidRPr="00A000DA">
        <w:rPr>
          <w:rFonts w:eastAsia="Calibri"/>
          <w:bCs/>
          <w:i/>
          <w:iCs/>
          <w:color w:val="000000"/>
        </w:rPr>
        <w:t xml:space="preserve">a poplatky, ktorých cieľom je znižovať negatívne </w:t>
      </w:r>
      <w:proofErr w:type="spellStart"/>
      <w:r w:rsidRPr="00A000DA">
        <w:rPr>
          <w:rFonts w:eastAsia="Calibri"/>
          <w:bCs/>
          <w:i/>
          <w:iCs/>
          <w:color w:val="000000"/>
        </w:rPr>
        <w:t>externality</w:t>
      </w:r>
      <w:proofErr w:type="spellEnd"/>
      <w:r w:rsidRPr="00D8247C">
        <w:rPr>
          <w:rFonts w:eastAsia="Calibri"/>
          <w:bCs/>
          <w:i/>
          <w:iCs/>
          <w:color w:val="000000"/>
        </w:rPr>
        <w:t xml:space="preserve">, B. </w:t>
      </w:r>
      <w:r>
        <w:rPr>
          <w:rFonts w:eastAsia="Calibri"/>
          <w:bCs/>
          <w:i/>
          <w:iCs/>
          <w:color w:val="000000"/>
        </w:rPr>
        <w:t>Iné p</w:t>
      </w:r>
      <w:r w:rsidRPr="00D8247C">
        <w:rPr>
          <w:rFonts w:eastAsia="Calibri"/>
          <w:bCs/>
          <w:i/>
          <w:iCs/>
          <w:color w:val="000000"/>
        </w:rPr>
        <w:t>oplatky</w:t>
      </w:r>
      <w:r w:rsidRPr="00952CF6">
        <w:rPr>
          <w:rFonts w:eastAsia="Calibri"/>
          <w:bCs/>
          <w:i/>
          <w:iCs/>
          <w:color w:val="000000"/>
        </w:rPr>
        <w:t>,</w:t>
      </w:r>
      <w:r w:rsidRPr="00D8247C">
        <w:rPr>
          <w:rFonts w:eastAsia="Calibri"/>
          <w:bCs/>
          <w:i/>
          <w:iCs/>
          <w:color w:val="000000"/>
        </w:rPr>
        <w:t xml:space="preserve"> C. </w:t>
      </w:r>
      <w:r>
        <w:rPr>
          <w:rFonts w:eastAsia="Calibri"/>
          <w:bCs/>
          <w:i/>
          <w:iCs/>
          <w:color w:val="000000"/>
        </w:rPr>
        <w:t>Sankcie</w:t>
      </w:r>
      <w:r w:rsidRPr="00D8247C">
        <w:rPr>
          <w:rFonts w:eastAsia="Calibri"/>
          <w:bCs/>
          <w:i/>
          <w:iCs/>
          <w:color w:val="000000"/>
        </w:rPr>
        <w:t xml:space="preserve">, D. </w:t>
      </w:r>
      <w:r>
        <w:rPr>
          <w:rFonts w:eastAsia="Calibri"/>
          <w:bCs/>
          <w:i/>
          <w:iCs/>
          <w:color w:val="000000"/>
        </w:rPr>
        <w:t xml:space="preserve">Nepriame finančné náklady, E. </w:t>
      </w:r>
      <w:r w:rsidRPr="00D8247C">
        <w:rPr>
          <w:rFonts w:eastAsia="Calibri"/>
          <w:bCs/>
          <w:i/>
          <w:iCs/>
          <w:color w:val="000000"/>
        </w:rPr>
        <w:t xml:space="preserve">Administratívne náklady). Rozčleňte ich a vypočítajte v súlade s metodickým postupom. </w:t>
      </w:r>
    </w:p>
    <w:p w14:paraId="7C5D402F" w14:textId="77777777" w:rsidR="00B90F24" w:rsidRDefault="00B90F24" w:rsidP="00B90F24">
      <w:pPr>
        <w:jc w:val="both"/>
        <w:rPr>
          <w:rFonts w:eastAsia="Calibri"/>
          <w:bCs/>
          <w:i/>
          <w:iCs/>
          <w:color w:val="000000"/>
        </w:rPr>
      </w:pPr>
    </w:p>
    <w:p w14:paraId="207443C9" w14:textId="77777777" w:rsidR="00B90F24" w:rsidRDefault="00B90F24" w:rsidP="00B5003C">
      <w:pPr>
        <w:pStyle w:val="Odsekzoznamu"/>
        <w:numPr>
          <w:ilvl w:val="0"/>
          <w:numId w:val="26"/>
        </w:numPr>
        <w:spacing w:after="160" w:line="259" w:lineRule="auto"/>
        <w:jc w:val="both"/>
        <w:rPr>
          <w:rFonts w:eastAsia="Calibri"/>
          <w:b/>
          <w:bCs/>
          <w:iCs/>
          <w:color w:val="000000"/>
        </w:rPr>
      </w:pPr>
      <w:r w:rsidRPr="007151B2">
        <w:rPr>
          <w:rFonts w:eastAsia="Calibri"/>
          <w:b/>
          <w:bCs/>
          <w:iCs/>
          <w:color w:val="000000"/>
        </w:rPr>
        <w:t>Nová právna úprava pre oblasť všeobecnej bezpečnosti výrobkov</w:t>
      </w:r>
      <w:r>
        <w:rPr>
          <w:rFonts w:eastAsia="Calibri"/>
          <w:b/>
          <w:bCs/>
          <w:iCs/>
          <w:color w:val="000000"/>
        </w:rPr>
        <w:t xml:space="preserve"> – hospodárske subjekty</w:t>
      </w:r>
    </w:p>
    <w:p w14:paraId="27594179" w14:textId="21D2B1FF" w:rsidR="00B90F24" w:rsidRDefault="00B90F24" w:rsidP="00B90F24">
      <w:pPr>
        <w:jc w:val="both"/>
        <w:rPr>
          <w:rFonts w:eastAsia="Calibri"/>
          <w:bCs/>
          <w:iCs/>
          <w:color w:val="000000"/>
        </w:rPr>
      </w:pPr>
      <w:r>
        <w:rPr>
          <w:rFonts w:eastAsia="Calibri"/>
          <w:bCs/>
          <w:iCs/>
          <w:color w:val="000000"/>
        </w:rPr>
        <w:t xml:space="preserve">Návrh zákona predstavuje implementáciu nariadenia (EÚ) 2023/988 </w:t>
      </w:r>
      <w:r w:rsidRPr="007151B2">
        <w:rPr>
          <w:rFonts w:eastAsia="Calibri"/>
          <w:bCs/>
          <w:iCs/>
          <w:color w:val="000000"/>
        </w:rPr>
        <w:t xml:space="preserve">z 10. mája 2023 </w:t>
      </w:r>
      <w:r w:rsidR="00423298">
        <w:rPr>
          <w:rFonts w:eastAsia="Calibri"/>
          <w:bCs/>
          <w:iCs/>
          <w:color w:val="000000"/>
        </w:rPr>
        <w:br/>
      </w:r>
      <w:r w:rsidRPr="007151B2">
        <w:rPr>
          <w:rFonts w:eastAsia="Calibri"/>
          <w:bCs/>
          <w:iCs/>
          <w:color w:val="000000"/>
        </w:rPr>
        <w:t>o všeobecnej bezpečnosti výrobkov, ktorým sa mení nariadenie Európskeho parlamentu a Rady (EÚ) č. 1025/2012 a smernica Európskeho parlamentu a Rady (EÚ) 2020/1828 a zrušuje smernica Európskeho parlamentu a Rady 2001/95/ES a smernica Rady 87/357/EHS</w:t>
      </w:r>
      <w:r>
        <w:rPr>
          <w:rFonts w:eastAsia="Calibri"/>
          <w:bCs/>
          <w:iCs/>
          <w:color w:val="000000"/>
        </w:rPr>
        <w:t xml:space="preserve">. Návrh zákona sa obmedzuje na implementáciu v rozsahu doplnenia nevyhnutnej právnej úpravy pre aplikovateľnosť a vymáhateľnosť nariadenia (EÚ) 2023/988. Práva a povinnosti hospodárskych subjektov sú obsiahnuté priamo v nariadení (EÚ) 2023/988, ktoré tým zakladá vplyvy na podnikateľské prostredie. </w:t>
      </w:r>
    </w:p>
    <w:p w14:paraId="2631956D" w14:textId="2BC42AAB" w:rsidR="00B90F24" w:rsidRDefault="00B90F24" w:rsidP="00B90F24">
      <w:pPr>
        <w:jc w:val="both"/>
        <w:rPr>
          <w:rFonts w:eastAsia="Calibri"/>
          <w:bCs/>
          <w:iCs/>
          <w:color w:val="000000"/>
        </w:rPr>
      </w:pPr>
      <w:r>
        <w:rPr>
          <w:rFonts w:eastAsia="Calibri"/>
          <w:bCs/>
          <w:iCs/>
          <w:color w:val="000000"/>
        </w:rPr>
        <w:t xml:space="preserve">Predkladateľ uvádza ako vplyvy návrhu zákona sekundárne vplyvy naviazané na úpravu vymáhateľnosti nariadenia (EÚ) 2023/988, ktoré sú spojené s potrebou, aby sa hospodárske subjekty podnikajúce v oblasti, na ktorú sa vzťahuje regulácia všeobecnej bezpečnosti výrobkov, oboznámili s novou právnou úpravou, overil súlad svojich interných procesov s potenciálnou potrebou zmeny vnútorných procesov. Využitím kalkulačky nákladov sa odhaduje, že to spôsobuje administratívne náklady pre podnikateľské prostredie na úrovni cca 319 536 eur. Pre vyššie uvedené typy povinností bola zvolená veľkosť štandardná (vzhľadom na rozsah regulácie) a frekvencia splnenia: jednorazovo. Počet dotknutých subjektov bol určený expertným odhadom, keďže oblasť všeobecnej bezpečnosti výrobkov označuje presne nevymedzenú množinu rôznorodých výrobkov, pre ktoré nejestvuje osobitná regulácia (napr. bicykle, nábytok, náradie, výrobky starostlivosti o deti). </w:t>
      </w:r>
      <w:r w:rsidRPr="004D4B9E">
        <w:rPr>
          <w:rFonts w:eastAsia="Calibri"/>
          <w:bCs/>
          <w:iCs/>
          <w:color w:val="000000"/>
        </w:rPr>
        <w:t>Predkladateľ z tohto dôvodu prepočítal náklady na vybranú skupinu dotknutých subjektov v rámci modelového prík</w:t>
      </w:r>
      <w:r>
        <w:rPr>
          <w:rFonts w:eastAsia="Calibri"/>
          <w:bCs/>
          <w:iCs/>
          <w:color w:val="000000"/>
        </w:rPr>
        <w:t xml:space="preserve">ladu. Počet dotknutých subjektov </w:t>
      </w:r>
      <w:r w:rsidRPr="004D4B9E">
        <w:rPr>
          <w:rFonts w:eastAsia="Calibri"/>
          <w:bCs/>
          <w:iCs/>
          <w:color w:val="000000"/>
        </w:rPr>
        <w:t xml:space="preserve">bol určený použitím údajov z Registra účtovných závierok na základe kódov SK NACE pre tie činnosti, pre ktoré je možné určiť pôsobnosť návrhu zákona. </w:t>
      </w:r>
      <w:r>
        <w:rPr>
          <w:rFonts w:eastAsia="Calibri"/>
          <w:bCs/>
          <w:iCs/>
          <w:color w:val="000000"/>
        </w:rPr>
        <w:t>I</w:t>
      </w:r>
      <w:r w:rsidRPr="004D4B9E">
        <w:rPr>
          <w:rFonts w:eastAsia="Calibri"/>
          <w:bCs/>
          <w:iCs/>
          <w:color w:val="000000"/>
        </w:rPr>
        <w:t xml:space="preserve">de </w:t>
      </w:r>
      <w:r>
        <w:rPr>
          <w:rFonts w:eastAsia="Calibri"/>
          <w:bCs/>
          <w:iCs/>
          <w:color w:val="000000"/>
        </w:rPr>
        <w:t xml:space="preserve">najmä </w:t>
      </w:r>
      <w:r w:rsidRPr="004D4B9E">
        <w:rPr>
          <w:rFonts w:eastAsia="Calibri"/>
          <w:bCs/>
          <w:iCs/>
          <w:color w:val="000000"/>
        </w:rPr>
        <w:t>o kódy SK NACE: 32910, 32300, 32200, 32130, 32120, 14110, 14120, 14130, 14140, 14190, 14200, 14310, 14</w:t>
      </w:r>
      <w:r>
        <w:rPr>
          <w:rFonts w:eastAsia="Calibri"/>
          <w:bCs/>
          <w:iCs/>
          <w:color w:val="000000"/>
        </w:rPr>
        <w:t>390, 31010, 31020, 31030, 31090, 46410, 46420, 46470, 46480, 46490, 46650, 47530, 47590, 47640, 47710, 47720, 47770. Výsledný počet dotknutých hospodárskych subjektov pre tento model</w:t>
      </w:r>
      <w:r w:rsidR="00EE1255">
        <w:rPr>
          <w:rFonts w:eastAsia="Calibri"/>
          <w:bCs/>
          <w:iCs/>
          <w:color w:val="000000"/>
        </w:rPr>
        <w:t xml:space="preserve">ový príklad bol zaokrúhlený na </w:t>
      </w:r>
      <w:r>
        <w:rPr>
          <w:rFonts w:eastAsia="Calibri"/>
          <w:bCs/>
          <w:iCs/>
          <w:color w:val="000000"/>
        </w:rPr>
        <w:t>6 000, keďže je potrebné počítať aj s rezervou pre subjekty mimo rozsah uvedených SK NACE kódov.</w:t>
      </w:r>
    </w:p>
    <w:p w14:paraId="573E419A" w14:textId="77777777" w:rsidR="00B90F24" w:rsidRDefault="00B90F24" w:rsidP="00B90F24">
      <w:pPr>
        <w:jc w:val="both"/>
        <w:rPr>
          <w:rFonts w:eastAsia="Calibri"/>
          <w:bCs/>
          <w:iCs/>
          <w:color w:val="000000"/>
        </w:rPr>
      </w:pPr>
    </w:p>
    <w:p w14:paraId="0A6783F8" w14:textId="77777777" w:rsidR="00B90F24" w:rsidRDefault="00B90F24" w:rsidP="00B5003C">
      <w:pPr>
        <w:pStyle w:val="Odsekzoznamu"/>
        <w:numPr>
          <w:ilvl w:val="0"/>
          <w:numId w:val="26"/>
        </w:numPr>
        <w:spacing w:after="160" w:line="259" w:lineRule="auto"/>
        <w:jc w:val="both"/>
        <w:rPr>
          <w:rFonts w:eastAsia="Calibri"/>
          <w:b/>
          <w:bCs/>
          <w:iCs/>
          <w:color w:val="000000"/>
        </w:rPr>
      </w:pPr>
      <w:r w:rsidRPr="007151B2">
        <w:rPr>
          <w:rFonts w:eastAsia="Calibri"/>
          <w:b/>
          <w:bCs/>
          <w:iCs/>
          <w:color w:val="000000"/>
        </w:rPr>
        <w:t>Nová právna úprava pre oblasť všeobecnej bezpečnosti výrobkov</w:t>
      </w:r>
      <w:r>
        <w:rPr>
          <w:rFonts w:eastAsia="Calibri"/>
          <w:b/>
          <w:bCs/>
          <w:iCs/>
          <w:color w:val="000000"/>
        </w:rPr>
        <w:t xml:space="preserve"> – predaj na diaľku</w:t>
      </w:r>
    </w:p>
    <w:p w14:paraId="403E7E76" w14:textId="77777777" w:rsidR="00B90F24" w:rsidRDefault="00B90F24" w:rsidP="00B90F24">
      <w:pPr>
        <w:jc w:val="both"/>
        <w:rPr>
          <w:rFonts w:eastAsia="Calibri"/>
          <w:bCs/>
          <w:iCs/>
          <w:color w:val="000000"/>
        </w:rPr>
      </w:pPr>
      <w:r>
        <w:rPr>
          <w:rFonts w:eastAsia="Calibri"/>
          <w:bCs/>
          <w:iCs/>
          <w:color w:val="000000"/>
        </w:rPr>
        <w:t xml:space="preserve">Návrh zákona predstavuje implementáciu nariadenia (EÚ) 2023/988, ktoré okrem iného obsahuje aj novú povinnosť pre hospodárske subjekty v prípade predaja na </w:t>
      </w:r>
      <w:r>
        <w:rPr>
          <w:rFonts w:eastAsia="Calibri"/>
          <w:bCs/>
          <w:iCs/>
          <w:color w:val="000000"/>
        </w:rPr>
        <w:lastRenderedPageBreak/>
        <w:t>diaľku. Návrh zákona sa obmedzuje na implementáciu v rozsahu doplnenia nevyhnutnej právnej úpravy pre aplikovateľnosť a vymáhateľnosť nariadenia (EÚ) 2023/988. Povinnosť je obsiahnutá v čl. 19 nariadenia (EÚ) 2023/988, preto nepriame finančné náklady a administratívne náklady s ňou spojené zakladá samotné nariadenie.</w:t>
      </w:r>
    </w:p>
    <w:p w14:paraId="388645A4" w14:textId="77777777" w:rsidR="00B90F24" w:rsidRDefault="00B90F24" w:rsidP="00B90F24">
      <w:pPr>
        <w:jc w:val="both"/>
        <w:rPr>
          <w:szCs w:val="28"/>
        </w:rPr>
      </w:pPr>
      <w:r>
        <w:rPr>
          <w:rFonts w:eastAsia="Calibri"/>
          <w:bCs/>
          <w:iCs/>
          <w:color w:val="000000"/>
        </w:rPr>
        <w:t xml:space="preserve">Predkladateľ uvádza ako vplyvy návrhu zákona sekundárne vplyvy naviazané na úpravu vymáhateľnosti tejto novej povinnosti, ktoré sú spojené s potrebou, aby sa hospodárske subjekty, ktoré predávajú výrobky na diaľku, oboznámili s novou právnou úpravou (zvolená veľkosť povinnosti: malá z dôvodu, že ide o povinnosť v rozsahu jedného článku nariadenia EÚ), zmenili svoje vnútorné procesy (expertným odhadom určená veľkosť povinnosti: štandardná), pravdepodobne s potrebou zapojenia aj externej služby, napr. správcu webu, poskytovateľa </w:t>
      </w:r>
      <w:proofErr w:type="spellStart"/>
      <w:r>
        <w:rPr>
          <w:rFonts w:eastAsia="Calibri"/>
          <w:bCs/>
          <w:iCs/>
          <w:color w:val="000000"/>
        </w:rPr>
        <w:t>hostingu</w:t>
      </w:r>
      <w:proofErr w:type="spellEnd"/>
      <w:r>
        <w:rPr>
          <w:rFonts w:eastAsia="Calibri"/>
          <w:bCs/>
          <w:iCs/>
          <w:color w:val="000000"/>
        </w:rPr>
        <w:t xml:space="preserve"> a pod. (expertným odhadom určená veľkosť povinnosti: štandardná). Využitím kalkulačky nákladov sa odhaduje, že to spôsobuje administratívne náklady pre podnikateľské prostredie v rozsahu cca 529 517 eur. Pre vyššie uvedené typy povinností bola zvolená frekvencia splnenia: jednorazovo. Počet dotknutých subjektov bol určený expertným odhadom. Keďže povinnosť sa dotkne najmä e-</w:t>
      </w:r>
      <w:proofErr w:type="spellStart"/>
      <w:r>
        <w:rPr>
          <w:rFonts w:eastAsia="Calibri"/>
          <w:bCs/>
          <w:iCs/>
          <w:color w:val="000000"/>
        </w:rPr>
        <w:t>shopov</w:t>
      </w:r>
      <w:proofErr w:type="spellEnd"/>
      <w:r>
        <w:rPr>
          <w:rFonts w:eastAsia="Calibri"/>
          <w:bCs/>
          <w:iCs/>
          <w:color w:val="000000"/>
        </w:rPr>
        <w:t xml:space="preserve">, predstavuje odhadovaný počet dotknutých hospodárskych subjektov 14 500 </w:t>
      </w:r>
      <w:r>
        <w:rPr>
          <w:szCs w:val="28"/>
        </w:rPr>
        <w:t>(t. j. počet e-</w:t>
      </w:r>
      <w:proofErr w:type="spellStart"/>
      <w:r>
        <w:rPr>
          <w:szCs w:val="28"/>
        </w:rPr>
        <w:t>shopov</w:t>
      </w:r>
      <w:proofErr w:type="spellEnd"/>
      <w:r>
        <w:rPr>
          <w:szCs w:val="28"/>
        </w:rPr>
        <w:t xml:space="preserve"> v SR za rok 2023 podľa portálu </w:t>
      </w:r>
      <w:proofErr w:type="spellStart"/>
      <w:r>
        <w:rPr>
          <w:szCs w:val="28"/>
        </w:rPr>
        <w:t>Heureka</w:t>
      </w:r>
      <w:proofErr w:type="spellEnd"/>
      <w:r>
        <w:rPr>
          <w:szCs w:val="28"/>
        </w:rPr>
        <w:t xml:space="preserve"> (</w:t>
      </w:r>
      <w:hyperlink r:id="rId11" w:history="1">
        <w:r w:rsidRPr="00CE12C4">
          <w:rPr>
            <w:rStyle w:val="Hypertextovprepojenie"/>
            <w:szCs w:val="28"/>
          </w:rPr>
          <w:t>https://heureka.group/sk-sk/o-nas/tlacove-centrum/tlacove-spravy/vianoce-vratili-slovensky-e-commerce-v-poslednom-kvartali-k-rastu-celkovo-vsak-skoncil-4-oproti-vlanajsku/</w:t>
        </w:r>
      </w:hyperlink>
      <w:r>
        <w:rPr>
          <w:szCs w:val="28"/>
        </w:rPr>
        <w:t>; je dôležité upozorniť, že nie všetky e-</w:t>
      </w:r>
      <w:proofErr w:type="spellStart"/>
      <w:r>
        <w:rPr>
          <w:szCs w:val="28"/>
        </w:rPr>
        <w:t>shopy</w:t>
      </w:r>
      <w:proofErr w:type="spellEnd"/>
      <w:r>
        <w:rPr>
          <w:szCs w:val="28"/>
        </w:rPr>
        <w:t xml:space="preserve"> sa musia venovať sprístupňovaniu výrobkov na trhu, a teda nová povinnosť sa na nich nevzťahuje). </w:t>
      </w:r>
    </w:p>
    <w:p w14:paraId="122A7714" w14:textId="68215ABA" w:rsidR="00B90F24" w:rsidRDefault="00B90F24" w:rsidP="00B90F24">
      <w:pPr>
        <w:jc w:val="both"/>
        <w:rPr>
          <w:szCs w:val="28"/>
        </w:rPr>
      </w:pPr>
      <w:r>
        <w:rPr>
          <w:szCs w:val="28"/>
        </w:rPr>
        <w:t>Uvedené náklady v sebe zahŕňajú aj náklady v súvislosti so špecifikáciou jazykových požiadaviek v čl. I § 2 ods. 4 návrhu zákona, ako to predpokladá čl. 19 písm. d) nariadenia (EÚ) 2023/988. Nariadenie kladie požiadavku na zrozumiteľnosť informácií pre spotrebiteľov, preto sa v návrhu zákona ustanovuje, aby sa tieto informácie poskytli v</w:t>
      </w:r>
      <w:r w:rsidR="00C336D0">
        <w:rPr>
          <w:szCs w:val="28"/>
        </w:rPr>
        <w:t xml:space="preserve"> slovenskom </w:t>
      </w:r>
      <w:r>
        <w:rPr>
          <w:szCs w:val="28"/>
        </w:rPr>
        <w:t xml:space="preserve">jazyku, </w:t>
      </w:r>
      <w:r w:rsidR="00C336D0">
        <w:rPr>
          <w:szCs w:val="28"/>
        </w:rPr>
        <w:t xml:space="preserve">ak je predaj na diaľku zacielený na spotrebiteľov na Slovensku, ak nie, môže sa použiť jazyk zodpovedajúci jazyku, v ktorom sa komunikuje ponuka alebo objednávka </w:t>
      </w:r>
      <w:r>
        <w:rPr>
          <w:szCs w:val="28"/>
        </w:rPr>
        <w:t xml:space="preserve">(predpokladá sa, že ak spotrebiteľ nakupuje na online rozhraní, ktoré je vedené v konkrétnom jazyku, je schopný porozumieť informáciám v tomto jazyku). </w:t>
      </w:r>
    </w:p>
    <w:p w14:paraId="0226ED39" w14:textId="77777777" w:rsidR="00B90F24" w:rsidRDefault="00B90F24" w:rsidP="00B90F24">
      <w:pPr>
        <w:jc w:val="both"/>
        <w:rPr>
          <w:szCs w:val="28"/>
        </w:rPr>
      </w:pPr>
    </w:p>
    <w:p w14:paraId="2A67449A" w14:textId="77777777" w:rsidR="00B90F24" w:rsidRPr="003F02A3" w:rsidRDefault="00B90F24" w:rsidP="00B5003C">
      <w:pPr>
        <w:pStyle w:val="Odsekzoznamu"/>
        <w:numPr>
          <w:ilvl w:val="0"/>
          <w:numId w:val="26"/>
        </w:numPr>
        <w:spacing w:after="160" w:line="259" w:lineRule="auto"/>
        <w:jc w:val="both"/>
        <w:rPr>
          <w:rFonts w:eastAsia="Calibri"/>
          <w:bCs/>
          <w:iCs/>
          <w:color w:val="000000"/>
        </w:rPr>
      </w:pPr>
      <w:r w:rsidRPr="003F02A3">
        <w:rPr>
          <w:rFonts w:eastAsia="Calibri"/>
          <w:b/>
          <w:bCs/>
          <w:iCs/>
          <w:color w:val="000000"/>
        </w:rPr>
        <w:t xml:space="preserve">Sankcia pre výrobcov v súvislosti s povinnosťou vypracovávať technickú dokumentáciu </w:t>
      </w:r>
      <w:r w:rsidRPr="003F02A3">
        <w:rPr>
          <w:rFonts w:eastAsia="Calibri"/>
          <w:bCs/>
          <w:iCs/>
          <w:color w:val="000000"/>
        </w:rPr>
        <w:t>(čl. 9 ods. 2 a 3 nariadenia (EÚ) 2023/988)</w:t>
      </w:r>
    </w:p>
    <w:p w14:paraId="56BF97D2" w14:textId="77777777" w:rsidR="00B90F24" w:rsidRPr="003F02A3" w:rsidRDefault="00B90F24" w:rsidP="00B90F24">
      <w:pPr>
        <w:jc w:val="both"/>
        <w:rPr>
          <w:rFonts w:eastAsia="Calibri"/>
          <w:bCs/>
          <w:iCs/>
          <w:color w:val="000000"/>
        </w:rPr>
      </w:pPr>
      <w:r w:rsidRPr="003F02A3">
        <w:rPr>
          <w:rFonts w:eastAsia="Calibri"/>
          <w:bCs/>
          <w:iCs/>
          <w:color w:val="000000"/>
        </w:rPr>
        <w:t xml:space="preserve">Aj doposiaľ mali výrobcovia výrobkov, na ktorých sa vzťahovala regulácia všeobecnej bezpečnosti výrobkov, povinnosť preukázať, že výrobok je bezpečný. Nariadenie (EÚ) 2023/988 vyslovene hovorí o povinnosti vypracovávania technickej dokumentácie, </w:t>
      </w:r>
      <w:r>
        <w:rPr>
          <w:rFonts w:eastAsia="Calibri"/>
          <w:bCs/>
          <w:iCs/>
          <w:color w:val="000000"/>
        </w:rPr>
        <w:t xml:space="preserve">o </w:t>
      </w:r>
      <w:r w:rsidRPr="003F02A3">
        <w:rPr>
          <w:rFonts w:eastAsia="Calibri"/>
          <w:bCs/>
          <w:iCs/>
          <w:color w:val="000000"/>
        </w:rPr>
        <w:t>jej náležitostiach, povin</w:t>
      </w:r>
      <w:r>
        <w:rPr>
          <w:rFonts w:eastAsia="Calibri"/>
          <w:bCs/>
          <w:iCs/>
          <w:color w:val="000000"/>
        </w:rPr>
        <w:t>nosti jej uchovávania a aktualizácie</w:t>
      </w:r>
      <w:r w:rsidRPr="003F02A3">
        <w:rPr>
          <w:rFonts w:eastAsia="Calibri"/>
          <w:bCs/>
          <w:iCs/>
          <w:color w:val="000000"/>
        </w:rPr>
        <w:t xml:space="preserve">. </w:t>
      </w:r>
    </w:p>
    <w:p w14:paraId="0F3035E6" w14:textId="416DD257" w:rsidR="00B90F24" w:rsidRDefault="00B90F24" w:rsidP="00B90F24">
      <w:pPr>
        <w:jc w:val="both"/>
        <w:rPr>
          <w:rFonts w:eastAsia="Calibri"/>
          <w:bCs/>
          <w:iCs/>
          <w:color w:val="000000"/>
        </w:rPr>
      </w:pPr>
      <w:r>
        <w:rPr>
          <w:rFonts w:eastAsia="Calibri"/>
          <w:bCs/>
          <w:iCs/>
          <w:color w:val="000000"/>
        </w:rPr>
        <w:t xml:space="preserve">Pre kvantifikáciu nepriamych finančných nákladov – sankcií bol využitý model pripodobňovania pokút. Z činnosti Slovenskej obchodnej inšpekcie sú dostupné nasledovné dáta, ktoré sa týkajú uložení pokút za nebezpečný výrobok podľa zákona č. 250/2007 Z. z. </w:t>
      </w:r>
      <w:r w:rsidR="00725EE5">
        <w:rPr>
          <w:rFonts w:eastAsia="Calibri"/>
          <w:bCs/>
          <w:iCs/>
          <w:color w:val="000000"/>
        </w:rPr>
        <w:br/>
      </w:r>
      <w:r w:rsidRPr="00FA3B85">
        <w:rPr>
          <w:rFonts w:eastAsia="Calibri"/>
          <w:bCs/>
          <w:iCs/>
          <w:color w:val="000000"/>
        </w:rPr>
        <w:t xml:space="preserve">o ochrane spotrebiteľa a o zmene zákona Slovenskej národnej rady č. 372/1990 Zb. </w:t>
      </w:r>
      <w:r w:rsidR="00725EE5">
        <w:rPr>
          <w:rFonts w:eastAsia="Calibri"/>
          <w:bCs/>
          <w:iCs/>
          <w:color w:val="000000"/>
        </w:rPr>
        <w:br/>
      </w:r>
      <w:r w:rsidRPr="00FA3B85">
        <w:rPr>
          <w:rFonts w:eastAsia="Calibri"/>
          <w:bCs/>
          <w:iCs/>
          <w:color w:val="000000"/>
        </w:rPr>
        <w:t>o priestupkoch v znení neskorších predpisov</w:t>
      </w:r>
      <w:r>
        <w:rPr>
          <w:rFonts w:eastAsia="Calibri"/>
          <w:bCs/>
          <w:iCs/>
          <w:color w:val="000000"/>
        </w:rPr>
        <w:t xml:space="preserve"> v znení neskorších predpisov, ktorým bola transponovaná smernica 2001/95/ES pred revíziou spotrebiteľského práva a prijatím zákona </w:t>
      </w:r>
      <w:r w:rsidR="00725EE5">
        <w:rPr>
          <w:rFonts w:eastAsia="Calibri"/>
          <w:bCs/>
          <w:iCs/>
          <w:color w:val="000000"/>
        </w:rPr>
        <w:br/>
      </w:r>
      <w:r>
        <w:rPr>
          <w:rFonts w:eastAsia="Calibri"/>
          <w:bCs/>
          <w:iCs/>
          <w:color w:val="000000"/>
        </w:rPr>
        <w:t>č. 281/2023 Z. z. o všeobecnej bezpečnosti výrobkov a o zmene a doplnení niektorých z</w:t>
      </w:r>
      <w:r w:rsidR="00C1514E">
        <w:rPr>
          <w:rFonts w:eastAsia="Calibri"/>
          <w:bCs/>
          <w:iCs/>
          <w:color w:val="000000"/>
        </w:rPr>
        <w:t>ákonov (podľa zákona č. 281/2023</w:t>
      </w:r>
      <w:r>
        <w:rPr>
          <w:rFonts w:eastAsia="Calibri"/>
          <w:bCs/>
          <w:iCs/>
          <w:color w:val="000000"/>
        </w:rPr>
        <w:t xml:space="preserve"> Z. z. boli pokuty ukladané až od roku 2024):</w:t>
      </w:r>
    </w:p>
    <w:p w14:paraId="47906D87" w14:textId="77777777" w:rsidR="00B90F24" w:rsidRDefault="00B90F24" w:rsidP="00B90F24">
      <w:pPr>
        <w:jc w:val="both"/>
        <w:rPr>
          <w:rFonts w:eastAsia="Calibri"/>
          <w:bCs/>
          <w:iCs/>
          <w:color w:val="000000"/>
        </w:rPr>
      </w:pPr>
    </w:p>
    <w:tbl>
      <w:tblPr>
        <w:tblStyle w:val="Mriekatabuky"/>
        <w:tblW w:w="0" w:type="auto"/>
        <w:jc w:val="center"/>
        <w:tblLook w:val="04A0" w:firstRow="1" w:lastRow="0" w:firstColumn="1" w:lastColumn="0" w:noHBand="0" w:noVBand="1"/>
      </w:tblPr>
      <w:tblGrid>
        <w:gridCol w:w="1271"/>
        <w:gridCol w:w="3119"/>
        <w:gridCol w:w="2976"/>
      </w:tblGrid>
      <w:tr w:rsidR="00B90F24" w14:paraId="72448C9B" w14:textId="77777777" w:rsidTr="00FC031F">
        <w:trPr>
          <w:jc w:val="center"/>
        </w:trPr>
        <w:tc>
          <w:tcPr>
            <w:tcW w:w="1271" w:type="dxa"/>
            <w:vAlign w:val="center"/>
          </w:tcPr>
          <w:p w14:paraId="0AC6BDFF" w14:textId="77777777" w:rsidR="00B90F24" w:rsidRDefault="00B90F24" w:rsidP="00FC031F">
            <w:pPr>
              <w:jc w:val="center"/>
              <w:rPr>
                <w:rFonts w:eastAsia="Calibri"/>
                <w:bCs/>
                <w:iCs/>
                <w:color w:val="000000"/>
              </w:rPr>
            </w:pPr>
            <w:r>
              <w:rPr>
                <w:rFonts w:eastAsia="Calibri"/>
                <w:bCs/>
                <w:iCs/>
                <w:color w:val="000000"/>
              </w:rPr>
              <w:t>Rok</w:t>
            </w:r>
          </w:p>
        </w:tc>
        <w:tc>
          <w:tcPr>
            <w:tcW w:w="3119" w:type="dxa"/>
            <w:vAlign w:val="center"/>
          </w:tcPr>
          <w:p w14:paraId="05738CF9" w14:textId="77777777" w:rsidR="00B90F24" w:rsidRDefault="00B90F24" w:rsidP="00FC031F">
            <w:pPr>
              <w:jc w:val="center"/>
              <w:rPr>
                <w:rFonts w:eastAsia="Calibri"/>
                <w:bCs/>
                <w:iCs/>
                <w:color w:val="000000"/>
              </w:rPr>
            </w:pPr>
            <w:r>
              <w:rPr>
                <w:rFonts w:eastAsia="Calibri"/>
                <w:bCs/>
                <w:iCs/>
                <w:color w:val="000000"/>
              </w:rPr>
              <w:t>Počet pokút</w:t>
            </w:r>
          </w:p>
        </w:tc>
        <w:tc>
          <w:tcPr>
            <w:tcW w:w="2976" w:type="dxa"/>
            <w:vAlign w:val="center"/>
          </w:tcPr>
          <w:p w14:paraId="3CF3DBD0" w14:textId="77777777" w:rsidR="00B90F24" w:rsidRDefault="00B90F24" w:rsidP="00FC031F">
            <w:pPr>
              <w:jc w:val="center"/>
              <w:rPr>
                <w:rFonts w:eastAsia="Calibri"/>
                <w:bCs/>
                <w:iCs/>
                <w:color w:val="000000"/>
              </w:rPr>
            </w:pPr>
            <w:r>
              <w:rPr>
                <w:rFonts w:eastAsia="Calibri"/>
                <w:bCs/>
                <w:iCs/>
                <w:color w:val="000000"/>
              </w:rPr>
              <w:t>Priemerná výška pokuty</w:t>
            </w:r>
          </w:p>
        </w:tc>
      </w:tr>
      <w:tr w:rsidR="00B90F24" w14:paraId="159C3D32" w14:textId="77777777" w:rsidTr="00FC031F">
        <w:trPr>
          <w:jc w:val="center"/>
        </w:trPr>
        <w:tc>
          <w:tcPr>
            <w:tcW w:w="1271" w:type="dxa"/>
            <w:vAlign w:val="center"/>
          </w:tcPr>
          <w:p w14:paraId="4AD3128A" w14:textId="77777777" w:rsidR="00B90F24" w:rsidRDefault="00B90F24" w:rsidP="00FC031F">
            <w:pPr>
              <w:jc w:val="center"/>
              <w:rPr>
                <w:rFonts w:eastAsia="Calibri"/>
                <w:bCs/>
                <w:iCs/>
                <w:color w:val="000000"/>
              </w:rPr>
            </w:pPr>
            <w:r>
              <w:rPr>
                <w:rFonts w:eastAsia="Calibri"/>
                <w:bCs/>
                <w:iCs/>
                <w:color w:val="000000"/>
              </w:rPr>
              <w:t>2019</w:t>
            </w:r>
          </w:p>
        </w:tc>
        <w:tc>
          <w:tcPr>
            <w:tcW w:w="3119" w:type="dxa"/>
            <w:vAlign w:val="center"/>
          </w:tcPr>
          <w:p w14:paraId="1E7B1845" w14:textId="77777777" w:rsidR="00B90F24" w:rsidRDefault="00B90F24" w:rsidP="00FC031F">
            <w:pPr>
              <w:jc w:val="center"/>
              <w:rPr>
                <w:rFonts w:eastAsia="Calibri"/>
                <w:bCs/>
                <w:iCs/>
                <w:color w:val="000000"/>
              </w:rPr>
            </w:pPr>
            <w:r>
              <w:rPr>
                <w:rFonts w:eastAsia="Calibri"/>
                <w:bCs/>
                <w:iCs/>
                <w:color w:val="000000"/>
              </w:rPr>
              <w:t>5</w:t>
            </w:r>
          </w:p>
        </w:tc>
        <w:tc>
          <w:tcPr>
            <w:tcW w:w="2976" w:type="dxa"/>
            <w:vAlign w:val="center"/>
          </w:tcPr>
          <w:p w14:paraId="735EC443" w14:textId="77777777" w:rsidR="00B90F24" w:rsidRDefault="00B90F24" w:rsidP="00FC031F">
            <w:pPr>
              <w:jc w:val="center"/>
              <w:rPr>
                <w:rFonts w:eastAsia="Calibri"/>
                <w:bCs/>
                <w:iCs/>
                <w:color w:val="000000"/>
              </w:rPr>
            </w:pPr>
            <w:r>
              <w:rPr>
                <w:rFonts w:eastAsia="Calibri"/>
                <w:bCs/>
                <w:iCs/>
                <w:color w:val="000000"/>
              </w:rPr>
              <w:t xml:space="preserve">1280 € </w:t>
            </w:r>
          </w:p>
        </w:tc>
      </w:tr>
      <w:tr w:rsidR="00B90F24" w14:paraId="4CEA76BD" w14:textId="77777777" w:rsidTr="00FC031F">
        <w:trPr>
          <w:jc w:val="center"/>
        </w:trPr>
        <w:tc>
          <w:tcPr>
            <w:tcW w:w="1271" w:type="dxa"/>
            <w:vAlign w:val="center"/>
          </w:tcPr>
          <w:p w14:paraId="25E46E93" w14:textId="77777777" w:rsidR="00B90F24" w:rsidRDefault="00B90F24" w:rsidP="00FC031F">
            <w:pPr>
              <w:jc w:val="center"/>
              <w:rPr>
                <w:rFonts w:eastAsia="Calibri"/>
                <w:bCs/>
                <w:iCs/>
                <w:color w:val="000000"/>
              </w:rPr>
            </w:pPr>
            <w:r>
              <w:rPr>
                <w:rFonts w:eastAsia="Calibri"/>
                <w:bCs/>
                <w:iCs/>
                <w:color w:val="000000"/>
              </w:rPr>
              <w:t>2020</w:t>
            </w:r>
          </w:p>
        </w:tc>
        <w:tc>
          <w:tcPr>
            <w:tcW w:w="3119" w:type="dxa"/>
            <w:vAlign w:val="center"/>
          </w:tcPr>
          <w:p w14:paraId="4772B4D9" w14:textId="77777777" w:rsidR="00B90F24" w:rsidRDefault="00B90F24" w:rsidP="00FC031F">
            <w:pPr>
              <w:jc w:val="center"/>
              <w:rPr>
                <w:rFonts w:eastAsia="Calibri"/>
                <w:bCs/>
                <w:iCs/>
                <w:color w:val="000000"/>
              </w:rPr>
            </w:pPr>
            <w:r>
              <w:rPr>
                <w:rFonts w:eastAsia="Calibri"/>
                <w:bCs/>
                <w:iCs/>
                <w:color w:val="000000"/>
              </w:rPr>
              <w:t>4</w:t>
            </w:r>
          </w:p>
        </w:tc>
        <w:tc>
          <w:tcPr>
            <w:tcW w:w="2976" w:type="dxa"/>
            <w:vAlign w:val="center"/>
          </w:tcPr>
          <w:p w14:paraId="1690D28F" w14:textId="77777777" w:rsidR="00B90F24" w:rsidRDefault="00B90F24" w:rsidP="00FC031F">
            <w:pPr>
              <w:jc w:val="center"/>
              <w:rPr>
                <w:rFonts w:eastAsia="Calibri"/>
                <w:bCs/>
                <w:iCs/>
                <w:color w:val="000000"/>
              </w:rPr>
            </w:pPr>
            <w:r>
              <w:rPr>
                <w:rFonts w:eastAsia="Calibri"/>
                <w:bCs/>
                <w:iCs/>
                <w:color w:val="000000"/>
              </w:rPr>
              <w:t>1375 €</w:t>
            </w:r>
          </w:p>
        </w:tc>
      </w:tr>
      <w:tr w:rsidR="00B90F24" w14:paraId="01EDE669" w14:textId="77777777" w:rsidTr="00FC031F">
        <w:trPr>
          <w:jc w:val="center"/>
        </w:trPr>
        <w:tc>
          <w:tcPr>
            <w:tcW w:w="1271" w:type="dxa"/>
            <w:vAlign w:val="center"/>
          </w:tcPr>
          <w:p w14:paraId="59DA12BD" w14:textId="77777777" w:rsidR="00B90F24" w:rsidRDefault="00B90F24" w:rsidP="00FC031F">
            <w:pPr>
              <w:jc w:val="center"/>
              <w:rPr>
                <w:rFonts w:eastAsia="Calibri"/>
                <w:bCs/>
                <w:iCs/>
                <w:color w:val="000000"/>
              </w:rPr>
            </w:pPr>
            <w:r>
              <w:rPr>
                <w:rFonts w:eastAsia="Calibri"/>
                <w:bCs/>
                <w:iCs/>
                <w:color w:val="000000"/>
              </w:rPr>
              <w:t>2021</w:t>
            </w:r>
          </w:p>
        </w:tc>
        <w:tc>
          <w:tcPr>
            <w:tcW w:w="3119" w:type="dxa"/>
            <w:vAlign w:val="center"/>
          </w:tcPr>
          <w:p w14:paraId="1E0DD3F3" w14:textId="77777777" w:rsidR="00B90F24" w:rsidRDefault="00B90F24" w:rsidP="00FC031F">
            <w:pPr>
              <w:jc w:val="center"/>
              <w:rPr>
                <w:rFonts w:eastAsia="Calibri"/>
                <w:bCs/>
                <w:iCs/>
                <w:color w:val="000000"/>
              </w:rPr>
            </w:pPr>
            <w:r>
              <w:rPr>
                <w:rFonts w:eastAsia="Calibri"/>
                <w:bCs/>
                <w:iCs/>
                <w:color w:val="000000"/>
              </w:rPr>
              <w:t>2</w:t>
            </w:r>
          </w:p>
        </w:tc>
        <w:tc>
          <w:tcPr>
            <w:tcW w:w="2976" w:type="dxa"/>
            <w:vAlign w:val="center"/>
          </w:tcPr>
          <w:p w14:paraId="1388CB5A" w14:textId="77777777" w:rsidR="00B90F24" w:rsidRDefault="00B90F24" w:rsidP="00FC031F">
            <w:pPr>
              <w:jc w:val="center"/>
              <w:rPr>
                <w:rFonts w:eastAsia="Calibri"/>
                <w:bCs/>
                <w:iCs/>
                <w:color w:val="000000"/>
              </w:rPr>
            </w:pPr>
            <w:r>
              <w:rPr>
                <w:rFonts w:eastAsia="Calibri"/>
                <w:bCs/>
                <w:iCs/>
                <w:color w:val="000000"/>
              </w:rPr>
              <w:t>2250 €</w:t>
            </w:r>
          </w:p>
        </w:tc>
      </w:tr>
      <w:tr w:rsidR="00B90F24" w14:paraId="063F4FE6" w14:textId="77777777" w:rsidTr="00FC031F">
        <w:trPr>
          <w:jc w:val="center"/>
        </w:trPr>
        <w:tc>
          <w:tcPr>
            <w:tcW w:w="1271" w:type="dxa"/>
            <w:vAlign w:val="center"/>
          </w:tcPr>
          <w:p w14:paraId="1EACEBCA" w14:textId="77777777" w:rsidR="00B90F24" w:rsidRDefault="00B90F24" w:rsidP="00FC031F">
            <w:pPr>
              <w:jc w:val="center"/>
              <w:rPr>
                <w:rFonts w:eastAsia="Calibri"/>
                <w:bCs/>
                <w:iCs/>
                <w:color w:val="000000"/>
              </w:rPr>
            </w:pPr>
            <w:r>
              <w:rPr>
                <w:rFonts w:eastAsia="Calibri"/>
                <w:bCs/>
                <w:iCs/>
                <w:color w:val="000000"/>
              </w:rPr>
              <w:t>2022</w:t>
            </w:r>
          </w:p>
        </w:tc>
        <w:tc>
          <w:tcPr>
            <w:tcW w:w="3119" w:type="dxa"/>
            <w:vAlign w:val="center"/>
          </w:tcPr>
          <w:p w14:paraId="6ADE6D37" w14:textId="77777777" w:rsidR="00B90F24" w:rsidRDefault="00B90F24" w:rsidP="00FC031F">
            <w:pPr>
              <w:jc w:val="center"/>
              <w:rPr>
                <w:rFonts w:eastAsia="Calibri"/>
                <w:bCs/>
                <w:iCs/>
                <w:color w:val="000000"/>
              </w:rPr>
            </w:pPr>
            <w:r>
              <w:rPr>
                <w:rFonts w:eastAsia="Calibri"/>
                <w:bCs/>
                <w:iCs/>
                <w:color w:val="000000"/>
              </w:rPr>
              <w:t>6</w:t>
            </w:r>
          </w:p>
        </w:tc>
        <w:tc>
          <w:tcPr>
            <w:tcW w:w="2976" w:type="dxa"/>
            <w:vAlign w:val="center"/>
          </w:tcPr>
          <w:p w14:paraId="7210B6BC" w14:textId="77777777" w:rsidR="00B90F24" w:rsidRDefault="00B90F24" w:rsidP="00FC031F">
            <w:pPr>
              <w:jc w:val="center"/>
              <w:rPr>
                <w:rFonts w:eastAsia="Calibri"/>
                <w:bCs/>
                <w:iCs/>
                <w:color w:val="000000"/>
              </w:rPr>
            </w:pPr>
            <w:r>
              <w:rPr>
                <w:rFonts w:eastAsia="Calibri"/>
                <w:bCs/>
                <w:iCs/>
                <w:color w:val="000000"/>
              </w:rPr>
              <w:t>1183,33 €</w:t>
            </w:r>
          </w:p>
        </w:tc>
      </w:tr>
      <w:tr w:rsidR="00B90F24" w14:paraId="218283F8" w14:textId="77777777" w:rsidTr="00FC031F">
        <w:trPr>
          <w:jc w:val="center"/>
        </w:trPr>
        <w:tc>
          <w:tcPr>
            <w:tcW w:w="1271" w:type="dxa"/>
            <w:vAlign w:val="center"/>
          </w:tcPr>
          <w:p w14:paraId="45E8D8EF" w14:textId="77777777" w:rsidR="00B90F24" w:rsidRDefault="00B90F24" w:rsidP="00FC031F">
            <w:pPr>
              <w:jc w:val="center"/>
              <w:rPr>
                <w:rFonts w:eastAsia="Calibri"/>
                <w:bCs/>
                <w:iCs/>
                <w:color w:val="000000"/>
              </w:rPr>
            </w:pPr>
            <w:r>
              <w:rPr>
                <w:rFonts w:eastAsia="Calibri"/>
                <w:bCs/>
                <w:iCs/>
                <w:color w:val="000000"/>
              </w:rPr>
              <w:t>2023</w:t>
            </w:r>
          </w:p>
        </w:tc>
        <w:tc>
          <w:tcPr>
            <w:tcW w:w="3119" w:type="dxa"/>
            <w:vAlign w:val="center"/>
          </w:tcPr>
          <w:p w14:paraId="10D73360" w14:textId="77777777" w:rsidR="00B90F24" w:rsidRDefault="00B90F24" w:rsidP="00FC031F">
            <w:pPr>
              <w:jc w:val="center"/>
              <w:rPr>
                <w:rFonts w:eastAsia="Calibri"/>
                <w:bCs/>
                <w:iCs/>
                <w:color w:val="000000"/>
              </w:rPr>
            </w:pPr>
            <w:r>
              <w:rPr>
                <w:rFonts w:eastAsia="Calibri"/>
                <w:bCs/>
                <w:iCs/>
                <w:color w:val="000000"/>
              </w:rPr>
              <w:t>9</w:t>
            </w:r>
          </w:p>
        </w:tc>
        <w:tc>
          <w:tcPr>
            <w:tcW w:w="2976" w:type="dxa"/>
            <w:vAlign w:val="center"/>
          </w:tcPr>
          <w:p w14:paraId="2ADAA897" w14:textId="77777777" w:rsidR="00B90F24" w:rsidRDefault="00B90F24" w:rsidP="00FC031F">
            <w:pPr>
              <w:jc w:val="center"/>
              <w:rPr>
                <w:rFonts w:eastAsia="Calibri"/>
                <w:bCs/>
                <w:iCs/>
                <w:color w:val="000000"/>
              </w:rPr>
            </w:pPr>
            <w:r>
              <w:rPr>
                <w:rFonts w:eastAsia="Calibri"/>
                <w:bCs/>
                <w:iCs/>
                <w:color w:val="000000"/>
              </w:rPr>
              <w:t>1955,56 €</w:t>
            </w:r>
          </w:p>
        </w:tc>
      </w:tr>
      <w:tr w:rsidR="00B90F24" w14:paraId="4E64ED4A" w14:textId="77777777" w:rsidTr="00FC031F">
        <w:trPr>
          <w:jc w:val="center"/>
        </w:trPr>
        <w:tc>
          <w:tcPr>
            <w:tcW w:w="1271" w:type="dxa"/>
            <w:vAlign w:val="center"/>
          </w:tcPr>
          <w:p w14:paraId="270D9624" w14:textId="77777777" w:rsidR="00B90F24" w:rsidRDefault="00B90F24" w:rsidP="00FC031F">
            <w:pPr>
              <w:jc w:val="center"/>
              <w:rPr>
                <w:rFonts w:eastAsia="Calibri"/>
                <w:bCs/>
                <w:iCs/>
                <w:color w:val="000000"/>
              </w:rPr>
            </w:pPr>
            <w:r>
              <w:rPr>
                <w:rFonts w:eastAsia="Calibri"/>
                <w:bCs/>
                <w:iCs/>
                <w:color w:val="000000"/>
              </w:rPr>
              <w:t>Priemer</w:t>
            </w:r>
          </w:p>
        </w:tc>
        <w:tc>
          <w:tcPr>
            <w:tcW w:w="3119" w:type="dxa"/>
            <w:vAlign w:val="center"/>
          </w:tcPr>
          <w:p w14:paraId="4F459CC6" w14:textId="77777777" w:rsidR="00B90F24" w:rsidRDefault="00B90F24" w:rsidP="00FC031F">
            <w:pPr>
              <w:jc w:val="center"/>
              <w:rPr>
                <w:rFonts w:eastAsia="Calibri"/>
                <w:bCs/>
                <w:iCs/>
                <w:color w:val="000000"/>
              </w:rPr>
            </w:pPr>
            <w:r>
              <w:rPr>
                <w:rFonts w:eastAsia="Calibri"/>
                <w:bCs/>
                <w:iCs/>
                <w:color w:val="000000"/>
              </w:rPr>
              <w:t>5,2</w:t>
            </w:r>
          </w:p>
        </w:tc>
        <w:tc>
          <w:tcPr>
            <w:tcW w:w="2976" w:type="dxa"/>
            <w:vAlign w:val="center"/>
          </w:tcPr>
          <w:p w14:paraId="3C9C2C86" w14:textId="77777777" w:rsidR="00B90F24" w:rsidRDefault="00B90F24" w:rsidP="00FC031F">
            <w:pPr>
              <w:jc w:val="center"/>
              <w:rPr>
                <w:rFonts w:eastAsia="Calibri"/>
                <w:bCs/>
                <w:iCs/>
                <w:color w:val="000000"/>
              </w:rPr>
            </w:pPr>
            <w:r>
              <w:rPr>
                <w:rFonts w:eastAsia="Calibri"/>
                <w:bCs/>
                <w:iCs/>
                <w:color w:val="000000"/>
              </w:rPr>
              <w:t>1608,78 €</w:t>
            </w:r>
          </w:p>
        </w:tc>
      </w:tr>
    </w:tbl>
    <w:p w14:paraId="10F01D35" w14:textId="77777777" w:rsidR="00B90F24" w:rsidRDefault="00B90F24" w:rsidP="00B90F24">
      <w:pPr>
        <w:jc w:val="both"/>
        <w:rPr>
          <w:rFonts w:eastAsia="Calibri"/>
          <w:bCs/>
          <w:iCs/>
          <w:color w:val="000000"/>
        </w:rPr>
      </w:pPr>
    </w:p>
    <w:p w14:paraId="669D2E41" w14:textId="77777777" w:rsidR="00B90F24" w:rsidRDefault="00B90F24" w:rsidP="00B90F24">
      <w:pPr>
        <w:jc w:val="both"/>
        <w:rPr>
          <w:rFonts w:eastAsia="Calibri"/>
          <w:bCs/>
          <w:iCs/>
          <w:color w:val="000000"/>
        </w:rPr>
      </w:pPr>
      <w:r>
        <w:rPr>
          <w:rFonts w:eastAsia="Calibri"/>
          <w:bCs/>
          <w:iCs/>
          <w:color w:val="000000"/>
        </w:rPr>
        <w:t>Odhadovaný vplyv na podnikateľské prostredie je 8 044 € (5 x 1608,78).</w:t>
      </w:r>
    </w:p>
    <w:p w14:paraId="37044FB3" w14:textId="77777777" w:rsidR="00B90F24" w:rsidRDefault="00B90F24" w:rsidP="00B90F24">
      <w:pPr>
        <w:jc w:val="both"/>
        <w:rPr>
          <w:rFonts w:eastAsia="Calibri"/>
          <w:bCs/>
          <w:iCs/>
          <w:color w:val="000000"/>
        </w:rPr>
      </w:pPr>
      <w:r>
        <w:rPr>
          <w:rFonts w:eastAsia="Calibri"/>
          <w:bCs/>
          <w:iCs/>
          <w:color w:val="000000"/>
        </w:rPr>
        <w:t>Pre úplnosť predkladateľ dáva do pozornosti, že v prípade prijatia a splnenia dobrovoľného opatrenia zo strany výrobcu by sa výrobca mohol sankcii vyhnúť (čl. I § 9 ods. 14 návrhu zákona).</w:t>
      </w:r>
    </w:p>
    <w:p w14:paraId="3B7268EF" w14:textId="77777777" w:rsidR="00B90F24" w:rsidRDefault="00B90F24" w:rsidP="00B90F24">
      <w:pPr>
        <w:jc w:val="both"/>
        <w:rPr>
          <w:rFonts w:eastAsia="Calibri"/>
          <w:bCs/>
          <w:iCs/>
          <w:color w:val="000000"/>
        </w:rPr>
      </w:pPr>
    </w:p>
    <w:p w14:paraId="2F3069AC" w14:textId="77777777" w:rsidR="00B90F24" w:rsidRPr="001F1B43" w:rsidRDefault="00B90F24" w:rsidP="00B90F24">
      <w:pPr>
        <w:jc w:val="both"/>
        <w:rPr>
          <w:rFonts w:eastAsia="Calibri"/>
          <w:b/>
          <w:bCs/>
          <w:i/>
          <w:u w:val="single"/>
        </w:rPr>
      </w:pPr>
      <w:r>
        <w:rPr>
          <w:rFonts w:eastAsia="Calibri"/>
          <w:b/>
          <w:bCs/>
          <w:i/>
          <w:u w:val="single"/>
        </w:rPr>
        <w:t>3.1.4 Odôvodnenie</w:t>
      </w:r>
      <w:r w:rsidRPr="00804BC8">
        <w:rPr>
          <w:rFonts w:eastAsia="Calibri"/>
          <w:b/>
          <w:bCs/>
          <w:i/>
          <w:u w:val="single"/>
        </w:rPr>
        <w:t xml:space="preserve"> </w:t>
      </w:r>
      <w:proofErr w:type="spellStart"/>
      <w:r w:rsidRPr="00804BC8">
        <w:rPr>
          <w:rFonts w:eastAsia="Calibri"/>
          <w:b/>
          <w:bCs/>
          <w:i/>
          <w:u w:val="single"/>
        </w:rPr>
        <w:t>goldplating</w:t>
      </w:r>
      <w:r>
        <w:rPr>
          <w:rFonts w:eastAsia="Calibri"/>
          <w:b/>
          <w:bCs/>
          <w:i/>
          <w:u w:val="single"/>
        </w:rPr>
        <w:t>u</w:t>
      </w:r>
      <w:proofErr w:type="spellEnd"/>
      <w:r>
        <w:rPr>
          <w:rFonts w:eastAsia="Calibri"/>
          <w:b/>
          <w:bCs/>
          <w:i/>
          <w:u w:val="single"/>
        </w:rPr>
        <w:t xml:space="preserve"> </w:t>
      </w:r>
      <w:r w:rsidRPr="00804BC8">
        <w:rPr>
          <w:rFonts w:eastAsia="Calibri"/>
          <w:b/>
          <w:bCs/>
          <w:i/>
          <w:u w:val="single"/>
        </w:rPr>
        <w:t xml:space="preserve">podľa bodu 4 časti III </w:t>
      </w:r>
      <w:r>
        <w:rPr>
          <w:rFonts w:eastAsia="Calibri"/>
          <w:b/>
          <w:bCs/>
          <w:i/>
          <w:u w:val="single"/>
        </w:rPr>
        <w:t>jednotnej metodiky a ďalšie d</w:t>
      </w:r>
      <w:r w:rsidRPr="001F1B43">
        <w:rPr>
          <w:rFonts w:eastAsia="Calibri"/>
          <w:b/>
          <w:bCs/>
          <w:i/>
          <w:u w:val="single"/>
        </w:rPr>
        <w:t>oplňujúce informácie</w:t>
      </w:r>
      <w:r>
        <w:rPr>
          <w:rStyle w:val="Odkaznapoznmkupodiarou"/>
          <w:rFonts w:eastAsia="Calibri"/>
          <w:b/>
          <w:bCs/>
          <w:i/>
          <w:u w:val="single"/>
        </w:rPr>
        <w:footnoteReference w:id="2"/>
      </w:r>
      <w:r w:rsidRPr="001F1B43">
        <w:rPr>
          <w:rFonts w:eastAsia="Calibri"/>
          <w:b/>
          <w:bCs/>
          <w:i/>
          <w:u w:val="single"/>
        </w:rPr>
        <w:t xml:space="preserve"> </w:t>
      </w:r>
    </w:p>
    <w:p w14:paraId="6F52C4F2" w14:textId="77777777" w:rsidR="00B90F24" w:rsidRPr="000C5419" w:rsidRDefault="00B90F24" w:rsidP="00B90F24">
      <w:pPr>
        <w:jc w:val="both"/>
        <w:rPr>
          <w:rFonts w:eastAsia="Calibri"/>
          <w:bCs/>
          <w:i/>
          <w:iCs/>
          <w:color w:val="000000"/>
        </w:rPr>
      </w:pPr>
      <w:r w:rsidRPr="000C5419">
        <w:rPr>
          <w:rFonts w:eastAsia="Calibri"/>
          <w:bCs/>
          <w:i/>
          <w:iCs/>
          <w:color w:val="000000"/>
        </w:rPr>
        <w:t xml:space="preserve">Požadované informácie </w:t>
      </w:r>
      <w:r>
        <w:rPr>
          <w:rFonts w:eastAsia="Calibri"/>
          <w:bCs/>
          <w:i/>
          <w:iCs/>
          <w:color w:val="000000"/>
        </w:rPr>
        <w:t>uveďte</w:t>
      </w:r>
      <w:r w:rsidRPr="000C5419">
        <w:rPr>
          <w:rFonts w:eastAsia="Calibri"/>
          <w:bCs/>
          <w:i/>
          <w:iCs/>
          <w:color w:val="000000"/>
        </w:rPr>
        <w:t xml:space="preserve"> osobitne ku každému identifikovanému </w:t>
      </w:r>
      <w:proofErr w:type="spellStart"/>
      <w:r w:rsidRPr="000C5419">
        <w:rPr>
          <w:rFonts w:eastAsia="Calibri"/>
          <w:bCs/>
          <w:i/>
          <w:iCs/>
          <w:color w:val="000000"/>
        </w:rPr>
        <w:t>goldplatingu</w:t>
      </w:r>
      <w:proofErr w:type="spellEnd"/>
      <w:r w:rsidRPr="000C5419">
        <w:rPr>
          <w:rFonts w:eastAsia="Calibri"/>
          <w:bCs/>
          <w:i/>
          <w:iCs/>
          <w:color w:val="000000"/>
        </w:rPr>
        <w:t xml:space="preserve"> (ku každej hodnotenej regulácii s </w:t>
      </w:r>
      <w:proofErr w:type="spellStart"/>
      <w:r w:rsidRPr="000C5419">
        <w:rPr>
          <w:rFonts w:eastAsia="Calibri"/>
          <w:bCs/>
          <w:i/>
          <w:iCs/>
          <w:color w:val="000000"/>
        </w:rPr>
        <w:t>goldplatingom</w:t>
      </w:r>
      <w:proofErr w:type="spellEnd"/>
      <w:r w:rsidRPr="000C5419">
        <w:rPr>
          <w:rFonts w:eastAsia="Calibri"/>
          <w:bCs/>
          <w:i/>
          <w:iCs/>
          <w:color w:val="000000"/>
        </w:rPr>
        <w:t xml:space="preserve"> osobitne). </w:t>
      </w:r>
    </w:p>
    <w:p w14:paraId="555A7378" w14:textId="77777777" w:rsidR="00B90F24" w:rsidRPr="000C5419" w:rsidRDefault="00B90F24" w:rsidP="00B90F24">
      <w:pPr>
        <w:jc w:val="both"/>
        <w:rPr>
          <w:rFonts w:eastAsia="Calibri"/>
          <w:bCs/>
          <w:i/>
          <w:iCs/>
          <w:color w:val="000000"/>
        </w:rPr>
      </w:pPr>
      <w:r>
        <w:rPr>
          <w:rFonts w:eastAsia="Calibri"/>
          <w:bCs/>
          <w:i/>
          <w:iCs/>
          <w:color w:val="000000"/>
        </w:rPr>
        <w:t>Uveďte o</w:t>
      </w:r>
      <w:r w:rsidRPr="004239D1">
        <w:rPr>
          <w:rFonts w:eastAsia="Calibri"/>
          <w:bCs/>
          <w:i/>
          <w:iCs/>
          <w:color w:val="000000"/>
        </w:rPr>
        <w:t xml:space="preserve">dôvodnenie </w:t>
      </w:r>
      <w:proofErr w:type="spellStart"/>
      <w:r w:rsidRPr="004239D1">
        <w:rPr>
          <w:rFonts w:eastAsia="Calibri"/>
          <w:bCs/>
          <w:i/>
          <w:iCs/>
          <w:color w:val="000000"/>
        </w:rPr>
        <w:t>goldplatingu</w:t>
      </w:r>
      <w:proofErr w:type="spellEnd"/>
      <w:r w:rsidRPr="004239D1">
        <w:rPr>
          <w:rFonts w:eastAsia="Calibri"/>
          <w:bCs/>
          <w:i/>
          <w:iCs/>
          <w:color w:val="000000"/>
        </w:rPr>
        <w:t xml:space="preserve"> </w:t>
      </w:r>
      <w:r>
        <w:rPr>
          <w:rFonts w:eastAsia="Calibri"/>
          <w:bCs/>
          <w:i/>
          <w:iCs/>
          <w:color w:val="000000"/>
        </w:rPr>
        <w:t xml:space="preserve">z hľadiska </w:t>
      </w:r>
      <w:r w:rsidRPr="004239D1">
        <w:rPr>
          <w:rFonts w:eastAsia="Calibri"/>
          <w:bCs/>
          <w:i/>
          <w:iCs/>
          <w:color w:val="000000"/>
        </w:rPr>
        <w:t>jeho nespochybniteľnej nevyhnutnosti.</w:t>
      </w:r>
      <w:r>
        <w:rPr>
          <w:rFonts w:eastAsia="Calibri"/>
          <w:bCs/>
          <w:i/>
          <w:iCs/>
          <w:color w:val="000000"/>
        </w:rPr>
        <w:t xml:space="preserve"> Odôvodnenie doložte dôkladným hodnotením prínosov a nákladov. </w:t>
      </w:r>
      <w:r w:rsidRPr="005D39D8">
        <w:rPr>
          <w:rFonts w:eastAsia="Calibri"/>
          <w:bCs/>
          <w:i/>
          <w:iCs/>
          <w:color w:val="000000"/>
        </w:rPr>
        <w:t>Uveďte zvážené alternatívne riešenia.</w:t>
      </w:r>
      <w:r>
        <w:rPr>
          <w:rFonts w:eastAsia="Calibri"/>
          <w:bCs/>
          <w:i/>
          <w:iCs/>
          <w:color w:val="000000"/>
        </w:rPr>
        <w:t>.</w:t>
      </w:r>
    </w:p>
    <w:p w14:paraId="0A0CB0AB" w14:textId="77777777" w:rsidR="00B90F24" w:rsidRPr="000C5419" w:rsidRDefault="00B90F24" w:rsidP="00B90F24">
      <w:pPr>
        <w:jc w:val="both"/>
        <w:rPr>
          <w:rFonts w:eastAsia="Calibri"/>
          <w:bCs/>
          <w:i/>
          <w:iCs/>
          <w:color w:val="000000"/>
        </w:rPr>
      </w:pPr>
      <w:r>
        <w:rPr>
          <w:rFonts w:eastAsia="Calibri"/>
          <w:bCs/>
          <w:i/>
          <w:iCs/>
          <w:color w:val="000000"/>
        </w:rPr>
        <w:t xml:space="preserve">Zároveň uveďte </w:t>
      </w:r>
      <w:r w:rsidRPr="00284B8C">
        <w:rPr>
          <w:rFonts w:eastAsia="Calibri"/>
          <w:bCs/>
          <w:i/>
          <w:iCs/>
          <w:color w:val="000000"/>
        </w:rPr>
        <w:t>konkrétne informácie súvisiace s </w:t>
      </w:r>
      <w:r>
        <w:rPr>
          <w:rFonts w:eastAsia="Calibri"/>
          <w:bCs/>
          <w:i/>
          <w:iCs/>
          <w:color w:val="000000"/>
        </w:rPr>
        <w:t>kategóriou</w:t>
      </w:r>
      <w:r w:rsidRPr="00284B8C">
        <w:rPr>
          <w:rFonts w:eastAsia="Calibri"/>
          <w:bCs/>
          <w:i/>
          <w:iCs/>
          <w:color w:val="000000"/>
        </w:rPr>
        <w:t xml:space="preserve"> </w:t>
      </w:r>
      <w:proofErr w:type="spellStart"/>
      <w:r w:rsidRPr="00284B8C">
        <w:rPr>
          <w:rFonts w:eastAsia="Calibri"/>
          <w:bCs/>
          <w:i/>
          <w:iCs/>
          <w:color w:val="000000"/>
        </w:rPr>
        <w:t>goldplatingu</w:t>
      </w:r>
      <w:proofErr w:type="spellEnd"/>
      <w:r>
        <w:rPr>
          <w:rFonts w:eastAsia="Calibri"/>
          <w:bCs/>
          <w:i/>
          <w:iCs/>
          <w:color w:val="000000"/>
        </w:rPr>
        <w:t xml:space="preserve"> podľa jednotnej metodiky</w:t>
      </w:r>
      <w:r w:rsidRPr="00284B8C">
        <w:rPr>
          <w:rFonts w:eastAsia="Calibri"/>
          <w:bCs/>
          <w:i/>
          <w:iCs/>
          <w:color w:val="000000"/>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Pr="000C5419">
        <w:rPr>
          <w:rFonts w:eastAsia="Calibri"/>
          <w:bCs/>
          <w:i/>
          <w:iCs/>
          <w:color w:val="000000"/>
        </w:rPr>
        <w:t xml:space="preserve"> požiadavky. </w:t>
      </w:r>
    </w:p>
    <w:p w14:paraId="23E23D15" w14:textId="111E7EF4" w:rsidR="00B90F24" w:rsidRPr="00F244DC" w:rsidRDefault="00B90F24" w:rsidP="00B90F24">
      <w:pPr>
        <w:jc w:val="both"/>
        <w:rPr>
          <w:rFonts w:eastAsia="Calibri"/>
          <w:bCs/>
          <w:i/>
          <w:iCs/>
        </w:rPr>
      </w:pPr>
      <w:r w:rsidRPr="00F244DC">
        <w:rPr>
          <w:rFonts w:eastAsia="Calibri"/>
          <w:bCs/>
          <w:i/>
          <w:iCs/>
        </w:rPr>
        <w:t xml:space="preserve">Využitie </w:t>
      </w:r>
      <w:proofErr w:type="spellStart"/>
      <w:r w:rsidRPr="00F244DC">
        <w:rPr>
          <w:rFonts w:eastAsia="Calibri"/>
          <w:bCs/>
          <w:i/>
          <w:iCs/>
        </w:rPr>
        <w:t>goldplatingu</w:t>
      </w:r>
      <w:proofErr w:type="spellEnd"/>
      <w:r w:rsidRPr="00F244DC">
        <w:rPr>
          <w:rFonts w:eastAsia="Calibri"/>
          <w:bCs/>
          <w:i/>
          <w:iCs/>
        </w:rPr>
        <w:t xml:space="preserve"> pri transpozícii alebo implementácii legislatívy EÚ je v zásade nežiadúce, keďže takýto postup môže viesť k zníženiu konkurencieschopnosti domácich podnikov </w:t>
      </w:r>
      <w:r w:rsidR="00725EE5">
        <w:rPr>
          <w:rFonts w:eastAsia="Calibri"/>
          <w:bCs/>
          <w:i/>
          <w:iCs/>
        </w:rPr>
        <w:br/>
      </w:r>
      <w:r w:rsidRPr="00F244DC">
        <w:rPr>
          <w:rFonts w:eastAsia="Calibri"/>
          <w:bCs/>
          <w:i/>
          <w:iCs/>
        </w:rPr>
        <w:t xml:space="preserve">v porovnaní s podnikmi z krajín, kde právne predpisy nie sú natoľko prísne. Využitie </w:t>
      </w:r>
      <w:proofErr w:type="spellStart"/>
      <w:r w:rsidRPr="00F244DC">
        <w:rPr>
          <w:rFonts w:eastAsia="Calibri"/>
          <w:bCs/>
          <w:i/>
          <w:iCs/>
        </w:rPr>
        <w:t>goldplatingu</w:t>
      </w:r>
      <w:proofErr w:type="spellEnd"/>
      <w:r w:rsidRPr="00F244DC">
        <w:rPr>
          <w:rFonts w:eastAsia="Calibri"/>
          <w:bCs/>
          <w:i/>
          <w:iCs/>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394E0182" w14:textId="77777777" w:rsidR="00B90F24" w:rsidRPr="00D8247C" w:rsidRDefault="00B90F24" w:rsidP="00B90F24">
      <w:pPr>
        <w:rPr>
          <w:rFonts w:eastAsia="Calibri"/>
          <w:i/>
        </w:rPr>
      </w:pPr>
    </w:p>
    <w:p w14:paraId="009C9885" w14:textId="3FE513E5" w:rsidR="00B90F24" w:rsidRDefault="00B90F24" w:rsidP="00725EE5">
      <w:pPr>
        <w:jc w:val="both"/>
        <w:rPr>
          <w:rFonts w:eastAsia="Calibri"/>
        </w:rPr>
      </w:pPr>
      <w:r>
        <w:rPr>
          <w:rFonts w:eastAsia="Calibri"/>
          <w:b/>
        </w:rPr>
        <w:t xml:space="preserve">Sprístupňovanie výrobkov na trhu aj po uplynutí doby minimálnej trvanlivosti </w:t>
      </w:r>
      <w:r>
        <w:rPr>
          <w:rFonts w:eastAsia="Calibri"/>
        </w:rPr>
        <w:t xml:space="preserve">(čl. I § 2 ods. 1 návrhu zákona) </w:t>
      </w:r>
      <w:r w:rsidR="00725EE5">
        <w:rPr>
          <w:rFonts w:eastAsia="Calibri"/>
        </w:rPr>
        <w:t xml:space="preserve">– </w:t>
      </w:r>
      <w:r>
        <w:rPr>
          <w:rFonts w:eastAsia="Calibri"/>
        </w:rPr>
        <w:t>n</w:t>
      </w:r>
      <w:r w:rsidRPr="00622B64">
        <w:rPr>
          <w:rFonts w:eastAsia="Calibri"/>
        </w:rPr>
        <w:t>ávrh zákona ponecháva možnosť pre obchodníkov za určitých podmienok sprístupňovať na trhu výrobky aj po uplynutí doby minimálnej trvanlivosti. Nezavádza sa nová regulácia, ide o ponechanie § 5</w:t>
      </w:r>
      <w:r>
        <w:rPr>
          <w:rFonts w:eastAsia="Calibri"/>
        </w:rPr>
        <w:t xml:space="preserve"> ods. 4 zákona č. 281/2023 Z. z. </w:t>
      </w:r>
      <w:r w:rsidR="00725EE5">
        <w:rPr>
          <w:rFonts w:eastAsia="Calibri"/>
        </w:rPr>
        <w:br/>
      </w:r>
      <w:r w:rsidRPr="00622B64">
        <w:rPr>
          <w:rFonts w:eastAsia="Calibri"/>
        </w:rPr>
        <w:t xml:space="preserve">Regulácia bola prijatá ako opatrenie na zlepšovanie podnikateľského prostredia. </w:t>
      </w:r>
      <w:r w:rsidR="00725EE5">
        <w:rPr>
          <w:rFonts w:eastAsia="Calibri"/>
        </w:rPr>
        <w:br/>
      </w:r>
      <w:r w:rsidRPr="00622B64">
        <w:rPr>
          <w:rFonts w:eastAsia="Calibri"/>
        </w:rPr>
        <w:t xml:space="preserve">Bližšie informácie k opatreniu boli súčasťou analýzy vplyvov na podnikateľské prostredie </w:t>
      </w:r>
      <w:r w:rsidR="00725EE5">
        <w:rPr>
          <w:rFonts w:eastAsia="Calibri"/>
        </w:rPr>
        <w:br/>
      </w:r>
      <w:r w:rsidRPr="00622B64">
        <w:rPr>
          <w:rFonts w:eastAsia="Calibri"/>
        </w:rPr>
        <w:lastRenderedPageBreak/>
        <w:t>k návrhu zákona</w:t>
      </w:r>
      <w:r w:rsidR="00725EE5">
        <w:rPr>
          <w:rFonts w:eastAsia="Calibri"/>
        </w:rPr>
        <w:t xml:space="preserve"> </w:t>
      </w:r>
      <w:r w:rsidR="00725EE5" w:rsidRPr="00622B64">
        <w:rPr>
          <w:rFonts w:eastAsia="Calibri"/>
        </w:rPr>
        <w:t>č.</w:t>
      </w:r>
      <w:r w:rsidR="00725EE5">
        <w:rPr>
          <w:rFonts w:eastAsia="Calibri"/>
        </w:rPr>
        <w:t> </w:t>
      </w:r>
      <w:r w:rsidR="00725EE5" w:rsidRPr="00622B64">
        <w:rPr>
          <w:rFonts w:eastAsia="Calibri"/>
        </w:rPr>
        <w:t>281/2023</w:t>
      </w:r>
      <w:r w:rsidR="00725EE5">
        <w:rPr>
          <w:rFonts w:eastAsia="Calibri"/>
        </w:rPr>
        <w:t xml:space="preserve"> </w:t>
      </w:r>
      <w:r w:rsidRPr="00622B64">
        <w:rPr>
          <w:rFonts w:eastAsia="Calibri"/>
        </w:rPr>
        <w:t xml:space="preserve">Z. z. </w:t>
      </w:r>
      <w:r w:rsidR="00725EE5">
        <w:rPr>
          <w:rFonts w:eastAsia="Calibri"/>
        </w:rPr>
        <w:t xml:space="preserve">(dostupné tu: </w:t>
      </w:r>
      <w:hyperlink r:id="rId12" w:anchor="38;MasterID=9381" w:history="1">
        <w:r w:rsidRPr="00CE12C4">
          <w:rPr>
            <w:rStyle w:val="Hypertextovprepojenie"/>
            <w:rFonts w:eastAsia="Calibri"/>
          </w:rPr>
          <w:t>https://www.nrsr.sk/web/Default.aspx?sid=zakony/zakon&amp;MasterID=9381</w:t>
        </w:r>
      </w:hyperlink>
      <w:r>
        <w:rPr>
          <w:rFonts w:eastAsia="Calibri"/>
        </w:rPr>
        <w:t>) v tomto znení: „</w:t>
      </w:r>
      <w:r w:rsidRPr="00622B64">
        <w:rPr>
          <w:rFonts w:eastAsia="Calibri"/>
        </w:rPr>
        <w:t xml:space="preserve">Návrh zákona zavádza možnosť obchodníka ponúkať a sprístupňovať na trhu výrobky aj po uplynutí doby minimálnej trvanlivosti, ak spĺňajú požiadavky na bezpečnosť a spotrebitelia sú pred kúpou upozornení na uplynutie doby minimálnej trvanlivosti. Obchodník, ktorý predtým nemohol výrobky po uplynutí minimálnej doby trvanlivosti sprístupniť spotrebiteľovi ich </w:t>
      </w:r>
      <w:r w:rsidR="00725EE5">
        <w:rPr>
          <w:rFonts w:eastAsia="Calibri"/>
        </w:rPr>
        <w:br/>
      </w:r>
      <w:r w:rsidRPr="00622B64">
        <w:rPr>
          <w:rFonts w:eastAsia="Calibri"/>
        </w:rPr>
        <w:t xml:space="preserve">v dôsledku tejto regulácie bude môcť za určitých podmienok ponechať na trhu. Rozhodnutie </w:t>
      </w:r>
      <w:r w:rsidR="00725EE5">
        <w:rPr>
          <w:rFonts w:eastAsia="Calibri"/>
        </w:rPr>
        <w:br/>
      </w:r>
      <w:r w:rsidRPr="00622B64">
        <w:rPr>
          <w:rFonts w:eastAsia="Calibri"/>
        </w:rPr>
        <w:t xml:space="preserve">o kúpe ostane naďalej na spotrebiteľovi. Predmetná regulácia bola predkladateľom vyhodnotená ako regulácia znižujúca náklady podnikateľov, a teda regulácia s pozitívnym vplyvom na podnikateľské prostredie. Regulácia sa týka všetkých obchodníkov, ktorí ponúkajú výrobky iné ako tie, ktorých požiadavky upravujú osobitné predpisy. Okruh dotknutých subjektov sa preto nedá vyčísliť. Existuje viacero tovarov, ktorých použitie je nezávadné aj po uplynutí exspirácie, napr. chemikálie (čistiace prostriedky, farby, prípravky na likvidáciu hmyzu atď.). Dotknutými subjektmi sú pre túto kategóriu maloobchody so železiarskym tovarom, farbami a sklom v špecializovaných predajniach - 504 subjektov, veľkoobchody </w:t>
      </w:r>
      <w:r w:rsidR="00725EE5">
        <w:rPr>
          <w:rFonts w:eastAsia="Calibri"/>
        </w:rPr>
        <w:br/>
      </w:r>
      <w:r w:rsidRPr="00622B64">
        <w:rPr>
          <w:rFonts w:eastAsia="Calibri"/>
        </w:rPr>
        <w:t>s porcelánom, sklom a čistiacimi prostriedkami - 83 subjektov, maloobchody s kozmetickými a toaletnými výrobkami v špecializovaných predajniach - 296 subjektov, ostatné maloobchody v nešpecializovaných predajniach (bežné obchody ako Tesco - 6276 subjektov a veľkoobchody s chemickými výrobkami - 371 subjektov. Ku kvantifikácií dopadu na podnikateľské prostredie však chýbajú dáta, aké percento predmetných produktov sa vyhodí po exspirácii a zároveň skupina produktov nie je detailne vyšpecifikovaná. Ide o realizáciu opatrenia z druhého balíka na zlepšovanie podnikateľského prostredia. Údaje sú prevzaté z analýzy vplyvov na podnikateľské prostredie k procesu LP/2021/619 Zákon, ktorým sa menia a dopĺňajú niektoré zákony v súvislosti so zlepšovaním podnikateľského prostredia.</w:t>
      </w:r>
      <w:r>
        <w:rPr>
          <w:rFonts w:eastAsia="Calibri"/>
        </w:rPr>
        <w:t>“</w:t>
      </w:r>
      <w:r w:rsidRPr="00622B64">
        <w:rPr>
          <w:rFonts w:eastAsia="Calibri"/>
        </w:rPr>
        <w:t xml:space="preserve">  </w:t>
      </w:r>
    </w:p>
    <w:p w14:paraId="1293D3F3" w14:textId="77777777" w:rsidR="00B90F24" w:rsidRPr="00622B64" w:rsidRDefault="00B90F24" w:rsidP="00B90F24">
      <w:pPr>
        <w:jc w:val="both"/>
        <w:rPr>
          <w:rFonts w:eastAsia="Calibri"/>
        </w:rPr>
      </w:pPr>
      <w:r>
        <w:rPr>
          <w:rFonts w:eastAsia="Calibri"/>
        </w:rPr>
        <w:t xml:space="preserve">Regulácia nemá pôvod v smernici alebo nariadení EÚ. </w:t>
      </w:r>
      <w:r w:rsidRPr="00622B64">
        <w:rPr>
          <w:rFonts w:eastAsia="Calibri"/>
        </w:rPr>
        <w:t xml:space="preserve">Opatrenie sa ponecháva z dôvodu </w:t>
      </w:r>
      <w:r w:rsidRPr="00622B64">
        <w:rPr>
          <w:rFonts w:eastAsia="Calibri"/>
          <w:b/>
        </w:rPr>
        <w:t>pozitívneho vplyvu</w:t>
      </w:r>
      <w:r w:rsidRPr="00622B64">
        <w:rPr>
          <w:rFonts w:eastAsia="Calibri"/>
        </w:rPr>
        <w:t xml:space="preserve"> na podnikateľské prostredie.</w:t>
      </w:r>
    </w:p>
    <w:p w14:paraId="4C36DC82" w14:textId="77777777" w:rsidR="00B90F24" w:rsidRDefault="00B90F24" w:rsidP="00B90F24">
      <w:pPr>
        <w:jc w:val="both"/>
        <w:rPr>
          <w:rFonts w:eastAsia="Calibri"/>
          <w:b/>
        </w:rPr>
      </w:pPr>
    </w:p>
    <w:p w14:paraId="6FB6344A" w14:textId="77777777" w:rsidR="00B90F24" w:rsidRPr="001F1B43" w:rsidRDefault="00B90F24" w:rsidP="00B90F24">
      <w:pPr>
        <w:jc w:val="both"/>
        <w:rPr>
          <w:rFonts w:eastAsia="Calibri"/>
          <w:b/>
        </w:rPr>
      </w:pPr>
      <w:r w:rsidRPr="001F1B43">
        <w:rPr>
          <w:rFonts w:eastAsia="Calibri"/>
          <w:b/>
        </w:rPr>
        <w:t>3.2 Vyhodnotenie konzultácií s podnikateľskými subjektmi pred predbežným pripomienkovým konaním</w:t>
      </w:r>
    </w:p>
    <w:p w14:paraId="3C00E0F0" w14:textId="77777777" w:rsidR="00B90F24" w:rsidRPr="00D8247C" w:rsidRDefault="00B90F24" w:rsidP="00B90F24">
      <w:pPr>
        <w:jc w:val="both"/>
        <w:rPr>
          <w:rFonts w:eastAsia="Calibri"/>
          <w:i/>
        </w:rPr>
      </w:pPr>
      <w:r w:rsidRPr="00D8247C">
        <w:rPr>
          <w:rFonts w:eastAsia="Calibri"/>
          <w:i/>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eastAsia="Calibri"/>
          <w:i/>
        </w:rPr>
        <w:t>link</w:t>
      </w:r>
      <w:proofErr w:type="spellEnd"/>
      <w:r w:rsidRPr="00D8247C">
        <w:rPr>
          <w:rFonts w:eastAsia="Calibri"/>
          <w:i/>
        </w:rPr>
        <w:t xml:space="preserve"> na webovú stránku, na ktorej boli konzultácie zverejnené. </w:t>
      </w:r>
    </w:p>
    <w:p w14:paraId="08C219F4" w14:textId="77777777" w:rsidR="00B90F24" w:rsidRPr="00D8247C" w:rsidRDefault="00B90F24" w:rsidP="00B90F24">
      <w:pPr>
        <w:jc w:val="both"/>
        <w:rPr>
          <w:rFonts w:eastAsia="Calibri"/>
          <w:i/>
        </w:rPr>
      </w:pPr>
      <w:r w:rsidRPr="00D8247C">
        <w:rPr>
          <w:rFonts w:eastAsia="Calibri"/>
          <w:i/>
        </w:rPr>
        <w:t xml:space="preserve">Uveďte hlavné body konzultácií a ich závery. </w:t>
      </w:r>
    </w:p>
    <w:p w14:paraId="196A530D" w14:textId="77777777" w:rsidR="00B90F24" w:rsidRPr="00D8247C" w:rsidRDefault="00B90F24" w:rsidP="00B90F24">
      <w:pPr>
        <w:jc w:val="both"/>
        <w:rPr>
          <w:rFonts w:eastAsia="Calibri"/>
          <w:i/>
        </w:rPr>
      </w:pPr>
      <w:r w:rsidRPr="00D8247C">
        <w:rPr>
          <w:rFonts w:eastAsia="Calibri"/>
          <w:i/>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1F00D00C" w14:textId="77777777" w:rsidR="00B90F24" w:rsidRPr="00D8247C" w:rsidRDefault="00B90F24" w:rsidP="00B90F24">
      <w:pPr>
        <w:jc w:val="both"/>
        <w:rPr>
          <w:rFonts w:eastAsia="Calibri"/>
          <w:i/>
        </w:rPr>
      </w:pPr>
      <w:r w:rsidRPr="00D8247C">
        <w:rPr>
          <w:rFonts w:eastAsia="Calibri"/>
          <w:i/>
        </w:rPr>
        <w:t xml:space="preserve">Alternatívne namiesto vypĺňania bodu 3.2 môžete uviesť ako samostatnú prílohu tejto analýzy Záznam z konzultácií obsahujúci požadované informácie. </w:t>
      </w:r>
    </w:p>
    <w:p w14:paraId="7D3A2A48" w14:textId="77777777" w:rsidR="00B90F24" w:rsidRDefault="00B90F24" w:rsidP="00B90F24">
      <w:pPr>
        <w:jc w:val="both"/>
        <w:rPr>
          <w:rFonts w:eastAsia="Calibri"/>
        </w:rPr>
      </w:pPr>
    </w:p>
    <w:p w14:paraId="3B7508C3" w14:textId="3B148E19" w:rsidR="00B90F24" w:rsidRDefault="00B90F24" w:rsidP="00B90F24">
      <w:pPr>
        <w:jc w:val="both"/>
        <w:rPr>
          <w:rFonts w:eastAsia="Calibri"/>
        </w:rPr>
      </w:pPr>
      <w:r>
        <w:rPr>
          <w:rFonts w:eastAsia="Calibri"/>
        </w:rPr>
        <w:t xml:space="preserve">Predkladateľ pri príprave návrhu zákona vzal do úvahy návrhy a spätnú väzbu od podnikateľských subjektov poskytnutých k problematike regulácie oblasti všeobecnej bezpečnosti výrobkov jednak v rámci legislatívneho procesu k návrhu zákona č. </w:t>
      </w:r>
      <w:r w:rsidRPr="00622B64">
        <w:rPr>
          <w:rFonts w:eastAsia="Calibri"/>
        </w:rPr>
        <w:t>281/2023 Z. z. o všeobecnej bezpečnosti výrobkov a o zmene a doplnení niektorých zákonov</w:t>
      </w:r>
      <w:r>
        <w:rPr>
          <w:rFonts w:eastAsia="Calibri"/>
        </w:rPr>
        <w:t xml:space="preserve"> (</w:t>
      </w:r>
      <w:hyperlink r:id="rId13" w:anchor="38;MasterID=9381" w:history="1">
        <w:r w:rsidRPr="00CE12C4">
          <w:rPr>
            <w:rStyle w:val="Hypertextovprepojenie"/>
            <w:rFonts w:eastAsia="Calibri"/>
          </w:rPr>
          <w:t>https://www.nrsr.sk/web/Default.aspx?sid=zakony/zakon&amp;MasterID=9381</w:t>
        </w:r>
      </w:hyperlink>
      <w:r>
        <w:rPr>
          <w:rFonts w:eastAsia="Calibri"/>
        </w:rPr>
        <w:t xml:space="preserve">) vzhľadom na to, že sú stále časovo relevantné, a jednak v rámci prípravy riadneho predbežného stanoviska </w:t>
      </w:r>
      <w:r w:rsidR="00725EE5">
        <w:rPr>
          <w:rFonts w:eastAsia="Calibri"/>
        </w:rPr>
        <w:br/>
      </w:r>
      <w:r>
        <w:rPr>
          <w:rFonts w:eastAsia="Calibri"/>
        </w:rPr>
        <w:lastRenderedPageBreak/>
        <w:t xml:space="preserve">a </w:t>
      </w:r>
      <w:proofErr w:type="spellStart"/>
      <w:r>
        <w:rPr>
          <w:rFonts w:eastAsia="Calibri"/>
        </w:rPr>
        <w:t>prejednávania</w:t>
      </w:r>
      <w:proofErr w:type="spellEnd"/>
      <w:r>
        <w:rPr>
          <w:rFonts w:eastAsia="Calibri"/>
        </w:rPr>
        <w:t xml:space="preserve"> n</w:t>
      </w:r>
      <w:r w:rsidRPr="00C5552F">
        <w:rPr>
          <w:rFonts w:eastAsia="Calibri"/>
        </w:rPr>
        <w:t>ávrh</w:t>
      </w:r>
      <w:r>
        <w:rPr>
          <w:rFonts w:eastAsia="Calibri"/>
        </w:rPr>
        <w:t>u</w:t>
      </w:r>
      <w:r w:rsidRPr="00C5552F">
        <w:rPr>
          <w:rFonts w:eastAsia="Calibri"/>
        </w:rPr>
        <w:t xml:space="preserve"> nariadenia Európskeho parlamentu a Rady o všeobecnej bezpečnosti výrobkov, ktorým sa mení nariadenie Európskeho parlamentu a Rady (EÚ) č. 1025/2012 </w:t>
      </w:r>
      <w:r w:rsidR="00725EE5">
        <w:rPr>
          <w:rFonts w:eastAsia="Calibri"/>
        </w:rPr>
        <w:br/>
      </w:r>
      <w:r w:rsidRPr="00C5552F">
        <w:rPr>
          <w:rFonts w:eastAsia="Calibri"/>
        </w:rPr>
        <w:t>a zrušuje smernica Rady 87/357/EHS a smernica Európskeho parlamentu a Rady 2001/95/ES</w:t>
      </w:r>
      <w:r>
        <w:rPr>
          <w:rFonts w:eastAsia="Calibri"/>
        </w:rPr>
        <w:t xml:space="preserve"> (</w:t>
      </w:r>
      <w:hyperlink r:id="rId14" w:history="1">
        <w:r w:rsidRPr="00CE12C4">
          <w:rPr>
            <w:rStyle w:val="Hypertextovprepojenie"/>
            <w:rFonts w:eastAsia="Calibri"/>
          </w:rPr>
          <w:t>https://www.slov-lex.sk/legislativne-procesy/SK/LPEU/2021/396</w:t>
        </w:r>
      </w:hyperlink>
      <w:r>
        <w:rPr>
          <w:rFonts w:eastAsia="Calibri"/>
        </w:rPr>
        <w:t xml:space="preserve">), vrátane záverov </w:t>
      </w:r>
      <w:r w:rsidR="00725EE5">
        <w:rPr>
          <w:rFonts w:eastAsia="Calibri"/>
        </w:rPr>
        <w:br/>
      </w:r>
      <w:r>
        <w:rPr>
          <w:rFonts w:eastAsia="Calibri"/>
        </w:rPr>
        <w:t xml:space="preserve">a dosiahnutých kompromisov, ktoré boli reflektované v uvedených materiáloch. </w:t>
      </w:r>
    </w:p>
    <w:p w14:paraId="13DDFD61" w14:textId="77777777" w:rsidR="00B90F24" w:rsidRDefault="00B90F24" w:rsidP="00B90F24">
      <w:pPr>
        <w:jc w:val="both"/>
        <w:rPr>
          <w:rFonts w:eastAsia="Calibri"/>
        </w:rPr>
      </w:pPr>
    </w:p>
    <w:p w14:paraId="464E323A" w14:textId="77777777" w:rsidR="00B90F24" w:rsidRPr="00622B64" w:rsidRDefault="00B90F24" w:rsidP="00B90F24">
      <w:pPr>
        <w:jc w:val="both"/>
        <w:rPr>
          <w:rFonts w:eastAsia="Calibri"/>
        </w:rPr>
      </w:pPr>
      <w:r>
        <w:rPr>
          <w:rFonts w:eastAsia="Calibri"/>
        </w:rPr>
        <w:t>Predbežná informácia k návrhu nového zákona o všeobecnej bezpečnosti výrobkov bola zverejnená na stránke slov-lex.sk (</w:t>
      </w:r>
      <w:hyperlink r:id="rId15" w:anchor="38;p_p_col_id=column-2&amp;" w:history="1">
        <w:r w:rsidRPr="00CE12C4">
          <w:rPr>
            <w:rStyle w:val="Hypertextovprepojenie"/>
            <w:rFonts w:eastAsia="Calibri"/>
          </w:rPr>
          <w:t>https://www.slov-lex.sk/legislativne-procesy?p_p_id=processDetail_WAR_portletsel&amp;p_p_lifecycle=0&amp;p_p_state=normal&amp;p_p_mode=view&amp;p_p_col_id=column-2&amp;p_p_col_count=1&amp;_processDetail_WAR_portletsel_cisloLP=PI%2F2024%2F190&amp;_processDetail_WAR_portletsel_action=files</w:t>
        </w:r>
      </w:hyperlink>
      <w:r>
        <w:rPr>
          <w:rFonts w:eastAsia="Calibri"/>
        </w:rPr>
        <w:t xml:space="preserve">) s výzvou pre širokú verejnosť zasielať podnety a návrhy k implementácii </w:t>
      </w:r>
      <w:r w:rsidRPr="00C72AC6">
        <w:rPr>
          <w:rFonts w:eastAsia="Calibri"/>
        </w:rPr>
        <w:t>nariadenia (EÚ) 2023/988</w:t>
      </w:r>
      <w:r>
        <w:rPr>
          <w:rFonts w:eastAsia="Calibri"/>
        </w:rPr>
        <w:t>. Predkladateľovi neboli doručené žiadne dodatočné návrhy, stanoviská, žiadosti od podnikateľskej verejnosti. Priebežné dopyty od podnikateľov smerujú skôr k vysvetleniu nového nariadenia (EÚ) 2023/988, než k návrhom na implementáciu v SR, pravdepodobne aj z dôvodu rozsahu implementácie.</w:t>
      </w:r>
    </w:p>
    <w:p w14:paraId="40E9B98E" w14:textId="77777777" w:rsidR="00B90F24" w:rsidRPr="00D8247C" w:rsidRDefault="00B90F24" w:rsidP="00B90F24">
      <w:pPr>
        <w:jc w:val="both"/>
        <w:rPr>
          <w:rFonts w:eastAsia="Calibri"/>
          <w:i/>
        </w:rPr>
      </w:pPr>
    </w:p>
    <w:p w14:paraId="6180584C" w14:textId="77777777" w:rsidR="00B90F24" w:rsidRPr="001F1B43" w:rsidRDefault="00B90F24" w:rsidP="00B90F24">
      <w:pPr>
        <w:jc w:val="both"/>
        <w:rPr>
          <w:rFonts w:eastAsia="Calibri"/>
          <w:b/>
        </w:rPr>
      </w:pPr>
      <w:bookmarkStart w:id="1" w:name="_Hlk47698091"/>
      <w:r w:rsidRPr="001F1B43">
        <w:rPr>
          <w:rFonts w:eastAsia="Calibri"/>
          <w:b/>
        </w:rPr>
        <w:t>3.3 Vplyvy na konkurencieschopnosť a produktivitu</w:t>
      </w:r>
    </w:p>
    <w:bookmarkEnd w:id="1"/>
    <w:p w14:paraId="13C8420A" w14:textId="77777777" w:rsidR="00B90F24" w:rsidRPr="00D8247C" w:rsidRDefault="00B90F24" w:rsidP="00B90F24">
      <w:pPr>
        <w:jc w:val="both"/>
        <w:rPr>
          <w:rFonts w:eastAsia="Calibri"/>
          <w:i/>
        </w:rPr>
      </w:pPr>
      <w:r w:rsidRPr="00D8247C">
        <w:rPr>
          <w:rFonts w:eastAsia="Calibri"/>
          <w:i/>
        </w:rPr>
        <w:t xml:space="preserve">Dochádza k vytvoreniu resp. k zmene bariér na trhu? </w:t>
      </w:r>
    </w:p>
    <w:p w14:paraId="049A38BA" w14:textId="77777777" w:rsidR="00B90F24" w:rsidRPr="00D8247C" w:rsidRDefault="00B90F24" w:rsidP="00B90F24">
      <w:pPr>
        <w:jc w:val="both"/>
        <w:rPr>
          <w:rFonts w:eastAsia="Calibri"/>
          <w:i/>
        </w:rPr>
      </w:pPr>
      <w:r w:rsidRPr="00D8247C">
        <w:rPr>
          <w:rFonts w:eastAsia="Calibri"/>
          <w:i/>
        </w:rPr>
        <w:t xml:space="preserve">Bude sa s niektorými podnikmi alebo produktmi zaobchádzať v porovnateľnej situácii rôzne (napr. špeciálne režimy pre </w:t>
      </w:r>
      <w:proofErr w:type="spellStart"/>
      <w:r w:rsidRPr="00D8247C">
        <w:rPr>
          <w:rFonts w:eastAsia="Calibri"/>
          <w:i/>
        </w:rPr>
        <w:t>mikro</w:t>
      </w:r>
      <w:proofErr w:type="spellEnd"/>
      <w:r w:rsidRPr="00D8247C">
        <w:rPr>
          <w:rFonts w:eastAsia="Calibri"/>
          <w:i/>
        </w:rPr>
        <w:t xml:space="preserve">, malé a stredné podniky tzv. MSP)? </w:t>
      </w:r>
    </w:p>
    <w:p w14:paraId="2B7EE8CD" w14:textId="77777777" w:rsidR="00B90F24" w:rsidRPr="00D8247C" w:rsidRDefault="00B90F24" w:rsidP="00B90F24">
      <w:pPr>
        <w:jc w:val="both"/>
        <w:rPr>
          <w:rFonts w:eastAsia="Calibri"/>
          <w:i/>
        </w:rPr>
      </w:pPr>
      <w:r w:rsidRPr="00D8247C">
        <w:rPr>
          <w:rFonts w:eastAsia="Calibri"/>
          <w:i/>
        </w:rPr>
        <w:t xml:space="preserve">Ovplyvňuje zmena regulácie cezhraničné investície (príliv/odliv zahraničných investícií resp. uplatnenie slovenských podnikov na zahraničných trhoch)? </w:t>
      </w:r>
    </w:p>
    <w:p w14:paraId="3EB5C0E9" w14:textId="77777777" w:rsidR="00B90F24" w:rsidRDefault="00B90F24" w:rsidP="00B90F24">
      <w:pPr>
        <w:jc w:val="both"/>
        <w:rPr>
          <w:rFonts w:eastAsia="Calibri"/>
          <w:i/>
        </w:rPr>
      </w:pPr>
      <w:r w:rsidRPr="00D8247C">
        <w:rPr>
          <w:rFonts w:eastAsia="Calibri"/>
          <w:i/>
        </w:rPr>
        <w:t xml:space="preserve">Ovplyvní dostupnosť základných zdrojov (financie, pracovná sila, suroviny, mechanizmy, energie atď.)? </w:t>
      </w:r>
    </w:p>
    <w:p w14:paraId="5DB68C93" w14:textId="77777777" w:rsidR="00B90F24" w:rsidRDefault="00B90F24" w:rsidP="00B90F24">
      <w:pPr>
        <w:jc w:val="both"/>
        <w:rPr>
          <w:rFonts w:eastAsia="Calibri"/>
          <w:i/>
        </w:rPr>
      </w:pPr>
      <w:r>
        <w:rPr>
          <w:rFonts w:eastAsia="Calibri"/>
          <w:i/>
        </w:rPr>
        <w:t>Ovplyvňuje zmena regulácie inovácie, vedu a výskum?</w:t>
      </w:r>
    </w:p>
    <w:p w14:paraId="3F3BCCC0" w14:textId="77777777" w:rsidR="00B90F24" w:rsidRPr="00D8247C" w:rsidRDefault="00B90F24" w:rsidP="00B90F24">
      <w:pPr>
        <w:jc w:val="both"/>
        <w:rPr>
          <w:rFonts w:eastAsia="Calibri"/>
          <w:i/>
        </w:rPr>
      </w:pPr>
      <w:r>
        <w:rPr>
          <w:rFonts w:eastAsia="Calibri"/>
          <w:i/>
        </w:rPr>
        <w:t xml:space="preserve">Ak bol identifikovaný </w:t>
      </w:r>
      <w:proofErr w:type="spellStart"/>
      <w:r>
        <w:rPr>
          <w:rFonts w:eastAsia="Calibri"/>
          <w:i/>
        </w:rPr>
        <w:t>goldplating</w:t>
      </w:r>
      <w:proofErr w:type="spellEnd"/>
      <w:r>
        <w:rPr>
          <w:rFonts w:eastAsia="Calibri"/>
          <w:i/>
        </w:rPr>
        <w:t>, prispieva k zníženiu konkurencieschopnosti a produktivity? Akým spôsobom?</w:t>
      </w:r>
    </w:p>
    <w:p w14:paraId="742ACA6C" w14:textId="77777777" w:rsidR="00B90F24" w:rsidRPr="00D8247C" w:rsidRDefault="00B90F24" w:rsidP="00B90F24">
      <w:pPr>
        <w:jc w:val="both"/>
        <w:rPr>
          <w:rFonts w:eastAsia="Calibri"/>
          <w:i/>
        </w:rPr>
      </w:pPr>
      <w:r w:rsidRPr="00D8247C">
        <w:rPr>
          <w:rFonts w:eastAsia="Calibri"/>
          <w:i/>
          <w:iCs/>
        </w:rPr>
        <w:t>Ako prispieva zmena regulácie k cieľu Slovenska mať najlepšie podnikateľské prostredie spomedzi susediacich krajín EÚ?</w:t>
      </w:r>
    </w:p>
    <w:p w14:paraId="28A487EC" w14:textId="77777777" w:rsidR="00B90F24" w:rsidRPr="00D8247C" w:rsidRDefault="00B90F24" w:rsidP="00B90F24">
      <w:pPr>
        <w:jc w:val="both"/>
        <w:rPr>
          <w:rFonts w:eastAsia="Calibri"/>
          <w:i/>
        </w:rPr>
      </w:pPr>
    </w:p>
    <w:p w14:paraId="4AFF37C9" w14:textId="77777777" w:rsidR="00B90F24" w:rsidRPr="00D8247C" w:rsidRDefault="00B90F24" w:rsidP="00B90F24">
      <w:pPr>
        <w:jc w:val="both"/>
        <w:rPr>
          <w:rFonts w:eastAsia="Calibri"/>
          <w:b/>
          <w:i/>
        </w:rPr>
      </w:pPr>
      <w:r w:rsidRPr="00D8247C">
        <w:rPr>
          <w:rFonts w:eastAsia="Calibri"/>
          <w:b/>
          <w:i/>
        </w:rPr>
        <w:t>Konkurencieschopnosť:</w:t>
      </w:r>
    </w:p>
    <w:p w14:paraId="3C0BE5B3" w14:textId="77777777" w:rsidR="00B90F24" w:rsidRPr="00D8247C" w:rsidRDefault="00B90F24" w:rsidP="00B90F24">
      <w:pPr>
        <w:jc w:val="both"/>
        <w:rPr>
          <w:rFonts w:eastAsia="Calibri"/>
          <w:i/>
        </w:rPr>
      </w:pPr>
      <w:r w:rsidRPr="00D8247C">
        <w:rPr>
          <w:rFonts w:eastAsia="Calibri"/>
          <w:i/>
        </w:rPr>
        <w:t>Na základe uvedených odpovedí zaškrtnite a popíšte, či materiál konkurencieschopnosť:</w:t>
      </w:r>
    </w:p>
    <w:p w14:paraId="2F77C90A" w14:textId="77777777" w:rsidR="00B90F24" w:rsidRPr="00D8247C" w:rsidRDefault="00B55C09" w:rsidP="00B90F24">
      <w:pPr>
        <w:jc w:val="both"/>
        <w:rPr>
          <w:rFonts w:eastAsia="Calibri"/>
          <w:i/>
        </w:rPr>
      </w:pPr>
      <w:sdt>
        <w:sdtPr>
          <w:rPr>
            <w:rFonts w:eastAsia="Calibri"/>
            <w:i/>
          </w:rPr>
          <w:id w:val="798576880"/>
        </w:sdtPr>
        <w:sdtEndPr/>
        <w:sdtContent>
          <w:sdt>
            <w:sdtPr>
              <w:rPr>
                <w:rFonts w:eastAsia="Calibri"/>
                <w:i/>
              </w:rPr>
              <w:id w:val="1729873660"/>
            </w:sdtPr>
            <w:sdtEndPr/>
            <w:sdtContent>
              <w:r w:rsidR="00B90F24" w:rsidRPr="00D8247C">
                <w:rPr>
                  <w:rFonts w:ascii="Segoe UI Symbol" w:eastAsia="Calibri" w:hAnsi="Segoe UI Symbol" w:cs="Segoe UI Symbol"/>
                  <w:i/>
                </w:rPr>
                <w:t>☐</w:t>
              </w:r>
            </w:sdtContent>
          </w:sdt>
        </w:sdtContent>
      </w:sdt>
      <w:r w:rsidR="00B90F24" w:rsidRPr="00D8247C">
        <w:rPr>
          <w:rFonts w:eastAsia="Calibri"/>
          <w:i/>
        </w:rPr>
        <w:t xml:space="preserve"> zvyšuje  </w:t>
      </w:r>
      <w:r w:rsidR="00B90F24" w:rsidRPr="00D8247C">
        <w:rPr>
          <w:rFonts w:eastAsia="Calibri"/>
          <w:i/>
        </w:rPr>
        <w:tab/>
      </w:r>
      <w:sdt>
        <w:sdtPr>
          <w:rPr>
            <w:rFonts w:eastAsia="Calibri"/>
            <w:i/>
          </w:rPr>
          <w:id w:val="410579887"/>
        </w:sdtPr>
        <w:sdtEndPr/>
        <w:sdtContent>
          <w:sdt>
            <w:sdtPr>
              <w:rPr>
                <w:rFonts w:eastAsia="Calibri"/>
                <w:i/>
              </w:rPr>
              <w:id w:val="-80300261"/>
            </w:sdtPr>
            <w:sdtEndPr/>
            <w:sdtContent>
              <w:r w:rsidR="00B90F24">
                <w:rPr>
                  <w:rFonts w:ascii="Segoe UI Symbol" w:eastAsia="Calibri" w:hAnsi="Segoe UI Symbol" w:cs="Segoe UI Symbol"/>
                  <w:i/>
                </w:rPr>
                <w:t xml:space="preserve">X </w:t>
              </w:r>
            </w:sdtContent>
          </w:sdt>
        </w:sdtContent>
      </w:sdt>
      <w:r w:rsidR="00B90F24" w:rsidRPr="00D8247C">
        <w:rPr>
          <w:rFonts w:eastAsia="Calibri"/>
          <w:i/>
        </w:rPr>
        <w:t xml:space="preserve"> nemení</w:t>
      </w:r>
      <w:r w:rsidR="00B90F24" w:rsidRPr="00D8247C">
        <w:rPr>
          <w:rFonts w:eastAsia="Calibri"/>
          <w:i/>
        </w:rPr>
        <w:tab/>
      </w:r>
      <w:sdt>
        <w:sdtPr>
          <w:rPr>
            <w:rFonts w:eastAsia="Calibri"/>
            <w:i/>
          </w:rPr>
          <w:id w:val="-474604883"/>
        </w:sdtPr>
        <w:sdtEndPr/>
        <w:sdtContent>
          <w:sdt>
            <w:sdtPr>
              <w:rPr>
                <w:rFonts w:eastAsia="Calibri"/>
                <w:i/>
              </w:rPr>
              <w:id w:val="-1706551548"/>
            </w:sdtPr>
            <w:sdtEndPr/>
            <w:sdtContent>
              <w:r w:rsidR="00B90F24" w:rsidRPr="00D8247C">
                <w:rPr>
                  <w:rFonts w:ascii="Segoe UI Symbol" w:eastAsia="Calibri" w:hAnsi="Segoe UI Symbol" w:cs="Segoe UI Symbol"/>
                  <w:i/>
                </w:rPr>
                <w:t>☐</w:t>
              </w:r>
            </w:sdtContent>
          </w:sdt>
        </w:sdtContent>
      </w:sdt>
      <w:r w:rsidR="00B90F24" w:rsidRPr="00D8247C">
        <w:rPr>
          <w:rFonts w:eastAsia="Calibri"/>
          <w:i/>
        </w:rPr>
        <w:t xml:space="preserve"> znižuje</w:t>
      </w:r>
    </w:p>
    <w:p w14:paraId="21684346" w14:textId="77777777" w:rsidR="00B90F24" w:rsidRPr="00D8247C" w:rsidRDefault="00B90F24" w:rsidP="00B90F24">
      <w:pPr>
        <w:jc w:val="both"/>
        <w:rPr>
          <w:rFonts w:eastAsia="Calibri"/>
          <w:i/>
        </w:rPr>
      </w:pPr>
    </w:p>
    <w:p w14:paraId="37E9A893" w14:textId="77777777" w:rsidR="00B90F24" w:rsidRPr="00D8247C" w:rsidRDefault="00B90F24" w:rsidP="00B90F24">
      <w:pPr>
        <w:jc w:val="both"/>
        <w:rPr>
          <w:rFonts w:eastAsia="Calibri"/>
          <w:b/>
          <w:i/>
        </w:rPr>
      </w:pPr>
      <w:r w:rsidRPr="00D8247C">
        <w:rPr>
          <w:rFonts w:eastAsia="Calibri"/>
          <w:b/>
          <w:i/>
        </w:rPr>
        <w:t>Produktivita:</w:t>
      </w:r>
    </w:p>
    <w:p w14:paraId="19F4E892" w14:textId="77777777" w:rsidR="00B90F24" w:rsidRPr="00D8247C" w:rsidRDefault="00B90F24" w:rsidP="00B90F24">
      <w:pPr>
        <w:jc w:val="both"/>
        <w:rPr>
          <w:rFonts w:eastAsia="Calibri"/>
          <w:i/>
        </w:rPr>
      </w:pPr>
      <w:r w:rsidRPr="00D8247C">
        <w:rPr>
          <w:rFonts w:eastAsia="Calibri"/>
          <w:i/>
        </w:rPr>
        <w:t xml:space="preserve">Aký má materiál vplyv na zmenu pomeru medzi produkciou podnikov a ich nákladmi? </w:t>
      </w:r>
    </w:p>
    <w:p w14:paraId="638AE25B" w14:textId="77777777" w:rsidR="00B90F24" w:rsidRPr="00D8247C" w:rsidRDefault="00B90F24" w:rsidP="00B90F24">
      <w:pPr>
        <w:jc w:val="both"/>
        <w:rPr>
          <w:rFonts w:eastAsia="Calibri"/>
          <w:i/>
        </w:rPr>
      </w:pPr>
    </w:p>
    <w:p w14:paraId="621ABB89" w14:textId="77777777" w:rsidR="00B90F24" w:rsidRPr="00D8247C" w:rsidRDefault="00B90F24" w:rsidP="00B90F24">
      <w:pPr>
        <w:jc w:val="both"/>
        <w:rPr>
          <w:rFonts w:eastAsia="Calibri"/>
          <w:i/>
        </w:rPr>
      </w:pPr>
      <w:r w:rsidRPr="00D8247C">
        <w:rPr>
          <w:rFonts w:eastAsia="Calibri"/>
          <w:i/>
        </w:rPr>
        <w:t>Na základe uvedenej odpovede zaškrtnite a popíšte, či materiál produktivitu:</w:t>
      </w:r>
    </w:p>
    <w:p w14:paraId="369967FD" w14:textId="77777777" w:rsidR="00B90F24" w:rsidRPr="00D8247C" w:rsidRDefault="00B55C09" w:rsidP="00B90F24">
      <w:pPr>
        <w:jc w:val="both"/>
        <w:rPr>
          <w:rFonts w:eastAsia="Calibri"/>
          <w:i/>
        </w:rPr>
      </w:pPr>
      <w:sdt>
        <w:sdtPr>
          <w:rPr>
            <w:rFonts w:eastAsia="Calibri"/>
            <w:i/>
          </w:rPr>
          <w:id w:val="-1545903528"/>
        </w:sdtPr>
        <w:sdtEndPr/>
        <w:sdtContent>
          <w:sdt>
            <w:sdtPr>
              <w:rPr>
                <w:rFonts w:eastAsia="Calibri"/>
                <w:i/>
              </w:rPr>
              <w:id w:val="825715010"/>
            </w:sdtPr>
            <w:sdtEndPr/>
            <w:sdtContent>
              <w:r w:rsidR="00B90F24" w:rsidRPr="00D8247C">
                <w:rPr>
                  <w:rFonts w:ascii="Segoe UI Symbol" w:eastAsia="Calibri" w:hAnsi="Segoe UI Symbol" w:cs="Segoe UI Symbol"/>
                  <w:i/>
                </w:rPr>
                <w:t>☐</w:t>
              </w:r>
            </w:sdtContent>
          </w:sdt>
        </w:sdtContent>
      </w:sdt>
      <w:r w:rsidR="00B90F24" w:rsidRPr="00D8247C">
        <w:rPr>
          <w:rFonts w:eastAsia="Calibri"/>
          <w:i/>
        </w:rPr>
        <w:t xml:space="preserve"> zvyšuje  </w:t>
      </w:r>
      <w:r w:rsidR="00B90F24" w:rsidRPr="00D8247C">
        <w:rPr>
          <w:rFonts w:eastAsia="Calibri"/>
          <w:i/>
        </w:rPr>
        <w:tab/>
      </w:r>
      <w:sdt>
        <w:sdtPr>
          <w:rPr>
            <w:rFonts w:eastAsia="Calibri"/>
            <w:i/>
          </w:rPr>
          <w:id w:val="-353966921"/>
        </w:sdtPr>
        <w:sdtEndPr/>
        <w:sdtContent>
          <w:sdt>
            <w:sdtPr>
              <w:rPr>
                <w:rFonts w:eastAsia="Calibri"/>
                <w:i/>
              </w:rPr>
              <w:id w:val="-1222205104"/>
            </w:sdtPr>
            <w:sdtEndPr/>
            <w:sdtContent>
              <w:r w:rsidR="00B90F24">
                <w:rPr>
                  <w:rFonts w:ascii="Segoe UI Symbol" w:eastAsia="Calibri" w:hAnsi="Segoe UI Symbol" w:cs="Segoe UI Symbol"/>
                  <w:i/>
                </w:rPr>
                <w:t xml:space="preserve">X </w:t>
              </w:r>
            </w:sdtContent>
          </w:sdt>
        </w:sdtContent>
      </w:sdt>
      <w:r w:rsidR="00B90F24" w:rsidRPr="00D8247C">
        <w:rPr>
          <w:rFonts w:eastAsia="Calibri"/>
          <w:i/>
        </w:rPr>
        <w:t xml:space="preserve"> nemení</w:t>
      </w:r>
      <w:r w:rsidR="00B90F24" w:rsidRPr="00D8247C">
        <w:rPr>
          <w:rFonts w:eastAsia="Calibri"/>
          <w:i/>
        </w:rPr>
        <w:tab/>
      </w:r>
      <w:sdt>
        <w:sdtPr>
          <w:rPr>
            <w:rFonts w:eastAsia="Calibri"/>
            <w:i/>
          </w:rPr>
          <w:id w:val="-1457723544"/>
        </w:sdtPr>
        <w:sdtEndPr/>
        <w:sdtContent>
          <w:sdt>
            <w:sdtPr>
              <w:rPr>
                <w:rFonts w:eastAsia="Calibri"/>
                <w:i/>
              </w:rPr>
              <w:id w:val="-623767955"/>
            </w:sdtPr>
            <w:sdtEndPr/>
            <w:sdtContent>
              <w:r w:rsidR="00B90F24" w:rsidRPr="00D8247C">
                <w:rPr>
                  <w:rFonts w:ascii="Segoe UI Symbol" w:eastAsia="Calibri" w:hAnsi="Segoe UI Symbol" w:cs="Segoe UI Symbol"/>
                  <w:i/>
                </w:rPr>
                <w:t>☐</w:t>
              </w:r>
            </w:sdtContent>
          </w:sdt>
        </w:sdtContent>
      </w:sdt>
      <w:r w:rsidR="00B90F24" w:rsidRPr="00D8247C">
        <w:rPr>
          <w:rFonts w:eastAsia="Calibri"/>
          <w:i/>
        </w:rPr>
        <w:t xml:space="preserve"> znižuje</w:t>
      </w:r>
    </w:p>
    <w:p w14:paraId="363719FF" w14:textId="77777777" w:rsidR="00B90F24" w:rsidRPr="00D8247C" w:rsidRDefault="00B90F24" w:rsidP="00B90F24">
      <w:pPr>
        <w:jc w:val="both"/>
        <w:rPr>
          <w:rFonts w:eastAsia="Calibri"/>
          <w:i/>
        </w:rPr>
      </w:pPr>
    </w:p>
    <w:p w14:paraId="7AED113E" w14:textId="77777777" w:rsidR="00B90F24" w:rsidRDefault="00B90F24" w:rsidP="00B90F24">
      <w:pPr>
        <w:jc w:val="both"/>
        <w:rPr>
          <w:rFonts w:eastAsia="Calibri"/>
          <w:i/>
        </w:rPr>
      </w:pPr>
    </w:p>
    <w:p w14:paraId="73BB6DE8" w14:textId="77777777" w:rsidR="00B90F24" w:rsidRPr="001F1B43" w:rsidRDefault="00B90F24" w:rsidP="00B90F24">
      <w:pPr>
        <w:jc w:val="both"/>
        <w:rPr>
          <w:rFonts w:eastAsia="Calibri"/>
          <w:b/>
        </w:rPr>
      </w:pPr>
      <w:r w:rsidRPr="001F1B43">
        <w:rPr>
          <w:rFonts w:eastAsia="Calibri"/>
          <w:b/>
        </w:rPr>
        <w:t xml:space="preserve">3.4  Iné vplyvy na podnikateľské prostredie </w:t>
      </w:r>
    </w:p>
    <w:p w14:paraId="78745D2E" w14:textId="77777777" w:rsidR="00B90F24" w:rsidRDefault="00B90F24" w:rsidP="00B90F24">
      <w:pPr>
        <w:jc w:val="both"/>
        <w:rPr>
          <w:rFonts w:eastAsia="Calibri"/>
          <w:i/>
        </w:rPr>
      </w:pPr>
      <w:r>
        <w:rPr>
          <w:rFonts w:eastAsia="Calibri"/>
          <w:i/>
        </w:rPr>
        <w:t xml:space="preserve">Ak má materiál vplyvy na PP, ktoré nemožno zaradiť do predchádzajúcich častí, či už pozitívne alebo negatívne, tu ich uveďte.  Patria sem: </w:t>
      </w:r>
    </w:p>
    <w:p w14:paraId="2327B050" w14:textId="77777777" w:rsidR="00B90F24" w:rsidRDefault="00B90F24" w:rsidP="00B5003C">
      <w:pPr>
        <w:pStyle w:val="Odsekzoznamu"/>
        <w:numPr>
          <w:ilvl w:val="0"/>
          <w:numId w:val="24"/>
        </w:numPr>
        <w:spacing w:line="254" w:lineRule="auto"/>
        <w:jc w:val="both"/>
        <w:rPr>
          <w:rFonts w:eastAsia="Calibri"/>
          <w:i/>
        </w:rPr>
      </w:pPr>
      <w:r>
        <w:rPr>
          <w:rFonts w:eastAsia="Calibri"/>
          <w:i/>
        </w:rPr>
        <w:lastRenderedPageBreak/>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4A3B79E" w14:textId="77777777" w:rsidR="00B90F24" w:rsidRDefault="00B90F24" w:rsidP="00B5003C">
      <w:pPr>
        <w:pStyle w:val="Odsekzoznamu"/>
        <w:numPr>
          <w:ilvl w:val="0"/>
          <w:numId w:val="24"/>
        </w:numPr>
        <w:spacing w:line="254" w:lineRule="auto"/>
        <w:jc w:val="both"/>
        <w:rPr>
          <w:rFonts w:eastAsia="Calibri"/>
          <w:i/>
        </w:rPr>
      </w:pPr>
      <w:r>
        <w:rPr>
          <w:rFonts w:eastAsia="Calibri"/>
          <w:i/>
        </w:rPr>
        <w:t>regulované ceny podľa zákona č. 18/1996 Z. z. o cenách;</w:t>
      </w:r>
    </w:p>
    <w:p w14:paraId="57C7F7F9" w14:textId="77777777" w:rsidR="00B90F24" w:rsidRPr="00F244DC" w:rsidRDefault="00B90F24" w:rsidP="00B5003C">
      <w:pPr>
        <w:pStyle w:val="Odsekzoznamu"/>
        <w:numPr>
          <w:ilvl w:val="0"/>
          <w:numId w:val="24"/>
        </w:numPr>
        <w:spacing w:line="254" w:lineRule="auto"/>
        <w:jc w:val="both"/>
        <w:rPr>
          <w:rFonts w:eastAsia="Calibri"/>
          <w:i/>
        </w:rPr>
      </w:pPr>
      <w:r>
        <w:rPr>
          <w:rFonts w:eastAsia="Calibri"/>
          <w:i/>
        </w:rPr>
        <w:t xml:space="preserve">iné </w:t>
      </w:r>
      <w:r w:rsidRPr="00F244DC">
        <w:rPr>
          <w:rFonts w:eastAsia="Calibri"/>
          <w:i/>
        </w:rPr>
        <w:t>vplyvy, ktoré predpokladá materiál, ale nemožno ich zaradiť do častí 3.1 a 3.3.,</w:t>
      </w:r>
    </w:p>
    <w:p w14:paraId="2D80E18D" w14:textId="77777777" w:rsidR="00B90F24" w:rsidRPr="00F244DC" w:rsidRDefault="00B90F24" w:rsidP="00B5003C">
      <w:pPr>
        <w:pStyle w:val="Odsekzoznamu"/>
        <w:numPr>
          <w:ilvl w:val="0"/>
          <w:numId w:val="24"/>
        </w:numPr>
        <w:spacing w:line="254" w:lineRule="auto"/>
        <w:jc w:val="both"/>
        <w:rPr>
          <w:rFonts w:eastAsia="Calibri"/>
          <w:i/>
        </w:rPr>
      </w:pPr>
      <w:r w:rsidRPr="00F244DC">
        <w:rPr>
          <w:rFonts w:eastAsia="Calibri"/>
          <w:i/>
        </w:rPr>
        <w:t xml:space="preserve">iné vplyvy podľa písm. a) až c), ktoré sú </w:t>
      </w:r>
      <w:proofErr w:type="spellStart"/>
      <w:r w:rsidRPr="00F244DC">
        <w:rPr>
          <w:rFonts w:eastAsia="Calibri"/>
          <w:i/>
        </w:rPr>
        <w:t>goldplatingom</w:t>
      </w:r>
      <w:proofErr w:type="spellEnd"/>
      <w:r w:rsidRPr="00F244DC">
        <w:rPr>
          <w:rFonts w:eastAsia="Calibri"/>
          <w:i/>
        </w:rPr>
        <w:t>.</w:t>
      </w:r>
    </w:p>
    <w:p w14:paraId="4459ACBF" w14:textId="77777777" w:rsidR="00B90F24" w:rsidRDefault="00B90F24" w:rsidP="00B90F24">
      <w:pPr>
        <w:jc w:val="center"/>
        <w:rPr>
          <w:b/>
          <w:sz w:val="28"/>
          <w:szCs w:val="28"/>
        </w:rPr>
      </w:pPr>
    </w:p>
    <w:p w14:paraId="3F450303" w14:textId="77777777" w:rsidR="00B90F24" w:rsidRDefault="00B90F24" w:rsidP="00B5003C">
      <w:pPr>
        <w:pStyle w:val="Odsekzoznamu"/>
        <w:numPr>
          <w:ilvl w:val="0"/>
          <w:numId w:val="25"/>
        </w:numPr>
        <w:jc w:val="both"/>
        <w:rPr>
          <w:b/>
          <w:szCs w:val="28"/>
        </w:rPr>
      </w:pPr>
      <w:r>
        <w:rPr>
          <w:b/>
          <w:szCs w:val="28"/>
        </w:rPr>
        <w:t>Povinnosť odstrániť obsah alebo zverejniť upozornenie pre spotrebiteľov na základe žiadosti (čl. I § 5 ods. 1 písm. j) návrhu zákona) alebo opatrenia (čl. I § 6 ods. 16 návrhu zákona) orgánu dohľadu nad trhom</w:t>
      </w:r>
    </w:p>
    <w:p w14:paraId="55916BF2" w14:textId="77777777" w:rsidR="00B90F24" w:rsidRDefault="00B90F24" w:rsidP="00B90F24">
      <w:pPr>
        <w:jc w:val="both"/>
        <w:rPr>
          <w:szCs w:val="28"/>
        </w:rPr>
      </w:pPr>
    </w:p>
    <w:p w14:paraId="46E7054B" w14:textId="77777777" w:rsidR="00B90F24" w:rsidRDefault="00B90F24" w:rsidP="00B90F24">
      <w:pPr>
        <w:jc w:val="both"/>
        <w:rPr>
          <w:szCs w:val="28"/>
        </w:rPr>
      </w:pPr>
      <w:r>
        <w:rPr>
          <w:szCs w:val="28"/>
        </w:rPr>
        <w:t xml:space="preserve">Z právomocí orgánov dohľadu nad trhom je de </w:t>
      </w:r>
      <w:proofErr w:type="spellStart"/>
      <w:r>
        <w:rPr>
          <w:szCs w:val="28"/>
        </w:rPr>
        <w:t>facto</w:t>
      </w:r>
      <w:proofErr w:type="spellEnd"/>
      <w:r>
        <w:rPr>
          <w:szCs w:val="28"/>
        </w:rPr>
        <w:t xml:space="preserve"> novinkou, z ktorej vyplýva sekundárna povinnosť hospodárskeho subjektu v zmysle návrhu zákona, len právomoc požiadať hospodársky subjekt o odstránenie obsahu, ktorý sa vzťahuje na výrobok predstavujúci vážne riziko, alebo o zverejnenie upozornenia pre spotrebiteľov, ktorí pristupujú k online rozhraniu, a v prípade nevyhovenia žiadosti uložiť opatrenie.</w:t>
      </w:r>
    </w:p>
    <w:p w14:paraId="27C2FB0B" w14:textId="77777777" w:rsidR="00B90F24" w:rsidRDefault="00B90F24" w:rsidP="00B90F24">
      <w:pPr>
        <w:jc w:val="both"/>
        <w:rPr>
          <w:szCs w:val="28"/>
        </w:rPr>
      </w:pPr>
    </w:p>
    <w:p w14:paraId="7E25A4F1" w14:textId="77777777" w:rsidR="00B90F24" w:rsidRDefault="00B90F24" w:rsidP="00B90F24">
      <w:pPr>
        <w:jc w:val="both"/>
        <w:rPr>
          <w:szCs w:val="28"/>
        </w:rPr>
      </w:pPr>
      <w:r>
        <w:rPr>
          <w:szCs w:val="28"/>
        </w:rPr>
        <w:t xml:space="preserve">Predmetná regulácia nepredstavuje paušálnu povinnosť pre hospodárske subjekty, ktoré sprístupňujú výrobky na trhu prostredníctvom online rozhrania, ale je to povinnosť naviazaná na žiadosť orgánu dohľadu nad trhom, ktorá je viazaná na istú úroveň rizikovosti výrobku, a až v prípade nesplnenia žiadosti bude orgán dohľadu nad trhom ukladať opatrenie hospodárskemu subjektu. </w:t>
      </w:r>
    </w:p>
    <w:p w14:paraId="0535AA7D" w14:textId="77777777" w:rsidR="00B90F24" w:rsidRDefault="00B90F24" w:rsidP="00B90F24">
      <w:pPr>
        <w:jc w:val="both"/>
        <w:rPr>
          <w:szCs w:val="28"/>
        </w:rPr>
      </w:pPr>
    </w:p>
    <w:p w14:paraId="76DA377A" w14:textId="77777777" w:rsidR="00B90F24" w:rsidRDefault="00B90F24" w:rsidP="00B90F24">
      <w:pPr>
        <w:jc w:val="both"/>
        <w:rPr>
          <w:szCs w:val="28"/>
        </w:rPr>
      </w:pPr>
      <w:r>
        <w:rPr>
          <w:szCs w:val="28"/>
        </w:rPr>
        <w:t xml:space="preserve">Na režim opatrení sa predkladateľ rozhodol vztiahnuť úpravu v § 34 zákona č. 108/2024 Z. z. </w:t>
      </w:r>
      <w:r w:rsidRPr="00043AED">
        <w:rPr>
          <w:szCs w:val="28"/>
        </w:rPr>
        <w:t>o ochrane spotrebiteľa a o zmene a doplnení niektorých zákonov</w:t>
      </w:r>
      <w:r>
        <w:rPr>
          <w:szCs w:val="28"/>
        </w:rPr>
        <w:t xml:space="preserve"> pre zachovanie konzistentného postupu v prijímaní opatrení, ktoré slúžia obdobnému účelu, čo predkladateľ vníma ako vhodné riešenie aj z perspektívy dotknutých subjektov, ktorým sa tým znižujú náklady na oboznamovanie sa s novou právnou úpravou.</w:t>
      </w:r>
    </w:p>
    <w:p w14:paraId="2C8F3AC2" w14:textId="77777777" w:rsidR="00B90F24" w:rsidRDefault="00B90F24" w:rsidP="00B90F24">
      <w:pPr>
        <w:jc w:val="both"/>
        <w:rPr>
          <w:szCs w:val="28"/>
        </w:rPr>
      </w:pPr>
    </w:p>
    <w:p w14:paraId="0DCDECA3" w14:textId="77777777" w:rsidR="00B90F24" w:rsidRDefault="00B90F24" w:rsidP="00B90F24">
      <w:pPr>
        <w:jc w:val="both"/>
        <w:rPr>
          <w:szCs w:val="28"/>
        </w:rPr>
      </w:pPr>
      <w:r>
        <w:rPr>
          <w:szCs w:val="28"/>
        </w:rPr>
        <w:t>Nie je možné kvantifikovať ani predvídať frekvenciu uplatňovania tejto právomoci orgánmi dohľadu nad trhom, preto predkladateľ nevie vplyvy regulácie kvantifikovať. Vzhľadom na krátku dobu účinnosť zákona č. 108/2024 Z. z. nemôže predkladateľ vychádzať ani z pripodobnenia k doterajšej aplikačnej praxi.</w:t>
      </w:r>
    </w:p>
    <w:p w14:paraId="2FFBD99F" w14:textId="77777777" w:rsidR="00B90F24" w:rsidRDefault="00B90F24" w:rsidP="00B90F24">
      <w:pPr>
        <w:jc w:val="both"/>
        <w:rPr>
          <w:szCs w:val="28"/>
        </w:rPr>
      </w:pPr>
    </w:p>
    <w:p w14:paraId="6BD86946" w14:textId="77777777" w:rsidR="00B90F24" w:rsidRDefault="00B90F24" w:rsidP="00B90F24">
      <w:pPr>
        <w:jc w:val="both"/>
        <w:rPr>
          <w:szCs w:val="28"/>
        </w:rPr>
      </w:pPr>
      <w:r>
        <w:rPr>
          <w:szCs w:val="28"/>
        </w:rPr>
        <w:t>Potenciálne môže byť dotknutých až 14 500 hospodárskych subjektov (t. j. počet e-</w:t>
      </w:r>
      <w:proofErr w:type="spellStart"/>
      <w:r>
        <w:rPr>
          <w:szCs w:val="28"/>
        </w:rPr>
        <w:t>shopov</w:t>
      </w:r>
      <w:proofErr w:type="spellEnd"/>
      <w:r>
        <w:rPr>
          <w:szCs w:val="28"/>
        </w:rPr>
        <w:t xml:space="preserve"> v SR za rok 2023 podľa portálu </w:t>
      </w:r>
      <w:proofErr w:type="spellStart"/>
      <w:r>
        <w:rPr>
          <w:szCs w:val="28"/>
        </w:rPr>
        <w:t>Heureka</w:t>
      </w:r>
      <w:proofErr w:type="spellEnd"/>
      <w:r>
        <w:rPr>
          <w:szCs w:val="28"/>
        </w:rPr>
        <w:t xml:space="preserve"> (</w:t>
      </w:r>
      <w:hyperlink r:id="rId16" w:history="1">
        <w:r w:rsidRPr="00CE12C4">
          <w:rPr>
            <w:rStyle w:val="Hypertextovprepojenie"/>
            <w:szCs w:val="28"/>
          </w:rPr>
          <w:t>https://heureka.group/sk-sk/o-nas/tlacove-centrum/tlacove-spravy/vianoce-vratili-slovensky-e-commerce-v-poslednom-kvartali-k-rastu-celkovo-vsak-skoncil-4-oproti-vlanajsku/</w:t>
        </w:r>
      </w:hyperlink>
      <w:r>
        <w:rPr>
          <w:szCs w:val="28"/>
        </w:rPr>
        <w:t>; je dôležité upozorniť, že nie všetky e-</w:t>
      </w:r>
      <w:proofErr w:type="spellStart"/>
      <w:r>
        <w:rPr>
          <w:szCs w:val="28"/>
        </w:rPr>
        <w:t>shopy</w:t>
      </w:r>
      <w:proofErr w:type="spellEnd"/>
      <w:r>
        <w:rPr>
          <w:szCs w:val="28"/>
        </w:rPr>
        <w:t xml:space="preserve"> sa musia venovať sprístupňovaniu výrobkov na trhu a nie všetky e-</w:t>
      </w:r>
      <w:proofErr w:type="spellStart"/>
      <w:r>
        <w:rPr>
          <w:szCs w:val="28"/>
        </w:rPr>
        <w:t>shopy</w:t>
      </w:r>
      <w:proofErr w:type="spellEnd"/>
      <w:r>
        <w:rPr>
          <w:szCs w:val="28"/>
        </w:rPr>
        <w:t xml:space="preserve"> majú v ponuke aj výrobky, ktoré predstavujú vážne riziko, čo je podmienka pre realizáciu žiadosti/opatrenia orgánu dohľadu nad trhom). </w:t>
      </w:r>
    </w:p>
    <w:p w14:paraId="684B8B54" w14:textId="77777777" w:rsidR="00B90F24" w:rsidRPr="00C24260" w:rsidRDefault="00B90F24" w:rsidP="00B90F24">
      <w:pPr>
        <w:jc w:val="both"/>
        <w:rPr>
          <w:szCs w:val="28"/>
        </w:rPr>
      </w:pPr>
    </w:p>
    <w:p w14:paraId="352CFABF" w14:textId="77777777" w:rsidR="00B90F24" w:rsidRDefault="00B90F24" w:rsidP="00B5003C">
      <w:pPr>
        <w:pStyle w:val="Odsekzoznamu"/>
        <w:numPr>
          <w:ilvl w:val="0"/>
          <w:numId w:val="25"/>
        </w:numPr>
        <w:jc w:val="both"/>
        <w:rPr>
          <w:b/>
          <w:szCs w:val="28"/>
        </w:rPr>
      </w:pPr>
      <w:r>
        <w:rPr>
          <w:b/>
          <w:szCs w:val="28"/>
        </w:rPr>
        <w:t>Povinnosť predložiť informácie v jazyku určenom orgánom dohľadu nad trhom (čl. I § 5 ods. 2 návrhu zákona)</w:t>
      </w:r>
    </w:p>
    <w:p w14:paraId="199C3413" w14:textId="77777777" w:rsidR="00B90F24" w:rsidRDefault="00B90F24" w:rsidP="00B90F24">
      <w:pPr>
        <w:jc w:val="both"/>
        <w:rPr>
          <w:b/>
          <w:szCs w:val="28"/>
        </w:rPr>
      </w:pPr>
    </w:p>
    <w:p w14:paraId="188689B5" w14:textId="4D8E402A" w:rsidR="00B90F24" w:rsidRDefault="00B90F24" w:rsidP="00B90F24">
      <w:pPr>
        <w:jc w:val="both"/>
        <w:rPr>
          <w:szCs w:val="28"/>
        </w:rPr>
      </w:pPr>
      <w:r>
        <w:rPr>
          <w:szCs w:val="28"/>
        </w:rPr>
        <w:lastRenderedPageBreak/>
        <w:t xml:space="preserve">Nariadenie (EÚ) 2023/988 </w:t>
      </w:r>
      <w:r w:rsidR="00C1514E">
        <w:rPr>
          <w:szCs w:val="28"/>
        </w:rPr>
        <w:t>požaduje, aby členský štát určil</w:t>
      </w:r>
      <w:r>
        <w:rPr>
          <w:szCs w:val="28"/>
        </w:rPr>
        <w:t xml:space="preserve"> pre informácie a dokumenty, ktoré sa týkajú bezpečnosti výrobkov, požiadavky na jazyk tak, aby boli zrozumiteľné pre spotrebiteľov. Keďže návrh zákona v čl. I § 2 ods. 2 až 4 ustanovuje režim tak, aby bola zabezpečená implementácia nariadenia (EÚ) 2023/988, ale súčasne sa nadmerne nezaťažovali hospodárske subjekty v jednotlivých článkoch dodávateľského reťazca, musí sa návrh zákona súčasne vysporiadať s tým, aby štát vedel efektívne, hospodárne a spoľahlivo plniť aj svoje povinnosti v oblasti dohľadu, vymožiteľnosti práva a ochrany bezpečnosti spotrebiteľov. Ponecháva sa flexibilita, aby si hospodárske subjekty medzi sebou vymieňali informácie </w:t>
      </w:r>
      <w:r w:rsidR="00EE1255">
        <w:rPr>
          <w:szCs w:val="28"/>
        </w:rPr>
        <w:t>aj v inom ako slovenskom jazyku</w:t>
      </w:r>
      <w:r>
        <w:rPr>
          <w:szCs w:val="28"/>
        </w:rPr>
        <w:t>. Primárne môžu hospodárske subjekty komunikovať informácie a dokumenty voči orgánu dohľadu nad trhom aj v inom ako slovenskom jazyku. Aby sa však zabránilo špekulatívnemu konaniu, predlžovaniu výkonu dohľadu a podobných praktikám, napríklad predkladaním informácií a dokumentov v menej bežných či zrozumiteľných jazykoch (napr. technická dokumentácia len v čínskom jazyku), dáva sa právomoc orgánom dohľadu nad trhom si v takýchto prípadoch dodatočne vyžiadať informácie alebo dokumenty v jazyku, ktorý je pre orgán dohľadu nad trhom zrozumiteľný.</w:t>
      </w:r>
    </w:p>
    <w:p w14:paraId="7C5D9F32" w14:textId="77777777" w:rsidR="00B90F24" w:rsidRDefault="00B90F24" w:rsidP="00B90F24">
      <w:pPr>
        <w:jc w:val="both"/>
        <w:rPr>
          <w:szCs w:val="28"/>
        </w:rPr>
      </w:pPr>
    </w:p>
    <w:p w14:paraId="2EB13514" w14:textId="77777777" w:rsidR="00B90F24" w:rsidRDefault="00B90F24" w:rsidP="00B90F24">
      <w:pPr>
        <w:jc w:val="both"/>
        <w:rPr>
          <w:szCs w:val="28"/>
        </w:rPr>
      </w:pPr>
      <w:r>
        <w:rPr>
          <w:szCs w:val="28"/>
        </w:rPr>
        <w:t>Odhadové administratívne náklady v jednotlivom takomto prípade sa môžu pohybovať od cca 100 eur. Pri odhade bola použitá kalkulačka nákladov a odhad vychádza zo súčtu nákladov na splnenie povinností „Poskytnutie súčinnosti“ (veľkosť povinnosti: veľká), „Vypracovanie dokumentu, správy, potvrdenia, dokladu, zmluvy“ (veľkosť povinnosti: veľká) a „Časový náklad externej služby“ (veľkosť povinnosti: veľká) pri frekvencii splnenia povinnosti „jednorazovo“ a vyznačení možnosti elektronického splnenia povinnosti. Zabezpečenie požadovanej jazykovej verzie informácie/dokumentu si bude pravdepodobne vyžadovať väčšiu súčinnosť hospodárskeho subjektu a možno aj externé služby. Náklady sa budú navyšovať podľa rozsahu požadovaných informácií a dokumentácie.</w:t>
      </w:r>
    </w:p>
    <w:p w14:paraId="5F4E1A1A" w14:textId="77777777" w:rsidR="00B90F24" w:rsidRPr="00444607" w:rsidRDefault="00B90F24" w:rsidP="00B90F24">
      <w:pPr>
        <w:jc w:val="both"/>
        <w:rPr>
          <w:szCs w:val="28"/>
        </w:rPr>
      </w:pPr>
    </w:p>
    <w:p w14:paraId="524C4F7B" w14:textId="77777777" w:rsidR="00B90F24" w:rsidRDefault="00B90F24" w:rsidP="00B5003C">
      <w:pPr>
        <w:pStyle w:val="Odsekzoznamu"/>
        <w:numPr>
          <w:ilvl w:val="0"/>
          <w:numId w:val="25"/>
        </w:numPr>
        <w:jc w:val="both"/>
        <w:rPr>
          <w:b/>
          <w:szCs w:val="28"/>
        </w:rPr>
      </w:pPr>
      <w:r>
        <w:rPr>
          <w:b/>
          <w:szCs w:val="28"/>
        </w:rPr>
        <w:t>Jazykové požiadavky na informácie podľa čl. 21 nariadenia (EÚ) 2023/988</w:t>
      </w:r>
    </w:p>
    <w:p w14:paraId="5491FB12" w14:textId="77777777" w:rsidR="00B90F24" w:rsidRDefault="00B90F24" w:rsidP="00B90F24">
      <w:pPr>
        <w:jc w:val="both"/>
        <w:rPr>
          <w:szCs w:val="28"/>
        </w:rPr>
      </w:pPr>
    </w:p>
    <w:p w14:paraId="7F59D620" w14:textId="3CFA9227" w:rsidR="00B90F24" w:rsidRDefault="00B90F24" w:rsidP="00B90F24">
      <w:pPr>
        <w:jc w:val="both"/>
        <w:rPr>
          <w:szCs w:val="28"/>
        </w:rPr>
      </w:pPr>
      <w:r>
        <w:rPr>
          <w:szCs w:val="28"/>
        </w:rPr>
        <w:t>V čl. I § 2 ods. 5 návrhu zákona je ustanovená požiadavka, aby hospodársky subjekt, ktorý poskytuje informácie podľa čl. 21 nariadenia (EÚ) 2023/988 v</w:t>
      </w:r>
      <w:r w:rsidR="00EE1255">
        <w:rPr>
          <w:szCs w:val="28"/>
        </w:rPr>
        <w:t> elektronickej podobe</w:t>
      </w:r>
      <w:r>
        <w:rPr>
          <w:szCs w:val="28"/>
        </w:rPr>
        <w:t xml:space="preserve">, uviedol tieto informácie v slovenskom jazyku. Členskému štátu vyplýva povinnosť určiť jazyk na poskytnutie týchto informácií priamo z nariadenia EÚ s podmienkou, že má ísť o jazyk ľahko zrozumiteľný pre spotrebiteľov. </w:t>
      </w:r>
    </w:p>
    <w:p w14:paraId="34787BBE" w14:textId="77777777" w:rsidR="00B90F24" w:rsidRDefault="00B90F24" w:rsidP="00B90F24">
      <w:pPr>
        <w:jc w:val="both"/>
        <w:rPr>
          <w:szCs w:val="28"/>
        </w:rPr>
      </w:pPr>
    </w:p>
    <w:p w14:paraId="0D2FF414" w14:textId="34803C2D" w:rsidR="00B90F24" w:rsidRDefault="00B90F24" w:rsidP="00B90F24">
      <w:pPr>
        <w:jc w:val="both"/>
        <w:rPr>
          <w:szCs w:val="28"/>
        </w:rPr>
      </w:pPr>
      <w:r>
        <w:rPr>
          <w:szCs w:val="28"/>
        </w:rPr>
        <w:t>Ustanovenie požiadavky na slovenský jazyk môže spôsobiť hospodárskym subjektom, ktoré sprístupňujú výrobky, na ktoré sa vzťahujú požiadavky všeobecnej bezpečnosti výrobkov, dodatočné administratívne náklady. Tieto náklady predkladateľ nekvantifikuje v bode 3.1 z dôvodu, že čl. 21 nariadenia (EÚ) 2023/988 je koncipovaný ako dodatočná možnosť, nie povinnosť hospodárskych subjektov sprístupniť informácie v digitálnom formáte prostredníctvom elektronických technických riešení ako QR kód na výrobku, obale výrobku alebo v návode na použitie. Čl. I § 2 ods. 5 návrhu zákona ustanovuje len to, že ak sa hospodársky subjekt dobrovoľne rozhodne sprístupniť informácie v</w:t>
      </w:r>
      <w:r w:rsidR="00C336D0">
        <w:rPr>
          <w:szCs w:val="28"/>
        </w:rPr>
        <w:t> elektronickej podobe</w:t>
      </w:r>
      <w:r>
        <w:rPr>
          <w:szCs w:val="28"/>
        </w:rPr>
        <w:t xml:space="preserve">, musia byť v slovenskom jazyku. </w:t>
      </w:r>
    </w:p>
    <w:p w14:paraId="03B364C2" w14:textId="77777777" w:rsidR="00B90F24" w:rsidRDefault="00B90F24" w:rsidP="00B90F24">
      <w:pPr>
        <w:jc w:val="both"/>
        <w:rPr>
          <w:szCs w:val="28"/>
        </w:rPr>
      </w:pPr>
    </w:p>
    <w:p w14:paraId="142D1084" w14:textId="77777777" w:rsidR="00B90F24" w:rsidRDefault="00B90F24" w:rsidP="00B90F24">
      <w:pPr>
        <w:jc w:val="both"/>
        <w:rPr>
          <w:szCs w:val="28"/>
        </w:rPr>
      </w:pPr>
      <w:r>
        <w:rPr>
          <w:szCs w:val="28"/>
        </w:rPr>
        <w:t>Počet hospodárskych subjektov a počet výrobkov, pre ktoré sa hospodárske subjekty rozhodnú aplikovať možnosť podľa čl. 21 nariadenia (EÚ) 2023/988, nie je možné kvantifikovať ani odhadnúť.</w:t>
      </w:r>
    </w:p>
    <w:p w14:paraId="1FDF479C" w14:textId="77777777" w:rsidR="00B90F24" w:rsidRDefault="00B90F24" w:rsidP="00B90F24">
      <w:pPr>
        <w:jc w:val="both"/>
        <w:rPr>
          <w:szCs w:val="28"/>
        </w:rPr>
      </w:pPr>
    </w:p>
    <w:p w14:paraId="53CAF33A" w14:textId="77777777" w:rsidR="00B90F24" w:rsidRDefault="008638A3" w:rsidP="00B90F24">
      <w:pPr>
        <w:jc w:val="both"/>
        <w:rPr>
          <w:szCs w:val="28"/>
        </w:rPr>
      </w:pPr>
      <w:r>
        <w:rPr>
          <w:szCs w:val="28"/>
        </w:rPr>
        <w:t>Pomocou kalkulačky nákladov</w:t>
      </w:r>
      <w:r w:rsidR="00B90F24">
        <w:rPr>
          <w:szCs w:val="28"/>
        </w:rPr>
        <w:t xml:space="preserve"> je možné odhadnúť, že v jednotlivom prípade vzniknú administratívne náklady približne 67 eur. Suma predstavuje súčet nákladov na splnenie povinnosti „Vypracovanie dokumentu, správy, potvrdenia, dokladu, zmluvy“ (pri veľkosti povinnosti: veľká, frekvencii: jednorazovo a možnosti elektronického splnenia), „Časový náklad externej služby“ – napr. prekladateľné služby alebo služby súvisiace so spracovaním elektronického formátu informácií (pri veľkosti povinnosti: štandardná, frekvencii: jednorazovo a možnosti elektronického splnenia) a „Poskytnutie informácie, oznámenie, vyhlásenie“ (pri veľkosti povinnosti: štandardná, frekvencii: jednorazovo a možnosti elektronického splnenia). </w:t>
      </w:r>
    </w:p>
    <w:p w14:paraId="2BE1E3D2" w14:textId="77777777" w:rsidR="00B90F24" w:rsidRPr="00AF6281" w:rsidRDefault="00B90F24" w:rsidP="00B90F24">
      <w:pPr>
        <w:jc w:val="both"/>
        <w:rPr>
          <w:szCs w:val="28"/>
        </w:rPr>
      </w:pPr>
    </w:p>
    <w:p w14:paraId="13EDAA69" w14:textId="77777777" w:rsidR="00B90F24" w:rsidRDefault="00B90F24" w:rsidP="00B5003C">
      <w:pPr>
        <w:pStyle w:val="Odsekzoznamu"/>
        <w:numPr>
          <w:ilvl w:val="0"/>
          <w:numId w:val="25"/>
        </w:numPr>
        <w:jc w:val="both"/>
        <w:rPr>
          <w:b/>
          <w:szCs w:val="28"/>
        </w:rPr>
      </w:pPr>
      <w:r>
        <w:rPr>
          <w:b/>
          <w:szCs w:val="28"/>
        </w:rPr>
        <w:t xml:space="preserve">Sankcie </w:t>
      </w:r>
    </w:p>
    <w:p w14:paraId="1FAF3DB0" w14:textId="77777777" w:rsidR="00B90F24" w:rsidRDefault="00B90F24" w:rsidP="00B90F24">
      <w:pPr>
        <w:jc w:val="both"/>
        <w:rPr>
          <w:szCs w:val="28"/>
        </w:rPr>
      </w:pPr>
      <w:r>
        <w:rPr>
          <w:szCs w:val="28"/>
        </w:rPr>
        <w:t xml:space="preserve">Nariadenie (EÚ) 2023/988 nahrádza smernicu </w:t>
      </w:r>
      <w:r w:rsidRPr="00680D11">
        <w:rPr>
          <w:szCs w:val="28"/>
        </w:rPr>
        <w:t xml:space="preserve">2001/95/ES Európskeho parlamentu a Rady </w:t>
      </w:r>
      <w:r>
        <w:rPr>
          <w:szCs w:val="28"/>
        </w:rPr>
        <w:br/>
      </w:r>
      <w:r w:rsidRPr="00680D11">
        <w:rPr>
          <w:szCs w:val="28"/>
        </w:rPr>
        <w:t>z 3. decembra 2001 o všeobecnej bezpečnosti výrobkov</w:t>
      </w:r>
      <w:r>
        <w:rPr>
          <w:szCs w:val="28"/>
        </w:rPr>
        <w:t xml:space="preserve">, t. j. nie všetky povinnosti podnikateľov a na nich naviazané sankčné ustanovenia sú nové a zakladajú nové vplyvy na podnikateľské prostredie. </w:t>
      </w:r>
    </w:p>
    <w:p w14:paraId="20DE3D9D" w14:textId="77777777" w:rsidR="00B90F24" w:rsidRDefault="00B90F24" w:rsidP="00B90F24">
      <w:pPr>
        <w:jc w:val="both"/>
        <w:rPr>
          <w:szCs w:val="28"/>
        </w:rPr>
      </w:pPr>
    </w:p>
    <w:p w14:paraId="08EE7E1D" w14:textId="77777777" w:rsidR="00B90F24" w:rsidRDefault="00B90F24" w:rsidP="00B90F24">
      <w:pPr>
        <w:jc w:val="both"/>
        <w:rPr>
          <w:szCs w:val="28"/>
        </w:rPr>
      </w:pPr>
      <w:r>
        <w:rPr>
          <w:szCs w:val="28"/>
        </w:rPr>
        <w:t>Pri stanovovaní sadzieb pokút v návrhu zákona za porušenie povinností podľa nariadenia (EÚ) 2023/988 sa vychádzalo zo sadzieb pokút ustanovených zákonom č. 281/2023 Z. z. V závislosti od povahy a závažnosti správneho deliktu sú v zákone č. 281/2023 Z. z. ustanovené pokuty od najnižšej dolnej hranice sadzby pokuty vo výške 50 eur po najvyššiu dolnú hranicu sadzby pokuty vo výške 100 eur do najnižšej hornej hranice sadzby pokuty vo výške 10 000 eur po najvyššiu hornú hranicu sadzby pokuty vo výške 50 000 eur. Rovnaké hranice sú zachované aj v návrhu zákona pre implementáciu nariadenia (EÚ) 2023/988. Výnimkou je pokuta za sprístupnenie nebezpečného výrobku, ktorý spôsobí ujmu na živote alebo zdraví spotrebiteľa s pokutou od 500 eur až do 150 000 eur, keďže ide o správny delikt so závažnými skutočnými (nie len potenciálnymi) následkami. Sadzba pokuty pre tento správny delikt je zachovaná na úrovni zákona č. 281/2023 Z. z.</w:t>
      </w:r>
    </w:p>
    <w:p w14:paraId="4068DC5A" w14:textId="77777777" w:rsidR="00B90F24" w:rsidRDefault="00B90F24" w:rsidP="00B90F24">
      <w:pPr>
        <w:jc w:val="both"/>
        <w:rPr>
          <w:szCs w:val="28"/>
        </w:rPr>
      </w:pPr>
    </w:p>
    <w:p w14:paraId="11DA3CEB" w14:textId="77777777" w:rsidR="00B90F24" w:rsidRDefault="00B90F24" w:rsidP="00B90F24">
      <w:pPr>
        <w:jc w:val="both"/>
        <w:rPr>
          <w:szCs w:val="28"/>
        </w:rPr>
      </w:pPr>
      <w:r>
        <w:rPr>
          <w:szCs w:val="28"/>
        </w:rPr>
        <w:t>Väčšina povinností hospodárskych subjektov v nariadení (EÚ) 2023/988 je obsahovo rovnaká alebo podobná ako povinnosti v nahrádzanej smernici 2001/95/ES. Nariadenie (EÚ) 2023/988 tieto povinnosti detailnejšie rozpracováva a špecifikuje, a to najmä z dôvodu samotnej zmeny právnej formy (zmena smernice EÚ na priamo aplikovateľné nariadenie EÚ) a odstránenia transpozičných, výkladových a aplikačných rozdielov v členských štátoch. V nadväznosti na uvedené má predkladateľ za to, že väčšina sankčných ustanovení v návrhu zákona nezakladá nepriame finančné vplyvy, ktoré by mali byť kvantifikované cez kalkulačku nákladov.</w:t>
      </w:r>
    </w:p>
    <w:p w14:paraId="7C5FBD23" w14:textId="77777777" w:rsidR="00B90F24" w:rsidRDefault="00B90F24" w:rsidP="00B90F24">
      <w:pPr>
        <w:jc w:val="both"/>
        <w:rPr>
          <w:szCs w:val="28"/>
        </w:rPr>
      </w:pPr>
    </w:p>
    <w:p w14:paraId="7FE7E9A3" w14:textId="77777777" w:rsidR="00B90F24" w:rsidRDefault="00B90F24" w:rsidP="00B90F24">
      <w:pPr>
        <w:jc w:val="both"/>
        <w:rPr>
          <w:szCs w:val="28"/>
        </w:rPr>
      </w:pPr>
      <w:r>
        <w:rPr>
          <w:szCs w:val="28"/>
        </w:rPr>
        <w:t>Do časti 3.4 sú zahrnuté iba sankčné ustanovenia vo vzťahu k obsahovo novým povinnostiam, ktoré nie sú zahrnuté do časti 3.1 z dôvodu nemožnosti použitia modelu pripodobňovania pri kvantifikácii nákladov cez kalkulačku nákladov:</w:t>
      </w:r>
    </w:p>
    <w:p w14:paraId="7EFB1137" w14:textId="77777777" w:rsidR="00B90F24" w:rsidRPr="00DE5040" w:rsidRDefault="00B90F24" w:rsidP="00B5003C">
      <w:pPr>
        <w:pStyle w:val="Odsekzoznamu"/>
        <w:numPr>
          <w:ilvl w:val="0"/>
          <w:numId w:val="27"/>
        </w:numPr>
        <w:jc w:val="both"/>
        <w:rPr>
          <w:szCs w:val="28"/>
        </w:rPr>
      </w:pPr>
      <w:r>
        <w:rPr>
          <w:b/>
          <w:szCs w:val="28"/>
        </w:rPr>
        <w:t>Sankcie v súvislosti s inštitútom zodpovednej osoby usadenej v Únii</w:t>
      </w:r>
    </w:p>
    <w:p w14:paraId="00D066B1" w14:textId="1E9C2C87" w:rsidR="00B90F24" w:rsidRDefault="00B90F24" w:rsidP="00B90F24">
      <w:pPr>
        <w:pStyle w:val="Odsekzoznamu"/>
        <w:jc w:val="both"/>
        <w:rPr>
          <w:szCs w:val="28"/>
        </w:rPr>
      </w:pPr>
      <w:r>
        <w:rPr>
          <w:szCs w:val="28"/>
        </w:rPr>
        <w:t xml:space="preserve">Ide o rozšírenie pôsobnosti čl. 4 nariadenia (EÚ) 2019/1020 </w:t>
      </w:r>
      <w:r w:rsidRPr="00DE5040">
        <w:rPr>
          <w:szCs w:val="28"/>
        </w:rPr>
        <w:t xml:space="preserve">z 20. júna 2019 o dohľade nad trhom a súlade výrobkov a o zmene smernice 2004/42/ES a nariadení (ES) </w:t>
      </w:r>
      <w:r w:rsidR="00725EE5">
        <w:rPr>
          <w:szCs w:val="28"/>
        </w:rPr>
        <w:br/>
      </w:r>
      <w:r w:rsidRPr="00DE5040">
        <w:rPr>
          <w:szCs w:val="28"/>
        </w:rPr>
        <w:t>č. 765/2008 a (EÚ) č. 305/2011</w:t>
      </w:r>
      <w:r>
        <w:rPr>
          <w:szCs w:val="28"/>
        </w:rPr>
        <w:t xml:space="preserve"> v platnom znení aj na všetky výrobky, ktoré spadajú pod reguláciu všeobecnej bezpečnosti výrobkov. Pôvodný čl. 4 na</w:t>
      </w:r>
      <w:r>
        <w:rPr>
          <w:szCs w:val="28"/>
        </w:rPr>
        <w:lastRenderedPageBreak/>
        <w:t>riadenia (EÚ) 2019/1020 v platnom znení sa vzťahuje iba na presne vymedzenú množinu výrobkov v zmysle čl. 4 ods. 5 nariadenia (EÚ) 2019/1020 v platnom znení. Model pripodobňovania nebol použitý z dôvodu, že nebolo zistené uloženie pokuty za porušenie čl. 4 nariadenia (EÚ) 2019/1020 v platnom znení v SR.</w:t>
      </w:r>
    </w:p>
    <w:p w14:paraId="56004394" w14:textId="77777777" w:rsidR="00B90F24" w:rsidRPr="0013402F" w:rsidRDefault="00B90F24" w:rsidP="00B5003C">
      <w:pPr>
        <w:pStyle w:val="Odsekzoznamu"/>
        <w:numPr>
          <w:ilvl w:val="0"/>
          <w:numId w:val="27"/>
        </w:numPr>
        <w:jc w:val="both"/>
        <w:rPr>
          <w:b/>
          <w:szCs w:val="28"/>
        </w:rPr>
      </w:pPr>
      <w:r w:rsidRPr="0013402F">
        <w:rPr>
          <w:b/>
          <w:szCs w:val="28"/>
        </w:rPr>
        <w:t>Sankcia za porušenie novej povinnosti hospodárskych subjektov v prípade predaja na diaľku podľa čl. 19 nariadenia (EÚ) 2023/988</w:t>
      </w:r>
    </w:p>
    <w:p w14:paraId="632D7635" w14:textId="77777777" w:rsidR="00B90F24" w:rsidRDefault="00B90F24" w:rsidP="00B90F24">
      <w:pPr>
        <w:pStyle w:val="Odsekzoznamu"/>
        <w:jc w:val="both"/>
        <w:rPr>
          <w:szCs w:val="28"/>
        </w:rPr>
      </w:pPr>
      <w:r>
        <w:rPr>
          <w:szCs w:val="28"/>
        </w:rPr>
        <w:t>Obsahom čl. 19 nariadenia (EÚ) 2023/988 je nová predzmluvná informačná povinnosť pre hospodárske subjekty, ktoré sprístupňujú výrobky na trhu online alebo prostredníctvom iných prostriedkov predaja na diaľku. Ide teda predovšetkým o povinnosť pre e-</w:t>
      </w:r>
      <w:proofErr w:type="spellStart"/>
      <w:r>
        <w:rPr>
          <w:szCs w:val="28"/>
        </w:rPr>
        <w:t>shopy</w:t>
      </w:r>
      <w:proofErr w:type="spellEnd"/>
      <w:r>
        <w:rPr>
          <w:szCs w:val="28"/>
        </w:rPr>
        <w:t xml:space="preserve">. Ich odhadový počet je </w:t>
      </w:r>
      <w:r w:rsidRPr="00D65AFD">
        <w:rPr>
          <w:szCs w:val="28"/>
        </w:rPr>
        <w:t>14 500 (t. j. počet e-</w:t>
      </w:r>
      <w:proofErr w:type="spellStart"/>
      <w:r w:rsidRPr="00D65AFD">
        <w:rPr>
          <w:szCs w:val="28"/>
        </w:rPr>
        <w:t>shopov</w:t>
      </w:r>
      <w:proofErr w:type="spellEnd"/>
      <w:r w:rsidRPr="00D65AFD">
        <w:rPr>
          <w:szCs w:val="28"/>
        </w:rPr>
        <w:t xml:space="preserve"> v SR za rok 2023 podľa portálu </w:t>
      </w:r>
      <w:proofErr w:type="spellStart"/>
      <w:r w:rsidRPr="00D65AFD">
        <w:rPr>
          <w:szCs w:val="28"/>
        </w:rPr>
        <w:t>Heureka</w:t>
      </w:r>
      <w:proofErr w:type="spellEnd"/>
      <w:r w:rsidRPr="00D65AFD">
        <w:rPr>
          <w:szCs w:val="28"/>
        </w:rPr>
        <w:t xml:space="preserve"> (</w:t>
      </w:r>
      <w:hyperlink r:id="rId17" w:history="1">
        <w:r w:rsidRPr="00127774">
          <w:rPr>
            <w:rStyle w:val="Hypertextovprepojenie"/>
            <w:szCs w:val="28"/>
          </w:rPr>
          <w:t>https://heureka.group/sk-sk/o-nas/tlacove-centrum/tlacove-spravy/vianoce-vratili-slovensky-e-commerce-v-poslednom-kvartali-k-rastu-celkovo-vsak-skoncil-4-oproti-vlanajsku/</w:t>
        </w:r>
      </w:hyperlink>
      <w:r w:rsidRPr="00D65AFD">
        <w:rPr>
          <w:szCs w:val="28"/>
        </w:rPr>
        <w:t>; je dôležité upozorniť, že nie všetky e-</w:t>
      </w:r>
      <w:proofErr w:type="spellStart"/>
      <w:r w:rsidRPr="00D65AFD">
        <w:rPr>
          <w:szCs w:val="28"/>
        </w:rPr>
        <w:t>shopy</w:t>
      </w:r>
      <w:proofErr w:type="spellEnd"/>
      <w:r w:rsidRPr="00D65AFD">
        <w:rPr>
          <w:szCs w:val="28"/>
        </w:rPr>
        <w:t xml:space="preserve"> sa musia venovať sprístupňovaniu výrobkov na trhu, a teda nová povinnosť sa na nich nevzťahuje).</w:t>
      </w:r>
    </w:p>
    <w:p w14:paraId="621CB4B4" w14:textId="77777777" w:rsidR="00B90F24" w:rsidRDefault="00B90F24" w:rsidP="00B90F24">
      <w:pPr>
        <w:pStyle w:val="Odsekzoznamu"/>
        <w:jc w:val="both"/>
        <w:rPr>
          <w:szCs w:val="28"/>
        </w:rPr>
      </w:pPr>
      <w:r>
        <w:rPr>
          <w:szCs w:val="28"/>
        </w:rPr>
        <w:t xml:space="preserve">Predzmluvné informačné povinnosti sú v praxi Slovenskej obchodnej inšpekcie dohliadané a sankcionované aj v súčasnosti, avšak nie je možné získať presnejšie dáta o priemernej ročnej pokute za správny delikt týkajúci sa porušenia povinnosti pri uvádzaní predzmluvných informačných povinností. Slovenská obchodná inšpekcia spravidla kontroluje plnenie tejto povinnosti spoločne s plnením ďalších povinností v oblasti ochrany spotrebiteľa (napr. nerešpektovanie práva na odstúpenie od zmluvy, nekalé obchodné praktiky a pod.), pričom následne sa pri rozhodovacej činnosti aplikuje analógia trestnoprávnych noriem pri správnom trestaní a absorpčná zásada, t. j. ukladá sa iba 1 sankcia za najprísnejšie postihnuteľný delikt spomedzi všetkých preukázaných deliktov, ktorým spravidla nebýva porušenie povinnosti pri uvádzaní predzmluvných informačných povinností. Z dôvodu nedostupnosti presnejších dát predkladateľ neuplatňuje kvantifikáciu vplyvu na základe modelu pripodobňovania. </w:t>
      </w:r>
    </w:p>
    <w:p w14:paraId="024D5B59" w14:textId="77777777" w:rsidR="00B90F24" w:rsidRPr="004E35BF" w:rsidRDefault="00B90F24" w:rsidP="00B5003C">
      <w:pPr>
        <w:pStyle w:val="Odsekzoznamu"/>
        <w:numPr>
          <w:ilvl w:val="0"/>
          <w:numId w:val="27"/>
        </w:numPr>
        <w:jc w:val="both"/>
        <w:rPr>
          <w:szCs w:val="28"/>
        </w:rPr>
      </w:pPr>
      <w:r w:rsidRPr="004E35BF">
        <w:rPr>
          <w:b/>
          <w:szCs w:val="28"/>
        </w:rPr>
        <w:t>Sankcie pre prevádzkovateľov online trhov v súvislosti s bezpečnosťou výrobkov podľa čl. 22 ods. 7 až 9 a 11 nariadenia (EÚ) 2023/988</w:t>
      </w:r>
    </w:p>
    <w:p w14:paraId="6CB625C5" w14:textId="141CA591" w:rsidR="00B90F24" w:rsidRPr="004E35BF" w:rsidRDefault="00B90F24" w:rsidP="00B90F24">
      <w:pPr>
        <w:pStyle w:val="Odsekzoznamu"/>
        <w:jc w:val="both"/>
        <w:rPr>
          <w:szCs w:val="28"/>
        </w:rPr>
      </w:pPr>
      <w:r w:rsidRPr="004E35BF">
        <w:rPr>
          <w:szCs w:val="28"/>
        </w:rPr>
        <w:t xml:space="preserve">Podľa usmernenia, ktoré poskytla členským štátom Európska komisia, sa má dohľad nad plnením povinností prevádzkovateľov online trhov podľa čl. 22 ods. 7 až 9 a 11 nariadenia (EÚ) 2023/988 vykonávať v režime nariadenia Európskeho parlamentu </w:t>
      </w:r>
      <w:r w:rsidR="00725EE5">
        <w:rPr>
          <w:szCs w:val="28"/>
        </w:rPr>
        <w:br/>
      </w:r>
      <w:r w:rsidRPr="004E35BF">
        <w:rPr>
          <w:szCs w:val="28"/>
        </w:rPr>
        <w:t xml:space="preserve">a Rady (EÚ) 2022/2065 z 19. októbra 2022 o jednotnom trhu s digitálnymi službami </w:t>
      </w:r>
      <w:r w:rsidR="00725EE5">
        <w:rPr>
          <w:szCs w:val="28"/>
        </w:rPr>
        <w:br/>
      </w:r>
      <w:r w:rsidRPr="004E35BF">
        <w:rPr>
          <w:szCs w:val="28"/>
        </w:rPr>
        <w:t xml:space="preserve">a o zmene smernice 2000/31/ES (akt o digitálnych službách), pretože ide len o špecifikáciu povinností, ktoré vyplývajú už z nariadenia (EÚ) 2022/2065.  V nadväznosti na uvedené usmernenie sa za porušenie povinností podľa čl. 22 ods. 7 až 9 a 11 nariadenia (EÚ) 2023/988 navrhuje sankčný režim v § 145b zákona </w:t>
      </w:r>
      <w:r w:rsidR="00725EE5">
        <w:rPr>
          <w:szCs w:val="28"/>
        </w:rPr>
        <w:br/>
      </w:r>
      <w:r w:rsidRPr="004E35BF">
        <w:rPr>
          <w:szCs w:val="28"/>
        </w:rPr>
        <w:t xml:space="preserve">č. 264/2022 Z. z. o mediálnych službách a o zmene a doplnení niektorých zákonov (zákon o mediálnych službách), ktorým sa zabezpečila implementácia nariadenia (EÚ) 2022/2065 a ktorý je platný pre originálne povinnosti z nariadenia (EÚ) 2022/2065, </w:t>
      </w:r>
      <w:r w:rsidR="00725EE5">
        <w:rPr>
          <w:szCs w:val="28"/>
        </w:rPr>
        <w:br/>
      </w:r>
      <w:r w:rsidRPr="004E35BF">
        <w:rPr>
          <w:szCs w:val="28"/>
        </w:rPr>
        <w:t xml:space="preserve">na ktoré nadväzuje čl. 22 ods. 7 až 9 a 11 nariadenia (EÚ) 2023/988. Keďže novela zákona o mediálnych službách, ktorou sa zabezpečila implementácia </w:t>
      </w:r>
      <w:r w:rsidRPr="004E35BF">
        <w:rPr>
          <w:szCs w:val="28"/>
        </w:rPr>
        <w:lastRenderedPageBreak/>
        <w:t>nariadenia (EÚ) 2022/2065, nadobudla účinnosť len 24. júla 2024, zatiaľ k tejto oblasti regulácie nejestvuje aplikačná a rozhodovacia prax, z ktorej by bolo možné vychádzať pri kvantifikácii vplyvu.</w:t>
      </w:r>
    </w:p>
    <w:p w14:paraId="22D3D881" w14:textId="77777777" w:rsidR="00B90F24" w:rsidRDefault="00B90F24" w:rsidP="00B5003C">
      <w:pPr>
        <w:pStyle w:val="Odsekzoznamu"/>
        <w:numPr>
          <w:ilvl w:val="0"/>
          <w:numId w:val="27"/>
        </w:numPr>
        <w:jc w:val="both"/>
        <w:rPr>
          <w:b/>
          <w:szCs w:val="28"/>
        </w:rPr>
      </w:pPr>
      <w:r w:rsidRPr="004E35BF">
        <w:rPr>
          <w:b/>
          <w:szCs w:val="28"/>
        </w:rPr>
        <w:t>Sankcie pre prevádzkovateľov online trhov v súvislosti s bezpečnosťou výrobkov podľa čl. 22 ods. 1 až 6, 10 a 12 nariadenia (EÚ) 2023/988</w:t>
      </w:r>
    </w:p>
    <w:p w14:paraId="3425807D" w14:textId="77777777" w:rsidR="00B90F24" w:rsidRDefault="00B90F24" w:rsidP="00B90F24">
      <w:pPr>
        <w:pStyle w:val="Odsekzoznamu"/>
        <w:jc w:val="both"/>
        <w:rPr>
          <w:szCs w:val="28"/>
        </w:rPr>
      </w:pPr>
      <w:r w:rsidRPr="004E35BF">
        <w:rPr>
          <w:szCs w:val="28"/>
        </w:rPr>
        <w:t>Podľa usmernenia, ktoré poskytla členským štátom Európska komisia, sa má dohľad nad plnením povinností prevádzkovateľov online trhov podľa čl. 22 ods. 1 až 6, 10 a 12 nariadenia (EÚ) 2023/988 vykonávať v režime nariadenia (EÚ) 2023/988</w:t>
      </w:r>
      <w:r>
        <w:rPr>
          <w:szCs w:val="28"/>
        </w:rPr>
        <w:t>, hoci ide o povinnosti vychádzajúce z nariadenia (EÚ) 2022/2065.</w:t>
      </w:r>
      <w:r w:rsidRPr="004E35BF">
        <w:rPr>
          <w:szCs w:val="28"/>
        </w:rPr>
        <w:t xml:space="preserve"> V nadväz</w:t>
      </w:r>
      <w:r>
        <w:rPr>
          <w:szCs w:val="28"/>
        </w:rPr>
        <w:t>nosti na uvedené usmernenie sú sankčné ustanovenia</w:t>
      </w:r>
      <w:r w:rsidRPr="004E35BF">
        <w:rPr>
          <w:szCs w:val="28"/>
        </w:rPr>
        <w:t xml:space="preserve"> za porušenie povinností podľa čl. 22 ods. </w:t>
      </w:r>
      <w:r>
        <w:rPr>
          <w:szCs w:val="28"/>
        </w:rPr>
        <w:t>1 až 6, 10 a 12</w:t>
      </w:r>
      <w:r w:rsidRPr="004E35BF">
        <w:rPr>
          <w:szCs w:val="28"/>
        </w:rPr>
        <w:t xml:space="preserve"> nariadenia (EÚ) 2023/988</w:t>
      </w:r>
      <w:r>
        <w:rPr>
          <w:szCs w:val="28"/>
        </w:rPr>
        <w:t xml:space="preserve"> obsiahnuté v čl. I návrhu zákona</w:t>
      </w:r>
      <w:r w:rsidRPr="004E35BF">
        <w:rPr>
          <w:szCs w:val="28"/>
        </w:rPr>
        <w:t xml:space="preserve">. </w:t>
      </w:r>
      <w:r>
        <w:rPr>
          <w:szCs w:val="28"/>
        </w:rPr>
        <w:t>Slovenská obchodná inšpekcia doposiaľ nevykonáva pôsobnosť vo vzťahu k prevádzkovateľom online trhov a nemožno použiť ani pripodobnenie k sankciám podľa zákona o mediálnych službách, k</w:t>
      </w:r>
      <w:r w:rsidRPr="004E35BF">
        <w:rPr>
          <w:szCs w:val="28"/>
        </w:rPr>
        <w:t>eďže novela zákona o mediálnych službách, ktorou sa zabezpečila implementácia nariadenia (EÚ) 2022/2065, nadobudla účinnosť len 24. júla 2024, zatiaľ k tejto oblasti regulácie nejestvuje aplikačná a rozhodovacia prax, z ktorej by bolo možné vychádzať pri kvantifikácii vplyvu.</w:t>
      </w:r>
    </w:p>
    <w:p w14:paraId="1DBF1B05" w14:textId="77777777" w:rsidR="00B90F24" w:rsidRDefault="00B90F24" w:rsidP="00B5003C">
      <w:pPr>
        <w:pStyle w:val="Odsekzoznamu"/>
        <w:numPr>
          <w:ilvl w:val="0"/>
          <w:numId w:val="28"/>
        </w:numPr>
        <w:ind w:left="709"/>
        <w:jc w:val="both"/>
        <w:rPr>
          <w:b/>
          <w:szCs w:val="28"/>
        </w:rPr>
      </w:pPr>
      <w:r w:rsidRPr="00ED5C92">
        <w:rPr>
          <w:b/>
          <w:szCs w:val="28"/>
        </w:rPr>
        <w:t>Sankcie pre prevádzkovateľov online trhov v súvislosti s informovaním spotrebiteľov podľa čl. 35 a 36 nariadenia (EÚ) 2023/988</w:t>
      </w:r>
    </w:p>
    <w:p w14:paraId="477C5FF7" w14:textId="77777777" w:rsidR="00B90F24" w:rsidRDefault="00B90F24" w:rsidP="00B90F24">
      <w:pPr>
        <w:pStyle w:val="Odsekzoznamu"/>
        <w:jc w:val="both"/>
        <w:rPr>
          <w:szCs w:val="28"/>
        </w:rPr>
      </w:pPr>
      <w:r>
        <w:rPr>
          <w:szCs w:val="28"/>
        </w:rPr>
        <w:t>Povinnosti podľa čl. 35 a 36 nariadenia (EÚ) 2023/988 sú uložené hospodárskym subjektom a prevádzkovateľom online trhov, ale zatiaľ čo hospodárske subjekty mali už aj doposiaľ povinnosti v súvislosti so spätným prevzatím a informovaním spotrebiteľov o bezpečnosti výrobkov, pre prevádzkovateľov online trhov ide o úplne novú povinnosť. Prevádzkovatelia online trhov predstavujú špecifickú skupinu podnikateľských subjektov, nie je vhodné ju pripodobňovať k skupine hospodárskych subjektov, ako ich vymedzujú predpisy o bezpečnosti výrobkov. Slovenská obchodná inšpekcia doposiaľ nevykonáva pôsobnosť vo vzťahu k prevádzkovateľom online trhov a nemožno použiť ani pripodobnenie k sankciám podľa zákona o mediálnych službách, k</w:t>
      </w:r>
      <w:r w:rsidRPr="004E35BF">
        <w:rPr>
          <w:szCs w:val="28"/>
        </w:rPr>
        <w:t xml:space="preserve">eďže novela zákona o mediálnych službách, ktorou sa zabezpečila implementácia nariadenia (EÚ) 2022/2065, </w:t>
      </w:r>
      <w:r>
        <w:rPr>
          <w:szCs w:val="28"/>
        </w:rPr>
        <w:t xml:space="preserve">ktoré reguluje zodpovednosť poskytovateľov online sprostredkovateľských služieb, </w:t>
      </w:r>
      <w:r w:rsidRPr="004E35BF">
        <w:rPr>
          <w:szCs w:val="28"/>
        </w:rPr>
        <w:t>nadobudla účinnosť len 24. júla 2024, zatiaľ k tejto oblasti regulácie nejestvuje aplikačná a rozhodovacia prax, z ktorej by bolo možné vychádzať pri kvantifikácii vplyvu.</w:t>
      </w:r>
    </w:p>
    <w:p w14:paraId="77670C1F" w14:textId="20CBD3FF" w:rsidR="00216B5B" w:rsidRDefault="00216B5B" w:rsidP="004932AB">
      <w:pPr>
        <w:rPr>
          <w:b/>
          <w:caps/>
          <w:spacing w:val="30"/>
          <w:highlight w:val="yellow"/>
        </w:rPr>
      </w:pPr>
    </w:p>
    <w:sectPr w:rsidR="00216B5B" w:rsidSect="009578C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EADD9" w14:textId="77777777" w:rsidR="008B6C9B" w:rsidRDefault="008B6C9B" w:rsidP="00F76CFB">
      <w:r>
        <w:separator/>
      </w:r>
    </w:p>
  </w:endnote>
  <w:endnote w:type="continuationSeparator" w:id="0">
    <w:p w14:paraId="32A1DA8C" w14:textId="77777777" w:rsidR="008B6C9B" w:rsidRDefault="008B6C9B" w:rsidP="00F7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03FF2" w14:textId="77777777" w:rsidR="00BA36D2" w:rsidRPr="006045CB" w:rsidRDefault="00BA36D2" w:rsidP="00FC031F">
    <w:pPr>
      <w:pStyle w:val="Pta"/>
      <w:jc w:val="right"/>
    </w:pPr>
  </w:p>
  <w:p w14:paraId="7DC21CB3" w14:textId="77777777" w:rsidR="00BA36D2" w:rsidRPr="00FF7125" w:rsidRDefault="00BA36D2" w:rsidP="00FC031F">
    <w:pPr>
      <w:pStyle w:val="Pta"/>
    </w:pPr>
  </w:p>
  <w:p w14:paraId="1AD3ED8D" w14:textId="77777777" w:rsidR="00BA36D2" w:rsidRDefault="00BA36D2">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F5B93" w14:textId="77777777" w:rsidR="008B6C9B" w:rsidRDefault="008B6C9B" w:rsidP="00F76CFB">
      <w:r>
        <w:separator/>
      </w:r>
    </w:p>
  </w:footnote>
  <w:footnote w:type="continuationSeparator" w:id="0">
    <w:p w14:paraId="4FC6C155" w14:textId="77777777" w:rsidR="008B6C9B" w:rsidRDefault="008B6C9B" w:rsidP="00F76CFB">
      <w:r>
        <w:continuationSeparator/>
      </w:r>
    </w:p>
  </w:footnote>
  <w:footnote w:id="1">
    <w:p w14:paraId="31813FAD" w14:textId="77777777" w:rsidR="00BA36D2" w:rsidRPr="000A6B7F" w:rsidRDefault="00BA36D2" w:rsidP="00B90F24">
      <w:pPr>
        <w:pStyle w:val="Textpoznmkypodiarou"/>
      </w:pPr>
      <w:r>
        <w:rPr>
          <w:rStyle w:val="Odkaznapoznmkupodiarou"/>
        </w:rPr>
        <w:footnoteRef/>
      </w:r>
      <w:r>
        <w:t xml:space="preserve"> </w:t>
      </w:r>
      <w:r w:rsidRPr="000A6B7F">
        <w:t xml:space="preserve">Definícia </w:t>
      </w:r>
      <w:proofErr w:type="spellStart"/>
      <w:r w:rsidRPr="000A6B7F">
        <w:t>goldplatingu</w:t>
      </w:r>
      <w:proofErr w:type="spellEnd"/>
      <w:r w:rsidRPr="000A6B7F">
        <w:t xml:space="preserve"> </w:t>
      </w:r>
      <w:r w:rsidRPr="00D114ED">
        <w:t>je uvedená v bode 4 časti III. jednotnej metodiky.</w:t>
      </w:r>
    </w:p>
  </w:footnote>
  <w:footnote w:id="2">
    <w:p w14:paraId="4674A005" w14:textId="77777777" w:rsidR="00BA36D2" w:rsidRPr="00804BC8" w:rsidRDefault="00BA36D2" w:rsidP="00B90F24">
      <w:pPr>
        <w:pStyle w:val="Textpoznmkypodiarou"/>
        <w:jc w:val="both"/>
      </w:pPr>
      <w:r w:rsidRPr="0099544D">
        <w:rPr>
          <w:rStyle w:val="Odkaznapoznmkupodiarou"/>
        </w:rPr>
        <w:footnoteRef/>
      </w:r>
      <w:r w:rsidRPr="0099544D">
        <w:t xml:space="preserve"> </w:t>
      </w:r>
      <w:r w:rsidRPr="00804BC8">
        <w:t xml:space="preserve">Informácie sa uvádzajú  iba v prípade, ak sa predkladaným návrhom regulácie vykonáva transpozícia smernice </w:t>
      </w:r>
      <w:r w:rsidRPr="0099544D">
        <w:t>EÚ</w:t>
      </w:r>
      <w:r w:rsidRPr="00804BC8">
        <w:t xml:space="preserve"> a bol identifikovaný </w:t>
      </w:r>
      <w:proofErr w:type="spellStart"/>
      <w:r w:rsidRPr="00804BC8">
        <w:t>goldplating</w:t>
      </w:r>
      <w:proofErr w:type="spellEnd"/>
      <w:r w:rsidRPr="00804BC8">
        <w:t xml:space="preserve"> podľa tabuľky zhody alebo sa vykonáva implementácia nariadenia EÚ s </w:t>
      </w:r>
      <w:proofErr w:type="spellStart"/>
      <w:r w:rsidRPr="00804BC8">
        <w:t>goldplatingom</w:t>
      </w:r>
      <w:proofErr w:type="spellEnd"/>
      <w:r w:rsidRPr="00804BC8">
        <w:t>.</w:t>
      </w:r>
      <w:r>
        <w:t xml:space="preserve"> Informácie sa uvádzajú aj v prípade</w:t>
      </w:r>
      <w:r w:rsidRPr="00CF4D09">
        <w:t xml:space="preserve"> (ak nejde o transpozíciu smernice EÚ alebo implementáciu nariadenia EÚ)</w:t>
      </w:r>
      <w:r>
        <w:t xml:space="preserve">, ak sa predloženým návrhom odstraňuje </w:t>
      </w:r>
      <w:proofErr w:type="spellStart"/>
      <w:r>
        <w:t>goldplating</w:t>
      </w:r>
      <w:proofErr w:type="spellEnd"/>
      <w:r>
        <w:t>, ktorého pôvod je v skoršom zachovaní existujúcej právnej úpravy (existujúcich vnútroštátnych požiadaviek).</w:t>
      </w:r>
    </w:p>
    <w:p w14:paraId="032BC74C" w14:textId="77777777" w:rsidR="00BA36D2" w:rsidRDefault="00BA36D2" w:rsidP="00B90F24">
      <w:pPr>
        <w:pStyle w:val="Textpoznmkypodiarou"/>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451"/>
    <w:multiLevelType w:val="hybridMultilevel"/>
    <w:tmpl w:val="DB70D1E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59D7E0A"/>
    <w:multiLevelType w:val="hybridMultilevel"/>
    <w:tmpl w:val="C430FABA"/>
    <w:lvl w:ilvl="0" w:tplc="97AE683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805643B"/>
    <w:multiLevelType w:val="hybridMultilevel"/>
    <w:tmpl w:val="B90A3712"/>
    <w:lvl w:ilvl="0" w:tplc="F3BE84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A7B362C"/>
    <w:multiLevelType w:val="hybridMultilevel"/>
    <w:tmpl w:val="05587B8C"/>
    <w:lvl w:ilvl="0" w:tplc="20ACF14E">
      <w:start w:val="1"/>
      <w:numFmt w:val="decimal"/>
      <w:lvlText w:val="(%1)"/>
      <w:lvlJc w:val="left"/>
      <w:pPr>
        <w:ind w:left="690" w:hanging="360"/>
      </w:pPr>
      <w:rPr>
        <w:rFonts w:ascii="Times New Roman" w:hAnsi="Times New Roman" w:hint="default"/>
        <w:color w:val="000000"/>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4" w15:restartNumberingAfterBreak="0">
    <w:nsid w:val="128A6ADC"/>
    <w:multiLevelType w:val="hybridMultilevel"/>
    <w:tmpl w:val="359E3544"/>
    <w:lvl w:ilvl="0" w:tplc="2B384702">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3FA18EC"/>
    <w:multiLevelType w:val="hybridMultilevel"/>
    <w:tmpl w:val="E3C80250"/>
    <w:lvl w:ilvl="0" w:tplc="548872C8">
      <w:start w:val="1"/>
      <w:numFmt w:val="decimal"/>
      <w:lvlText w:val="(%1)"/>
      <w:lvlJc w:val="left"/>
      <w:pPr>
        <w:ind w:left="1364" w:hanging="360"/>
      </w:pPr>
      <w:rPr>
        <w:rFonts w:hint="default"/>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6" w15:restartNumberingAfterBreak="0">
    <w:nsid w:val="158D66B9"/>
    <w:multiLevelType w:val="hybridMultilevel"/>
    <w:tmpl w:val="0E34357C"/>
    <w:lvl w:ilvl="0" w:tplc="7820FA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D07001"/>
    <w:multiLevelType w:val="hybridMultilevel"/>
    <w:tmpl w:val="EB9073C0"/>
    <w:lvl w:ilvl="0" w:tplc="0ECE55D4">
      <w:start w:val="1"/>
      <w:numFmt w:val="lowerLetter"/>
      <w:lvlText w:val="%1)"/>
      <w:lvlJc w:val="left"/>
      <w:pPr>
        <w:ind w:left="1068" w:hanging="360"/>
      </w:pPr>
      <w:rPr>
        <w:rFonts w:ascii="Times New Roman" w:hAnsi="Times New Roman" w:cs="Times New Roman"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18CA2B60"/>
    <w:multiLevelType w:val="hybridMultilevel"/>
    <w:tmpl w:val="6E0665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9C84480"/>
    <w:multiLevelType w:val="hybridMultilevel"/>
    <w:tmpl w:val="424CE666"/>
    <w:lvl w:ilvl="0" w:tplc="041B0017">
      <w:start w:val="3"/>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A34760F"/>
    <w:multiLevelType w:val="hybridMultilevel"/>
    <w:tmpl w:val="F9D85EC4"/>
    <w:lvl w:ilvl="0" w:tplc="041B0017">
      <w:start w:val="1"/>
      <w:numFmt w:val="lowerLetter"/>
      <w:lvlText w:val="%1)"/>
      <w:lvlJc w:val="left"/>
      <w:pPr>
        <w:ind w:left="555" w:hanging="360"/>
      </w:pPr>
    </w:lvl>
    <w:lvl w:ilvl="1" w:tplc="041B0019" w:tentative="1">
      <w:start w:val="1"/>
      <w:numFmt w:val="lowerLetter"/>
      <w:lvlText w:val="%2."/>
      <w:lvlJc w:val="left"/>
      <w:pPr>
        <w:ind w:left="1275" w:hanging="360"/>
      </w:pPr>
    </w:lvl>
    <w:lvl w:ilvl="2" w:tplc="041B001B" w:tentative="1">
      <w:start w:val="1"/>
      <w:numFmt w:val="lowerRoman"/>
      <w:lvlText w:val="%3."/>
      <w:lvlJc w:val="right"/>
      <w:pPr>
        <w:ind w:left="1995" w:hanging="180"/>
      </w:pPr>
    </w:lvl>
    <w:lvl w:ilvl="3" w:tplc="041B000F" w:tentative="1">
      <w:start w:val="1"/>
      <w:numFmt w:val="decimal"/>
      <w:lvlText w:val="%4."/>
      <w:lvlJc w:val="left"/>
      <w:pPr>
        <w:ind w:left="2715" w:hanging="360"/>
      </w:pPr>
    </w:lvl>
    <w:lvl w:ilvl="4" w:tplc="041B0019" w:tentative="1">
      <w:start w:val="1"/>
      <w:numFmt w:val="lowerLetter"/>
      <w:lvlText w:val="%5."/>
      <w:lvlJc w:val="left"/>
      <w:pPr>
        <w:ind w:left="3435" w:hanging="360"/>
      </w:pPr>
    </w:lvl>
    <w:lvl w:ilvl="5" w:tplc="041B001B" w:tentative="1">
      <w:start w:val="1"/>
      <w:numFmt w:val="lowerRoman"/>
      <w:lvlText w:val="%6."/>
      <w:lvlJc w:val="right"/>
      <w:pPr>
        <w:ind w:left="4155" w:hanging="180"/>
      </w:pPr>
    </w:lvl>
    <w:lvl w:ilvl="6" w:tplc="041B000F" w:tentative="1">
      <w:start w:val="1"/>
      <w:numFmt w:val="decimal"/>
      <w:lvlText w:val="%7."/>
      <w:lvlJc w:val="left"/>
      <w:pPr>
        <w:ind w:left="4875" w:hanging="360"/>
      </w:pPr>
    </w:lvl>
    <w:lvl w:ilvl="7" w:tplc="041B0019" w:tentative="1">
      <w:start w:val="1"/>
      <w:numFmt w:val="lowerLetter"/>
      <w:lvlText w:val="%8."/>
      <w:lvlJc w:val="left"/>
      <w:pPr>
        <w:ind w:left="5595" w:hanging="360"/>
      </w:pPr>
    </w:lvl>
    <w:lvl w:ilvl="8" w:tplc="041B001B" w:tentative="1">
      <w:start w:val="1"/>
      <w:numFmt w:val="lowerRoman"/>
      <w:lvlText w:val="%9."/>
      <w:lvlJc w:val="right"/>
      <w:pPr>
        <w:ind w:left="6315" w:hanging="180"/>
      </w:pPr>
    </w:lvl>
  </w:abstractNum>
  <w:abstractNum w:abstractNumId="11" w15:restartNumberingAfterBreak="0">
    <w:nsid w:val="1B8442D4"/>
    <w:multiLevelType w:val="multilevel"/>
    <w:tmpl w:val="EAB239C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color w:val="auto"/>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2" w15:restartNumberingAfterBreak="0">
    <w:nsid w:val="1D1322EE"/>
    <w:multiLevelType w:val="hybridMultilevel"/>
    <w:tmpl w:val="DC2640C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0621168"/>
    <w:multiLevelType w:val="hybridMultilevel"/>
    <w:tmpl w:val="22E890AA"/>
    <w:lvl w:ilvl="0" w:tplc="42786BB8">
      <w:start w:val="1"/>
      <w:numFmt w:val="upperLetter"/>
      <w:lvlText w:val="%1."/>
      <w:lvlJc w:val="left"/>
      <w:pPr>
        <w:ind w:left="360" w:hanging="360"/>
      </w:pPr>
      <w:rPr>
        <w:rFonts w:ascii="Times New Roman" w:hAnsi="Times New Roman"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5F42E4B"/>
    <w:multiLevelType w:val="hybridMultilevel"/>
    <w:tmpl w:val="3A38EE88"/>
    <w:lvl w:ilvl="0" w:tplc="041B0017">
      <w:start w:val="1"/>
      <w:numFmt w:val="lowerLetter"/>
      <w:lvlText w:val="%1)"/>
      <w:lvlJc w:val="left"/>
      <w:pPr>
        <w:ind w:left="1410" w:hanging="360"/>
      </w:pPr>
    </w:lvl>
    <w:lvl w:ilvl="1" w:tplc="041B0019" w:tentative="1">
      <w:start w:val="1"/>
      <w:numFmt w:val="lowerLetter"/>
      <w:lvlText w:val="%2."/>
      <w:lvlJc w:val="left"/>
      <w:pPr>
        <w:ind w:left="2130" w:hanging="360"/>
      </w:pPr>
    </w:lvl>
    <w:lvl w:ilvl="2" w:tplc="041B001B" w:tentative="1">
      <w:start w:val="1"/>
      <w:numFmt w:val="lowerRoman"/>
      <w:lvlText w:val="%3."/>
      <w:lvlJc w:val="right"/>
      <w:pPr>
        <w:ind w:left="2850" w:hanging="180"/>
      </w:pPr>
    </w:lvl>
    <w:lvl w:ilvl="3" w:tplc="041B000F" w:tentative="1">
      <w:start w:val="1"/>
      <w:numFmt w:val="decimal"/>
      <w:lvlText w:val="%4."/>
      <w:lvlJc w:val="left"/>
      <w:pPr>
        <w:ind w:left="3570" w:hanging="360"/>
      </w:pPr>
    </w:lvl>
    <w:lvl w:ilvl="4" w:tplc="041B0019" w:tentative="1">
      <w:start w:val="1"/>
      <w:numFmt w:val="lowerLetter"/>
      <w:lvlText w:val="%5."/>
      <w:lvlJc w:val="left"/>
      <w:pPr>
        <w:ind w:left="4290" w:hanging="360"/>
      </w:pPr>
    </w:lvl>
    <w:lvl w:ilvl="5" w:tplc="041B001B" w:tentative="1">
      <w:start w:val="1"/>
      <w:numFmt w:val="lowerRoman"/>
      <w:lvlText w:val="%6."/>
      <w:lvlJc w:val="right"/>
      <w:pPr>
        <w:ind w:left="5010" w:hanging="180"/>
      </w:pPr>
    </w:lvl>
    <w:lvl w:ilvl="6" w:tplc="041B000F" w:tentative="1">
      <w:start w:val="1"/>
      <w:numFmt w:val="decimal"/>
      <w:lvlText w:val="%7."/>
      <w:lvlJc w:val="left"/>
      <w:pPr>
        <w:ind w:left="5730" w:hanging="360"/>
      </w:pPr>
    </w:lvl>
    <w:lvl w:ilvl="7" w:tplc="041B0019" w:tentative="1">
      <w:start w:val="1"/>
      <w:numFmt w:val="lowerLetter"/>
      <w:lvlText w:val="%8."/>
      <w:lvlJc w:val="left"/>
      <w:pPr>
        <w:ind w:left="6450" w:hanging="360"/>
      </w:pPr>
    </w:lvl>
    <w:lvl w:ilvl="8" w:tplc="041B001B" w:tentative="1">
      <w:start w:val="1"/>
      <w:numFmt w:val="lowerRoman"/>
      <w:lvlText w:val="%9."/>
      <w:lvlJc w:val="right"/>
      <w:pPr>
        <w:ind w:left="7170" w:hanging="180"/>
      </w:pPr>
    </w:lvl>
  </w:abstractNum>
  <w:abstractNum w:abstractNumId="15" w15:restartNumberingAfterBreak="0">
    <w:nsid w:val="27C906EB"/>
    <w:multiLevelType w:val="hybridMultilevel"/>
    <w:tmpl w:val="9DC2B430"/>
    <w:lvl w:ilvl="0" w:tplc="4BC4019A">
      <w:start w:val="1"/>
      <w:numFmt w:val="decimal"/>
      <w:lvlText w:val="(%1)"/>
      <w:lvlJc w:val="left"/>
      <w:pPr>
        <w:ind w:left="502" w:hanging="360"/>
      </w:pPr>
      <w:rPr>
        <w:rFonts w:ascii="Times New Roman" w:hAnsi="Times New Roman" w:cs="Times New Roman" w:hint="default"/>
        <w:sz w:val="24"/>
        <w:szCs w:val="24"/>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6" w15:restartNumberingAfterBreak="0">
    <w:nsid w:val="27EF31EC"/>
    <w:multiLevelType w:val="hybridMultilevel"/>
    <w:tmpl w:val="C4F68352"/>
    <w:lvl w:ilvl="0" w:tplc="83142C3C">
      <w:start w:val="4"/>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29C77F12"/>
    <w:multiLevelType w:val="hybridMultilevel"/>
    <w:tmpl w:val="7A3E2740"/>
    <w:lvl w:ilvl="0" w:tplc="97AE6834">
      <w:start w:val="1"/>
      <w:numFmt w:val="decimal"/>
      <w:lvlText w:val="(%1)"/>
      <w:lvlJc w:val="left"/>
      <w:pPr>
        <w:ind w:left="644" w:hanging="360"/>
      </w:pPr>
      <w:rPr>
        <w:rFonts w:hint="default"/>
      </w:rPr>
    </w:lvl>
    <w:lvl w:ilvl="1" w:tplc="041B0017">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8" w15:restartNumberingAfterBreak="0">
    <w:nsid w:val="2ADC683E"/>
    <w:multiLevelType w:val="hybridMultilevel"/>
    <w:tmpl w:val="6B180402"/>
    <w:lvl w:ilvl="0" w:tplc="DC3EB42C">
      <w:start w:val="1"/>
      <w:numFmt w:val="decimal"/>
      <w:lvlText w:val="(%1)"/>
      <w:lvlJc w:val="left"/>
      <w:pPr>
        <w:ind w:left="644" w:hanging="360"/>
      </w:pPr>
      <w:rPr>
        <w:rFonts w:hint="default"/>
      </w:rPr>
    </w:lvl>
    <w:lvl w:ilvl="1" w:tplc="041B0017">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2D0C6C52"/>
    <w:multiLevelType w:val="multilevel"/>
    <w:tmpl w:val="C32E7142"/>
    <w:lvl w:ilvl="0">
      <w:start w:val="1"/>
      <w:numFmt w:val="decimal"/>
      <w:lvlText w:val="%1."/>
      <w:lvlJc w:val="left"/>
      <w:pPr>
        <w:ind w:left="644" w:hanging="360"/>
      </w:pPr>
      <w:rPr>
        <w:rFonts w:ascii="Times New Roman" w:eastAsia="Times New Roman" w:hAnsi="Times New Roman" w:cs="Times New Roman"/>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2D1528BE"/>
    <w:multiLevelType w:val="hybridMultilevel"/>
    <w:tmpl w:val="49024A52"/>
    <w:lvl w:ilvl="0" w:tplc="4F86589A">
      <w:start w:val="1"/>
      <w:numFmt w:val="decimal"/>
      <w:lvlText w:val="(%1)"/>
      <w:lvlJc w:val="left"/>
      <w:pPr>
        <w:ind w:left="720" w:hanging="360"/>
      </w:pPr>
      <w:rPr>
        <w:rFonts w:ascii="Times New Roman" w:hAnsi="Times New Roman" w:cs="Times New Roman"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D930B3B"/>
    <w:multiLevelType w:val="hybridMultilevel"/>
    <w:tmpl w:val="2F32EA1A"/>
    <w:lvl w:ilvl="0" w:tplc="F9C0C5BC">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31997BED"/>
    <w:multiLevelType w:val="hybridMultilevel"/>
    <w:tmpl w:val="02920B10"/>
    <w:lvl w:ilvl="0" w:tplc="21D06C80">
      <w:start w:val="1"/>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31BD5BEB"/>
    <w:multiLevelType w:val="hybridMultilevel"/>
    <w:tmpl w:val="F5B01A4E"/>
    <w:lvl w:ilvl="0" w:tplc="21D06C80">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39D575D"/>
    <w:multiLevelType w:val="hybridMultilevel"/>
    <w:tmpl w:val="FE3617AE"/>
    <w:lvl w:ilvl="0" w:tplc="041B0017">
      <w:start w:val="1"/>
      <w:numFmt w:val="lowerLetter"/>
      <w:lvlText w:val="%1)"/>
      <w:lvlJc w:val="left"/>
      <w:pPr>
        <w:ind w:left="1004" w:hanging="360"/>
      </w:pPr>
    </w:lvl>
    <w:lvl w:ilvl="1" w:tplc="041B0017">
      <w:start w:val="1"/>
      <w:numFmt w:val="lowerLetter"/>
      <w:lvlText w:val="%2)"/>
      <w:lvlJc w:val="left"/>
      <w:pPr>
        <w:ind w:left="1724" w:hanging="360"/>
      </w:pPr>
    </w:lvl>
    <w:lvl w:ilvl="2" w:tplc="AEA4406A">
      <w:start w:val="1"/>
      <w:numFmt w:val="decimal"/>
      <w:lvlText w:val="(%3)"/>
      <w:lvlJc w:val="left"/>
      <w:pPr>
        <w:ind w:left="2624" w:hanging="360"/>
      </w:pPr>
      <w:rPr>
        <w:rFonts w:hint="default"/>
      </w:r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5" w15:restartNumberingAfterBreak="0">
    <w:nsid w:val="344A3750"/>
    <w:multiLevelType w:val="hybridMultilevel"/>
    <w:tmpl w:val="7856087A"/>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6" w15:restartNumberingAfterBreak="0">
    <w:nsid w:val="3FA01891"/>
    <w:multiLevelType w:val="hybridMultilevel"/>
    <w:tmpl w:val="62D4D2CC"/>
    <w:lvl w:ilvl="0" w:tplc="4F86589A">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2601CAD"/>
    <w:multiLevelType w:val="hybridMultilevel"/>
    <w:tmpl w:val="F4B4647E"/>
    <w:lvl w:ilvl="0" w:tplc="C23866B6">
      <w:start w:val="5"/>
      <w:numFmt w:val="lowerRoman"/>
      <w:lvlText w:val="%1."/>
      <w:lvlJc w:val="righ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469D299F"/>
    <w:multiLevelType w:val="hybridMultilevel"/>
    <w:tmpl w:val="5F3AB92C"/>
    <w:lvl w:ilvl="0" w:tplc="C5A609F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A0312C6"/>
    <w:multiLevelType w:val="hybridMultilevel"/>
    <w:tmpl w:val="66E2826C"/>
    <w:lvl w:ilvl="0" w:tplc="014E80DC">
      <w:start w:val="1"/>
      <w:numFmt w:val="lowerRoman"/>
      <w:lvlText w:val="%1."/>
      <w:lvlJc w:val="righ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D016FA1"/>
    <w:multiLevelType w:val="hybridMultilevel"/>
    <w:tmpl w:val="675820D4"/>
    <w:lvl w:ilvl="0" w:tplc="804696F6">
      <w:start w:val="1"/>
      <w:numFmt w:val="lowerLetter"/>
      <w:pStyle w:val="adda"/>
      <w:lvlText w:val="%1)"/>
      <w:lvlJc w:val="left"/>
      <w:pPr>
        <w:tabs>
          <w:tab w:val="num" w:pos="360"/>
        </w:tabs>
        <w:ind w:left="357" w:hanging="357"/>
      </w:pPr>
      <w:rPr>
        <w:rFonts w:ascii="Times New Roman" w:hAnsi="Times New Roman" w:cs="Times New Roman" w:hint="default"/>
        <w:b w:val="0"/>
        <w:i w:val="0"/>
        <w:sz w:val="24"/>
        <w:szCs w:val="24"/>
      </w:rPr>
    </w:lvl>
    <w:lvl w:ilvl="1" w:tplc="B270E464">
      <w:start w:val="1"/>
      <w:numFmt w:val="lowerLetter"/>
      <w:pStyle w:val="adda"/>
      <w:lvlText w:val="%2)"/>
      <w:lvlJc w:val="left"/>
      <w:pPr>
        <w:tabs>
          <w:tab w:val="num" w:pos="1440"/>
        </w:tabs>
        <w:ind w:left="1440" w:hanging="360"/>
      </w:pPr>
      <w:rPr>
        <w:rFonts w:ascii="Times New Roman" w:eastAsia="Times New Roman" w:hAnsi="Times New Roman"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1"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372B47"/>
    <w:multiLevelType w:val="hybridMultilevel"/>
    <w:tmpl w:val="E410CEB8"/>
    <w:lvl w:ilvl="0" w:tplc="041B0017">
      <w:start w:val="1"/>
      <w:numFmt w:val="lowerLetter"/>
      <w:lvlText w:val="%1)"/>
      <w:lvlJc w:val="left"/>
      <w:pPr>
        <w:ind w:left="1724" w:hanging="360"/>
      </w:p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33" w15:restartNumberingAfterBreak="0">
    <w:nsid w:val="72F20ADB"/>
    <w:multiLevelType w:val="hybridMultilevel"/>
    <w:tmpl w:val="52EEE926"/>
    <w:lvl w:ilvl="0" w:tplc="20ACF14E">
      <w:start w:val="1"/>
      <w:numFmt w:val="decimal"/>
      <w:lvlText w:val="(%1)"/>
      <w:lvlJc w:val="left"/>
      <w:pPr>
        <w:ind w:left="630" w:hanging="360"/>
      </w:pPr>
      <w:rPr>
        <w:rFonts w:ascii="Times New Roman" w:hAnsi="Times New Roman" w:hint="default"/>
        <w:color w:val="000000"/>
      </w:rPr>
    </w:lvl>
    <w:lvl w:ilvl="1" w:tplc="041B0019" w:tentative="1">
      <w:start w:val="1"/>
      <w:numFmt w:val="lowerLetter"/>
      <w:lvlText w:val="%2."/>
      <w:lvlJc w:val="left"/>
      <w:pPr>
        <w:ind w:left="1350" w:hanging="360"/>
      </w:pPr>
    </w:lvl>
    <w:lvl w:ilvl="2" w:tplc="041B001B" w:tentative="1">
      <w:start w:val="1"/>
      <w:numFmt w:val="lowerRoman"/>
      <w:lvlText w:val="%3."/>
      <w:lvlJc w:val="right"/>
      <w:pPr>
        <w:ind w:left="2070" w:hanging="180"/>
      </w:pPr>
    </w:lvl>
    <w:lvl w:ilvl="3" w:tplc="041B000F" w:tentative="1">
      <w:start w:val="1"/>
      <w:numFmt w:val="decimal"/>
      <w:lvlText w:val="%4."/>
      <w:lvlJc w:val="left"/>
      <w:pPr>
        <w:ind w:left="2790" w:hanging="360"/>
      </w:pPr>
    </w:lvl>
    <w:lvl w:ilvl="4" w:tplc="041B0019" w:tentative="1">
      <w:start w:val="1"/>
      <w:numFmt w:val="lowerLetter"/>
      <w:lvlText w:val="%5."/>
      <w:lvlJc w:val="left"/>
      <w:pPr>
        <w:ind w:left="3510" w:hanging="360"/>
      </w:pPr>
    </w:lvl>
    <w:lvl w:ilvl="5" w:tplc="041B001B" w:tentative="1">
      <w:start w:val="1"/>
      <w:numFmt w:val="lowerRoman"/>
      <w:lvlText w:val="%6."/>
      <w:lvlJc w:val="right"/>
      <w:pPr>
        <w:ind w:left="4230" w:hanging="180"/>
      </w:pPr>
    </w:lvl>
    <w:lvl w:ilvl="6" w:tplc="041B000F" w:tentative="1">
      <w:start w:val="1"/>
      <w:numFmt w:val="decimal"/>
      <w:lvlText w:val="%7."/>
      <w:lvlJc w:val="left"/>
      <w:pPr>
        <w:ind w:left="4950" w:hanging="360"/>
      </w:pPr>
    </w:lvl>
    <w:lvl w:ilvl="7" w:tplc="041B0019" w:tentative="1">
      <w:start w:val="1"/>
      <w:numFmt w:val="lowerLetter"/>
      <w:lvlText w:val="%8."/>
      <w:lvlJc w:val="left"/>
      <w:pPr>
        <w:ind w:left="5670" w:hanging="360"/>
      </w:pPr>
    </w:lvl>
    <w:lvl w:ilvl="8" w:tplc="041B001B" w:tentative="1">
      <w:start w:val="1"/>
      <w:numFmt w:val="lowerRoman"/>
      <w:lvlText w:val="%9."/>
      <w:lvlJc w:val="right"/>
      <w:pPr>
        <w:ind w:left="6390" w:hanging="180"/>
      </w:pPr>
    </w:lvl>
  </w:abstractNum>
  <w:abstractNum w:abstractNumId="34" w15:restartNumberingAfterBreak="0">
    <w:nsid w:val="7301510A"/>
    <w:multiLevelType w:val="hybridMultilevel"/>
    <w:tmpl w:val="8086FCCE"/>
    <w:lvl w:ilvl="0" w:tplc="2496193C">
      <w:start w:val="1"/>
      <w:numFmt w:val="lowerLetter"/>
      <w:lvlText w:val="%1)"/>
      <w:lvlJc w:val="left"/>
      <w:pPr>
        <w:ind w:left="1287" w:hanging="360"/>
      </w:pPr>
      <w:rPr>
        <w:rFonts w:ascii="Times New Roman" w:hAnsi="Times New Roman" w:cs="Times New Roman"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74BC192C"/>
    <w:multiLevelType w:val="hybridMultilevel"/>
    <w:tmpl w:val="1C902EA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15:restartNumberingAfterBreak="0">
    <w:nsid w:val="75A76C01"/>
    <w:multiLevelType w:val="hybridMultilevel"/>
    <w:tmpl w:val="6EF0564C"/>
    <w:lvl w:ilvl="0" w:tplc="8B7EC1BE">
      <w:start w:val="1"/>
      <w:numFmt w:val="bullet"/>
      <w:lvlText w:val="-"/>
      <w:lvlJc w:val="left"/>
      <w:pPr>
        <w:ind w:left="720" w:hanging="360"/>
      </w:pPr>
      <w:rPr>
        <w:rFonts w:ascii="Times New Roman" w:eastAsia="Times New Roman" w:hAnsi="Times New Roman" w:hint="default"/>
      </w:rPr>
    </w:lvl>
    <w:lvl w:ilvl="1" w:tplc="A80C46B4">
      <w:start w:val="3"/>
      <w:numFmt w:val="bullet"/>
      <w:lvlText w:val="-"/>
      <w:lvlJc w:val="left"/>
      <w:pPr>
        <w:ind w:left="1440" w:hanging="360"/>
      </w:pPr>
      <w:rPr>
        <w:rFonts w:ascii="Times New Roman" w:eastAsia="Calibri" w:hAnsi="Times New Roman" w:cs="Times New Roman" w:hint="default"/>
        <w:b/>
        <w:i w:val="0"/>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AC76977"/>
    <w:multiLevelType w:val="hybridMultilevel"/>
    <w:tmpl w:val="0D9A3520"/>
    <w:lvl w:ilvl="0" w:tplc="7820FA6C">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BA422D4"/>
    <w:multiLevelType w:val="hybridMultilevel"/>
    <w:tmpl w:val="05587B8C"/>
    <w:lvl w:ilvl="0" w:tplc="20ACF14E">
      <w:start w:val="1"/>
      <w:numFmt w:val="decimal"/>
      <w:lvlText w:val="(%1)"/>
      <w:lvlJc w:val="left"/>
      <w:pPr>
        <w:ind w:left="690" w:hanging="360"/>
      </w:pPr>
      <w:rPr>
        <w:rFonts w:ascii="Times New Roman" w:hAnsi="Times New Roman" w:hint="default"/>
        <w:color w:val="000000"/>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39"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1"/>
  </w:num>
  <w:num w:numId="2">
    <w:abstractNumId w:val="12"/>
  </w:num>
  <w:num w:numId="3">
    <w:abstractNumId w:val="25"/>
  </w:num>
  <w:num w:numId="4">
    <w:abstractNumId w:val="24"/>
  </w:num>
  <w:num w:numId="5">
    <w:abstractNumId w:val="21"/>
  </w:num>
  <w:num w:numId="6">
    <w:abstractNumId w:val="32"/>
  </w:num>
  <w:num w:numId="7">
    <w:abstractNumId w:val="2"/>
  </w:num>
  <w:num w:numId="8">
    <w:abstractNumId w:val="18"/>
  </w:num>
  <w:num w:numId="9">
    <w:abstractNumId w:val="17"/>
  </w:num>
  <w:num w:numId="10">
    <w:abstractNumId w:val="37"/>
  </w:num>
  <w:num w:numId="11">
    <w:abstractNumId w:val="6"/>
  </w:num>
  <w:num w:numId="12">
    <w:abstractNumId w:val="8"/>
  </w:num>
  <w:num w:numId="13">
    <w:abstractNumId w:val="15"/>
  </w:num>
  <w:num w:numId="14">
    <w:abstractNumId w:val="28"/>
  </w:num>
  <w:num w:numId="15">
    <w:abstractNumId w:val="1"/>
  </w:num>
  <w:num w:numId="16">
    <w:abstractNumId w:val="34"/>
  </w:num>
  <w:num w:numId="17">
    <w:abstractNumId w:val="26"/>
  </w:num>
  <w:num w:numId="18">
    <w:abstractNumId w:val="20"/>
  </w:num>
  <w:num w:numId="19">
    <w:abstractNumId w:val="5"/>
  </w:num>
  <w:num w:numId="20">
    <w:abstractNumId w:val="19"/>
  </w:num>
  <w:num w:numId="21">
    <w:abstractNumId w:val="0"/>
  </w:num>
  <w:num w:numId="22">
    <w:abstractNumId w:val="13"/>
  </w:num>
  <w:num w:numId="23">
    <w:abstractNumId w:val="39"/>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4"/>
  </w:num>
  <w:num w:numId="27">
    <w:abstractNumId w:val="29"/>
  </w:num>
  <w:num w:numId="28">
    <w:abstractNumId w:val="27"/>
  </w:num>
  <w:num w:numId="29">
    <w:abstractNumId w:val="36"/>
  </w:num>
  <w:num w:numId="30">
    <w:abstractNumId w:val="23"/>
  </w:num>
  <w:num w:numId="31">
    <w:abstractNumId w:val="16"/>
  </w:num>
  <w:num w:numId="32">
    <w:abstractNumId w:val="22"/>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0"/>
  </w:num>
  <w:num w:numId="36">
    <w:abstractNumId w:val="3"/>
  </w:num>
  <w:num w:numId="37">
    <w:abstractNumId w:val="14"/>
  </w:num>
  <w:num w:numId="38">
    <w:abstractNumId w:val="7"/>
  </w:num>
  <w:num w:numId="39">
    <w:abstractNumId w:val="33"/>
  </w:num>
  <w:num w:numId="40">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607"/>
    <w:rsid w:val="0001327F"/>
    <w:rsid w:val="000369A7"/>
    <w:rsid w:val="00132D0A"/>
    <w:rsid w:val="0013531A"/>
    <w:rsid w:val="00180A42"/>
    <w:rsid w:val="001B6746"/>
    <w:rsid w:val="001D0532"/>
    <w:rsid w:val="001D6B1E"/>
    <w:rsid w:val="00207888"/>
    <w:rsid w:val="00216B5B"/>
    <w:rsid w:val="00224038"/>
    <w:rsid w:val="0023209E"/>
    <w:rsid w:val="002859F6"/>
    <w:rsid w:val="002A36FD"/>
    <w:rsid w:val="002B04CF"/>
    <w:rsid w:val="002B6DB7"/>
    <w:rsid w:val="002E5947"/>
    <w:rsid w:val="00304654"/>
    <w:rsid w:val="00320D98"/>
    <w:rsid w:val="00323446"/>
    <w:rsid w:val="003305F4"/>
    <w:rsid w:val="0035089B"/>
    <w:rsid w:val="003600FE"/>
    <w:rsid w:val="00360EC1"/>
    <w:rsid w:val="003620F5"/>
    <w:rsid w:val="00362D98"/>
    <w:rsid w:val="003A0A99"/>
    <w:rsid w:val="003B0B91"/>
    <w:rsid w:val="003C1B54"/>
    <w:rsid w:val="003D4F2F"/>
    <w:rsid w:val="003E2B54"/>
    <w:rsid w:val="00401C04"/>
    <w:rsid w:val="00412486"/>
    <w:rsid w:val="00423298"/>
    <w:rsid w:val="0044495E"/>
    <w:rsid w:val="00477B7D"/>
    <w:rsid w:val="004932AB"/>
    <w:rsid w:val="004D62AA"/>
    <w:rsid w:val="004F26CD"/>
    <w:rsid w:val="005000E9"/>
    <w:rsid w:val="005062B8"/>
    <w:rsid w:val="00521045"/>
    <w:rsid w:val="00526C7B"/>
    <w:rsid w:val="00527013"/>
    <w:rsid w:val="0056314C"/>
    <w:rsid w:val="005A6408"/>
    <w:rsid w:val="006177B6"/>
    <w:rsid w:val="00670DBC"/>
    <w:rsid w:val="0068740F"/>
    <w:rsid w:val="006964E8"/>
    <w:rsid w:val="006C6EBB"/>
    <w:rsid w:val="006C771E"/>
    <w:rsid w:val="006D2972"/>
    <w:rsid w:val="006D6C45"/>
    <w:rsid w:val="00710775"/>
    <w:rsid w:val="00717FB7"/>
    <w:rsid w:val="00725EE5"/>
    <w:rsid w:val="00744E10"/>
    <w:rsid w:val="00757E75"/>
    <w:rsid w:val="0077656F"/>
    <w:rsid w:val="00776607"/>
    <w:rsid w:val="00784413"/>
    <w:rsid w:val="007866A0"/>
    <w:rsid w:val="0079081E"/>
    <w:rsid w:val="007B7416"/>
    <w:rsid w:val="007D4C85"/>
    <w:rsid w:val="007F7192"/>
    <w:rsid w:val="008044B9"/>
    <w:rsid w:val="008504B2"/>
    <w:rsid w:val="008638A3"/>
    <w:rsid w:val="0087174C"/>
    <w:rsid w:val="00874731"/>
    <w:rsid w:val="00894537"/>
    <w:rsid w:val="008B6C9B"/>
    <w:rsid w:val="008D4BA5"/>
    <w:rsid w:val="008D6FBC"/>
    <w:rsid w:val="00911D6D"/>
    <w:rsid w:val="00925AEE"/>
    <w:rsid w:val="009578C0"/>
    <w:rsid w:val="00972C18"/>
    <w:rsid w:val="0098122B"/>
    <w:rsid w:val="00982668"/>
    <w:rsid w:val="009A6115"/>
    <w:rsid w:val="009B7E46"/>
    <w:rsid w:val="00A10845"/>
    <w:rsid w:val="00A1663F"/>
    <w:rsid w:val="00A57681"/>
    <w:rsid w:val="00A6569A"/>
    <w:rsid w:val="00A820AF"/>
    <w:rsid w:val="00A94EE2"/>
    <w:rsid w:val="00AA7618"/>
    <w:rsid w:val="00AB5080"/>
    <w:rsid w:val="00AC02ED"/>
    <w:rsid w:val="00AC4F2D"/>
    <w:rsid w:val="00AF049A"/>
    <w:rsid w:val="00B041A2"/>
    <w:rsid w:val="00B5003C"/>
    <w:rsid w:val="00B542D1"/>
    <w:rsid w:val="00B55C09"/>
    <w:rsid w:val="00B57863"/>
    <w:rsid w:val="00B678C2"/>
    <w:rsid w:val="00B71BB9"/>
    <w:rsid w:val="00B72482"/>
    <w:rsid w:val="00B90F24"/>
    <w:rsid w:val="00BA36D2"/>
    <w:rsid w:val="00BC4B56"/>
    <w:rsid w:val="00BE0363"/>
    <w:rsid w:val="00C10A41"/>
    <w:rsid w:val="00C1514E"/>
    <w:rsid w:val="00C336D0"/>
    <w:rsid w:val="00C52548"/>
    <w:rsid w:val="00C8177D"/>
    <w:rsid w:val="00CA157F"/>
    <w:rsid w:val="00CA7CF9"/>
    <w:rsid w:val="00CB7464"/>
    <w:rsid w:val="00CF5107"/>
    <w:rsid w:val="00D25D89"/>
    <w:rsid w:val="00D33D06"/>
    <w:rsid w:val="00D37F7B"/>
    <w:rsid w:val="00D51D48"/>
    <w:rsid w:val="00D63674"/>
    <w:rsid w:val="00D83BF6"/>
    <w:rsid w:val="00DA52E5"/>
    <w:rsid w:val="00DB61A1"/>
    <w:rsid w:val="00DE5C0C"/>
    <w:rsid w:val="00E0099B"/>
    <w:rsid w:val="00E035DA"/>
    <w:rsid w:val="00E1030B"/>
    <w:rsid w:val="00E62799"/>
    <w:rsid w:val="00E72050"/>
    <w:rsid w:val="00E76F0A"/>
    <w:rsid w:val="00E77293"/>
    <w:rsid w:val="00E82281"/>
    <w:rsid w:val="00EB34A4"/>
    <w:rsid w:val="00EB438B"/>
    <w:rsid w:val="00EB5AE6"/>
    <w:rsid w:val="00EE075F"/>
    <w:rsid w:val="00EE1255"/>
    <w:rsid w:val="00F015DF"/>
    <w:rsid w:val="00F22789"/>
    <w:rsid w:val="00F56076"/>
    <w:rsid w:val="00F673DD"/>
    <w:rsid w:val="00F745E7"/>
    <w:rsid w:val="00F76CFB"/>
    <w:rsid w:val="00FC031F"/>
    <w:rsid w:val="00FE1844"/>
    <w:rsid w:val="00FE776D"/>
    <w:rsid w:val="00FF7B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4F25"/>
  <w15:chartTrackingRefBased/>
  <w15:docId w15:val="{ADB86AE0-A079-4602-9C74-0B38B11F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660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EB438B"/>
    <w:pPr>
      <w:keepNext/>
      <w:outlineLvl w:val="0"/>
    </w:pPr>
    <w:rPr>
      <w:sz w:val="26"/>
      <w:szCs w:val="20"/>
      <w:u w:val="single"/>
    </w:rPr>
  </w:style>
  <w:style w:type="paragraph" w:styleId="Nadpis2">
    <w:name w:val="heading 2"/>
    <w:basedOn w:val="Normlny"/>
    <w:next w:val="Normlny"/>
    <w:link w:val="Nadpis2Char"/>
    <w:uiPriority w:val="9"/>
    <w:semiHidden/>
    <w:unhideWhenUsed/>
    <w:qFormat/>
    <w:rsid w:val="00F76C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F76CFB"/>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
    <w:semiHidden/>
    <w:unhideWhenUsed/>
    <w:qFormat/>
    <w:rsid w:val="00F76CFB"/>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F76CFB"/>
    <w:pPr>
      <w:keepNext/>
      <w:keepLines/>
      <w:spacing w:before="40"/>
      <w:outlineLvl w:val="4"/>
    </w:pPr>
    <w:rPr>
      <w:rFonts w:asciiTheme="majorHAnsi" w:eastAsiaTheme="majorEastAsia" w:hAnsiTheme="majorHAnsi" w:cstheme="majorBid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BE03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BE0363"/>
    <w:rPr>
      <w:rFonts w:ascii="Segoe UI" w:eastAsia="Times New Roman" w:hAnsi="Segoe UI" w:cs="Segoe UI"/>
      <w:sz w:val="18"/>
      <w:szCs w:val="18"/>
      <w:lang w:eastAsia="sk-SK"/>
    </w:rPr>
  </w:style>
  <w:style w:type="character" w:customStyle="1" w:styleId="Nadpis1Char">
    <w:name w:val="Nadpis 1 Char"/>
    <w:basedOn w:val="Predvolenpsmoodseku"/>
    <w:link w:val="Nadpis1"/>
    <w:uiPriority w:val="9"/>
    <w:rsid w:val="00EB438B"/>
    <w:rPr>
      <w:rFonts w:ascii="Times New Roman" w:eastAsia="Times New Roman" w:hAnsi="Times New Roman" w:cs="Times New Roman"/>
      <w:sz w:val="26"/>
      <w:szCs w:val="20"/>
      <w:u w:val="single"/>
      <w:lang w:eastAsia="sk-SK"/>
    </w:rPr>
  </w:style>
  <w:style w:type="table" w:styleId="Mriekatabuky">
    <w:name w:val="Table Grid"/>
    <w:basedOn w:val="Normlnatabuka"/>
    <w:uiPriority w:val="59"/>
    <w:unhideWhenUsed/>
    <w:rsid w:val="00AC02ED"/>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
    <w:basedOn w:val="Normlny"/>
    <w:link w:val="OdsekzoznamuChar"/>
    <w:uiPriority w:val="34"/>
    <w:qFormat/>
    <w:rsid w:val="00AC02ED"/>
    <w:pPr>
      <w:ind w:left="720"/>
      <w:contextualSpacing/>
    </w:pPr>
  </w:style>
  <w:style w:type="paragraph" w:customStyle="1" w:styleId="Default">
    <w:name w:val="Default"/>
    <w:rsid w:val="00F560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Nadpis2Char">
    <w:name w:val="Nadpis 2 Char"/>
    <w:basedOn w:val="Predvolenpsmoodseku"/>
    <w:link w:val="Nadpis2"/>
    <w:uiPriority w:val="9"/>
    <w:semiHidden/>
    <w:rsid w:val="00F76CFB"/>
    <w:rPr>
      <w:rFonts w:asciiTheme="majorHAnsi" w:eastAsiaTheme="majorEastAsia" w:hAnsiTheme="majorHAnsi" w:cstheme="majorBidi"/>
      <w:color w:val="2E74B5" w:themeColor="accent1" w:themeShade="BF"/>
      <w:sz w:val="26"/>
      <w:szCs w:val="26"/>
      <w:lang w:eastAsia="sk-SK"/>
    </w:rPr>
  </w:style>
  <w:style w:type="character" w:customStyle="1" w:styleId="Nadpis3Char">
    <w:name w:val="Nadpis 3 Char"/>
    <w:basedOn w:val="Predvolenpsmoodseku"/>
    <w:link w:val="Nadpis3"/>
    <w:uiPriority w:val="9"/>
    <w:semiHidden/>
    <w:rsid w:val="00F76CFB"/>
    <w:rPr>
      <w:rFonts w:asciiTheme="majorHAnsi" w:eastAsiaTheme="majorEastAsia" w:hAnsiTheme="majorHAnsi" w:cstheme="majorBidi"/>
      <w:color w:val="1F4D78" w:themeColor="accent1" w:themeShade="7F"/>
      <w:sz w:val="24"/>
      <w:szCs w:val="24"/>
      <w:lang w:eastAsia="sk-SK"/>
    </w:rPr>
  </w:style>
  <w:style w:type="character" w:customStyle="1" w:styleId="Nadpis4Char">
    <w:name w:val="Nadpis 4 Char"/>
    <w:basedOn w:val="Predvolenpsmoodseku"/>
    <w:link w:val="Nadpis4"/>
    <w:uiPriority w:val="9"/>
    <w:semiHidden/>
    <w:rsid w:val="00F76CFB"/>
    <w:rPr>
      <w:rFonts w:asciiTheme="majorHAnsi" w:eastAsiaTheme="majorEastAsia" w:hAnsiTheme="majorHAnsi" w:cstheme="majorBidi"/>
      <w:i/>
      <w:iCs/>
      <w:color w:val="2E74B5" w:themeColor="accent1" w:themeShade="BF"/>
      <w:sz w:val="24"/>
      <w:szCs w:val="24"/>
      <w:lang w:eastAsia="sk-SK"/>
    </w:rPr>
  </w:style>
  <w:style w:type="character" w:customStyle="1" w:styleId="Nadpis5Char">
    <w:name w:val="Nadpis 5 Char"/>
    <w:basedOn w:val="Predvolenpsmoodseku"/>
    <w:link w:val="Nadpis5"/>
    <w:uiPriority w:val="9"/>
    <w:semiHidden/>
    <w:rsid w:val="00F76CFB"/>
    <w:rPr>
      <w:rFonts w:asciiTheme="majorHAnsi" w:eastAsiaTheme="majorEastAsia" w:hAnsiTheme="majorHAnsi" w:cstheme="majorBidi"/>
      <w:color w:val="2E74B5" w:themeColor="accent1" w:themeShade="BF"/>
      <w:sz w:val="24"/>
      <w:szCs w:val="24"/>
      <w:lang w:eastAsia="sk-SK"/>
    </w:rPr>
  </w:style>
  <w:style w:type="paragraph" w:styleId="Nzov">
    <w:name w:val="Title"/>
    <w:basedOn w:val="Normlny"/>
    <w:link w:val="NzovChar"/>
    <w:qFormat/>
    <w:rsid w:val="00F76CFB"/>
    <w:pPr>
      <w:jc w:val="center"/>
    </w:pPr>
    <w:rPr>
      <w:sz w:val="28"/>
      <w:szCs w:val="20"/>
    </w:rPr>
  </w:style>
  <w:style w:type="character" w:customStyle="1" w:styleId="NzovChar">
    <w:name w:val="Názov Char"/>
    <w:basedOn w:val="Predvolenpsmoodseku"/>
    <w:link w:val="Nzov"/>
    <w:rsid w:val="00F76CFB"/>
    <w:rPr>
      <w:rFonts w:ascii="Times New Roman" w:eastAsia="Times New Roman" w:hAnsi="Times New Roman" w:cs="Times New Roman"/>
      <w:sz w:val="28"/>
      <w:szCs w:val="20"/>
      <w:lang w:eastAsia="sk-SK"/>
    </w:rPr>
  </w:style>
  <w:style w:type="paragraph" w:styleId="Zkladntext2">
    <w:name w:val="Body Text 2"/>
    <w:basedOn w:val="Normlny"/>
    <w:link w:val="Zkladntext2Char"/>
    <w:uiPriority w:val="99"/>
    <w:rsid w:val="00F76CFB"/>
    <w:pPr>
      <w:ind w:firstLine="708"/>
    </w:pPr>
    <w:rPr>
      <w:rFonts w:eastAsiaTheme="minorEastAsia"/>
      <w:lang w:eastAsia="cs-CZ"/>
    </w:rPr>
  </w:style>
  <w:style w:type="character" w:customStyle="1" w:styleId="Zkladntext2Char">
    <w:name w:val="Základný text 2 Char"/>
    <w:basedOn w:val="Predvolenpsmoodseku"/>
    <w:link w:val="Zkladntext2"/>
    <w:uiPriority w:val="99"/>
    <w:rsid w:val="00F76CFB"/>
    <w:rPr>
      <w:rFonts w:ascii="Times New Roman" w:eastAsiaTheme="minorEastAsia" w:hAnsi="Times New Roman" w:cs="Times New Roman"/>
      <w:sz w:val="24"/>
      <w:szCs w:val="24"/>
      <w:lang w:eastAsia="cs-CZ"/>
    </w:rPr>
  </w:style>
  <w:style w:type="paragraph" w:styleId="Zarkazkladnhotextu2">
    <w:name w:val="Body Text Indent 2"/>
    <w:basedOn w:val="Normlny"/>
    <w:link w:val="Zarkazkladnhotextu2Char"/>
    <w:uiPriority w:val="99"/>
    <w:rsid w:val="00F76CFB"/>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F76CFB"/>
    <w:rPr>
      <w:rFonts w:ascii="Times New Roman" w:eastAsiaTheme="minorEastAsia" w:hAnsi="Times New Roman" w:cs="Times New Roman"/>
      <w:sz w:val="24"/>
      <w:szCs w:val="24"/>
      <w:lang w:eastAsia="sk-SK"/>
    </w:rPr>
  </w:style>
  <w:style w:type="paragraph" w:customStyle="1" w:styleId="Vlada">
    <w:name w:val="Vlada"/>
    <w:basedOn w:val="Normlny"/>
    <w:uiPriority w:val="99"/>
    <w:rsid w:val="00F76CFB"/>
    <w:pPr>
      <w:spacing w:before="480" w:after="120"/>
    </w:pPr>
    <w:rPr>
      <w:rFonts w:eastAsiaTheme="minorEastAsia"/>
      <w:b/>
      <w:bCs/>
      <w:sz w:val="32"/>
      <w:szCs w:val="32"/>
      <w:lang w:eastAsia="en-US"/>
    </w:rPr>
  </w:style>
  <w:style w:type="paragraph" w:customStyle="1" w:styleId="Vykonaj">
    <w:name w:val="Vykonajú"/>
    <w:basedOn w:val="Normlny"/>
    <w:next w:val="Vykonajzoznam"/>
    <w:uiPriority w:val="99"/>
    <w:rsid w:val="00F76CFB"/>
    <w:pPr>
      <w:keepNext/>
      <w:spacing w:before="360"/>
    </w:pPr>
    <w:rPr>
      <w:rFonts w:eastAsiaTheme="minorEastAsia"/>
      <w:b/>
      <w:bCs/>
      <w:lang w:eastAsia="en-US"/>
    </w:rPr>
  </w:style>
  <w:style w:type="paragraph" w:customStyle="1" w:styleId="Vykonajzoznam">
    <w:name w:val="Vykonajú_zoznam"/>
    <w:basedOn w:val="Normlny"/>
    <w:uiPriority w:val="99"/>
    <w:rsid w:val="00F76CFB"/>
    <w:pPr>
      <w:ind w:left="1418"/>
    </w:pPr>
    <w:rPr>
      <w:rFonts w:eastAsiaTheme="minorEastAsia"/>
      <w:lang w:eastAsia="en-US"/>
    </w:rPr>
  </w:style>
  <w:style w:type="paragraph" w:customStyle="1" w:styleId="Navedomie">
    <w:name w:val="Na vedomie"/>
    <w:basedOn w:val="Vykonajzoznam"/>
    <w:next w:val="Normlny"/>
    <w:uiPriority w:val="99"/>
    <w:rsid w:val="00F76CFB"/>
    <w:pPr>
      <w:spacing w:before="360"/>
      <w:ind w:left="0"/>
    </w:pPr>
    <w:rPr>
      <w:b/>
      <w:bCs/>
    </w:rPr>
  </w:style>
  <w:style w:type="paragraph" w:customStyle="1" w:styleId="Zakladnystyl">
    <w:name w:val="Zakladny styl"/>
    <w:uiPriority w:val="99"/>
    <w:rsid w:val="00F76CFB"/>
    <w:pPr>
      <w:spacing w:after="0" w:line="240" w:lineRule="auto"/>
    </w:pPr>
    <w:rPr>
      <w:rFonts w:ascii="Times New Roman" w:eastAsiaTheme="minorEastAsia" w:hAnsi="Times New Roman" w:cs="Times New Roman"/>
      <w:sz w:val="24"/>
      <w:szCs w:val="24"/>
    </w:rPr>
  </w:style>
  <w:style w:type="paragraph" w:customStyle="1" w:styleId="Nosite">
    <w:name w:val="Nositeľ"/>
    <w:basedOn w:val="Zakladnystyl"/>
    <w:next w:val="Normlny"/>
    <w:uiPriority w:val="99"/>
    <w:rsid w:val="00F76CFB"/>
    <w:pPr>
      <w:spacing w:before="240" w:after="120"/>
      <w:ind w:left="567"/>
    </w:pPr>
    <w:rPr>
      <w:b/>
      <w:bCs/>
    </w:rPr>
  </w:style>
  <w:style w:type="paragraph" w:customStyle="1" w:styleId="Heading1orobas">
    <w:name w:val="Heading 1.Čo robí (časť)"/>
    <w:basedOn w:val="Normlny"/>
    <w:next w:val="Nosite"/>
    <w:uiPriority w:val="99"/>
    <w:rsid w:val="00F76CFB"/>
    <w:pPr>
      <w:keepNext/>
      <w:numPr>
        <w:numId w:val="1"/>
      </w:numPr>
      <w:spacing w:before="360"/>
    </w:pPr>
    <w:rPr>
      <w:rFonts w:eastAsiaTheme="minorEastAsia"/>
      <w:b/>
      <w:bCs/>
      <w:kern w:val="32"/>
      <w:sz w:val="28"/>
      <w:szCs w:val="28"/>
      <w:lang w:eastAsia="en-US"/>
    </w:rPr>
  </w:style>
  <w:style w:type="paragraph" w:customStyle="1" w:styleId="Heading2loha">
    <w:name w:val="Heading 2.Úloha"/>
    <w:basedOn w:val="Normlny"/>
    <w:uiPriority w:val="99"/>
    <w:rsid w:val="00F76CFB"/>
    <w:pPr>
      <w:numPr>
        <w:ilvl w:val="1"/>
        <w:numId w:val="1"/>
      </w:numPr>
      <w:spacing w:before="120"/>
      <w:jc w:val="both"/>
    </w:pPr>
    <w:rPr>
      <w:rFonts w:eastAsiaTheme="minorEastAsia"/>
      <w:lang w:eastAsia="en-US"/>
    </w:rPr>
  </w:style>
  <w:style w:type="character" w:styleId="Odkaznakomentr">
    <w:name w:val="annotation reference"/>
    <w:basedOn w:val="Predvolenpsmoodseku"/>
    <w:uiPriority w:val="99"/>
    <w:semiHidden/>
    <w:unhideWhenUsed/>
    <w:rsid w:val="00F76CFB"/>
    <w:rPr>
      <w:sz w:val="16"/>
      <w:szCs w:val="16"/>
    </w:rPr>
  </w:style>
  <w:style w:type="paragraph" w:customStyle="1" w:styleId="Textkomentra1">
    <w:name w:val="Text komentára1"/>
    <w:basedOn w:val="Normlny"/>
    <w:next w:val="Textkomentra"/>
    <w:link w:val="TextkomentraChar"/>
    <w:uiPriority w:val="99"/>
    <w:unhideWhenUsed/>
    <w:rsid w:val="00F76CFB"/>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1"/>
    <w:uiPriority w:val="99"/>
    <w:rsid w:val="00F76CFB"/>
    <w:rPr>
      <w:sz w:val="20"/>
      <w:szCs w:val="20"/>
    </w:rPr>
  </w:style>
  <w:style w:type="paragraph" w:customStyle="1" w:styleId="Textpoznmkypodiarou1">
    <w:name w:val="Text poznámky pod čiarou1"/>
    <w:basedOn w:val="Normlny"/>
    <w:next w:val="Textpoznmkypodiarou"/>
    <w:link w:val="TextpoznmkypodiarouChar"/>
    <w:uiPriority w:val="99"/>
    <w:unhideWhenUsed/>
    <w:rsid w:val="00F76CFB"/>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1"/>
    <w:uiPriority w:val="99"/>
    <w:rsid w:val="00F76CFB"/>
    <w:rPr>
      <w:sz w:val="20"/>
      <w:szCs w:val="20"/>
    </w:rPr>
  </w:style>
  <w:style w:type="character" w:styleId="Odkaznapoznmkupodiarou">
    <w:name w:val="footnote reference"/>
    <w:basedOn w:val="Predvolenpsmoodseku"/>
    <w:uiPriority w:val="99"/>
    <w:semiHidden/>
    <w:unhideWhenUsed/>
    <w:rsid w:val="00F76CFB"/>
    <w:rPr>
      <w:vertAlign w:val="superscript"/>
    </w:rPr>
  </w:style>
  <w:style w:type="character" w:styleId="Hypertextovprepojenie">
    <w:name w:val="Hyperlink"/>
    <w:basedOn w:val="Predvolenpsmoodseku"/>
    <w:uiPriority w:val="99"/>
    <w:unhideWhenUsed/>
    <w:rsid w:val="00F76CFB"/>
    <w:rPr>
      <w:color w:val="0000FF"/>
      <w:u w:val="single"/>
    </w:rPr>
  </w:style>
  <w:style w:type="paragraph" w:styleId="Textkomentra">
    <w:name w:val="annotation text"/>
    <w:basedOn w:val="Normlny"/>
    <w:link w:val="TextkomentraChar1"/>
    <w:uiPriority w:val="99"/>
    <w:unhideWhenUsed/>
    <w:rsid w:val="00F76CFB"/>
    <w:rPr>
      <w:sz w:val="20"/>
      <w:szCs w:val="20"/>
    </w:rPr>
  </w:style>
  <w:style w:type="character" w:customStyle="1" w:styleId="TextkomentraChar1">
    <w:name w:val="Text komentára Char1"/>
    <w:basedOn w:val="Predvolenpsmoodseku"/>
    <w:link w:val="Textkomentra"/>
    <w:uiPriority w:val="99"/>
    <w:rsid w:val="00F76CFB"/>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1"/>
    <w:uiPriority w:val="99"/>
    <w:unhideWhenUsed/>
    <w:rsid w:val="00F76CFB"/>
    <w:rPr>
      <w:sz w:val="20"/>
      <w:szCs w:val="20"/>
    </w:rPr>
  </w:style>
  <w:style w:type="character" w:customStyle="1" w:styleId="TextpoznmkypodiarouChar1">
    <w:name w:val="Text poznámky pod čiarou Char1"/>
    <w:basedOn w:val="Predvolenpsmoodseku"/>
    <w:link w:val="Textpoznmkypodiarou"/>
    <w:uiPriority w:val="99"/>
    <w:rsid w:val="00F76CFB"/>
    <w:rPr>
      <w:rFonts w:ascii="Times New Roman" w:eastAsia="Times New Roman" w:hAnsi="Times New Roman" w:cs="Times New Roman"/>
      <w:sz w:val="20"/>
      <w:szCs w:val="20"/>
      <w:lang w:eastAsia="sk-SK"/>
    </w:rPr>
  </w:style>
  <w:style w:type="character" w:styleId="Zstupntext">
    <w:name w:val="Placeholder Text"/>
    <w:uiPriority w:val="99"/>
    <w:semiHidden/>
    <w:rsid w:val="00F76CFB"/>
    <w:rPr>
      <w:rFonts w:ascii="Times New Roman" w:hAnsi="Times New Roman" w:cs="Times New Roman"/>
      <w:color w:val="808080"/>
    </w:rPr>
  </w:style>
  <w:style w:type="paragraph" w:styleId="Bezriadkovania">
    <w:name w:val="No Spacing"/>
    <w:uiPriority w:val="1"/>
    <w:qFormat/>
    <w:rsid w:val="00F76CFB"/>
    <w:pPr>
      <w:spacing w:after="0" w:line="240" w:lineRule="auto"/>
    </w:pPr>
  </w:style>
  <w:style w:type="paragraph" w:styleId="Pta">
    <w:name w:val="footer"/>
    <w:basedOn w:val="Normlny"/>
    <w:link w:val="PtaChar"/>
    <w:uiPriority w:val="99"/>
    <w:unhideWhenUsed/>
    <w:rsid w:val="00F76CFB"/>
    <w:pPr>
      <w:tabs>
        <w:tab w:val="center" w:pos="4536"/>
        <w:tab w:val="right" w:pos="9072"/>
      </w:tabs>
    </w:pPr>
  </w:style>
  <w:style w:type="character" w:customStyle="1" w:styleId="PtaChar">
    <w:name w:val="Päta Char"/>
    <w:basedOn w:val="Predvolenpsmoodseku"/>
    <w:link w:val="Pta"/>
    <w:uiPriority w:val="99"/>
    <w:rsid w:val="00F76CFB"/>
    <w:rPr>
      <w:rFonts w:ascii="Times New Roman" w:eastAsia="Times New Roman" w:hAnsi="Times New Roman" w:cs="Times New Roman"/>
      <w:sz w:val="24"/>
      <w:szCs w:val="24"/>
      <w:lang w:eastAsia="sk-SK"/>
    </w:rPr>
  </w:style>
  <w:style w:type="paragraph" w:styleId="Normlnywebov">
    <w:name w:val="Normal (Web)"/>
    <w:basedOn w:val="Normlny"/>
    <w:link w:val="NormlnywebovChar"/>
    <w:uiPriority w:val="99"/>
    <w:unhideWhenUsed/>
    <w:rsid w:val="00F76CFB"/>
    <w:pPr>
      <w:spacing w:before="100" w:beforeAutospacing="1" w:after="100" w:afterAutospacing="1"/>
    </w:pPr>
  </w:style>
  <w:style w:type="paragraph" w:customStyle="1" w:styleId="Normlny0">
    <w:name w:val="_Normálny"/>
    <w:basedOn w:val="Normlny"/>
    <w:rsid w:val="00F76CFB"/>
    <w:pPr>
      <w:autoSpaceDE w:val="0"/>
      <w:autoSpaceDN w:val="0"/>
    </w:pPr>
    <w:rPr>
      <w:sz w:val="20"/>
      <w:szCs w:val="20"/>
      <w:lang w:eastAsia="en-US"/>
    </w:rPr>
  </w:style>
  <w:style w:type="paragraph" w:customStyle="1" w:styleId="tlVavo125cmOpakovanzarka066cm">
    <w:name w:val="Štýl Vľavo:  125 cm Opakovaná zarážka:  066 cm"/>
    <w:basedOn w:val="Normlny"/>
    <w:uiPriority w:val="99"/>
    <w:rsid w:val="00F76CFB"/>
    <w:pPr>
      <w:ind w:left="1080" w:hanging="372"/>
    </w:pPr>
  </w:style>
  <w:style w:type="paragraph" w:styleId="Predmetkomentra">
    <w:name w:val="annotation subject"/>
    <w:basedOn w:val="Textkomentra"/>
    <w:next w:val="Textkomentra"/>
    <w:link w:val="PredmetkomentraChar"/>
    <w:uiPriority w:val="99"/>
    <w:semiHidden/>
    <w:unhideWhenUsed/>
    <w:rsid w:val="00F76CFB"/>
    <w:rPr>
      <w:b/>
      <w:bCs/>
    </w:rPr>
  </w:style>
  <w:style w:type="character" w:customStyle="1" w:styleId="PredmetkomentraChar">
    <w:name w:val="Predmet komentára Char"/>
    <w:basedOn w:val="TextkomentraChar1"/>
    <w:link w:val="Predmetkomentra"/>
    <w:uiPriority w:val="99"/>
    <w:semiHidden/>
    <w:rsid w:val="00F76CFB"/>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F76CFB"/>
    <w:pPr>
      <w:tabs>
        <w:tab w:val="center" w:pos="4536"/>
        <w:tab w:val="right" w:pos="9072"/>
      </w:tabs>
    </w:pPr>
  </w:style>
  <w:style w:type="character" w:customStyle="1" w:styleId="HlavikaChar">
    <w:name w:val="Hlavička Char"/>
    <w:basedOn w:val="Predvolenpsmoodseku"/>
    <w:link w:val="Hlavika"/>
    <w:uiPriority w:val="99"/>
    <w:rsid w:val="00F76CFB"/>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basedOn w:val="Predvolenpsmoodseku"/>
    <w:link w:val="Odsekzoznamu"/>
    <w:uiPriority w:val="34"/>
    <w:locked/>
    <w:rsid w:val="00F76CFB"/>
    <w:rPr>
      <w:rFonts w:ascii="Times New Roman" w:eastAsia="Times New Roman" w:hAnsi="Times New Roman" w:cs="Times New Roman"/>
      <w:sz w:val="24"/>
      <w:szCs w:val="24"/>
      <w:lang w:eastAsia="sk-SK"/>
    </w:rPr>
  </w:style>
  <w:style w:type="table" w:customStyle="1" w:styleId="Mriekatabuky1">
    <w:name w:val="Mriežka tabuľky1"/>
    <w:basedOn w:val="Normlnatabuka"/>
    <w:next w:val="Mriekatabuky"/>
    <w:uiPriority w:val="59"/>
    <w:rsid w:val="00F7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F76CFB"/>
    <w:rPr>
      <w:b/>
      <w:bCs/>
    </w:rPr>
  </w:style>
  <w:style w:type="paragraph" w:styleId="Revzia">
    <w:name w:val="Revision"/>
    <w:hidden/>
    <w:uiPriority w:val="99"/>
    <w:semiHidden/>
    <w:rsid w:val="00F76CFB"/>
    <w:pPr>
      <w:spacing w:after="0" w:line="240" w:lineRule="auto"/>
    </w:pPr>
    <w:rPr>
      <w:rFonts w:ascii="Times New Roman" w:eastAsia="Times New Roman" w:hAnsi="Times New Roman" w:cs="Times New Roman"/>
      <w:sz w:val="24"/>
      <w:szCs w:val="24"/>
      <w:lang w:eastAsia="sk-SK"/>
    </w:rPr>
  </w:style>
  <w:style w:type="character" w:customStyle="1" w:styleId="NormlnywebovChar">
    <w:name w:val="Normálny (webový) Char"/>
    <w:link w:val="Normlnywebov"/>
    <w:uiPriority w:val="99"/>
    <w:locked/>
    <w:rsid w:val="00F76CFB"/>
    <w:rPr>
      <w:rFonts w:ascii="Times New Roman" w:eastAsia="Times New Roman" w:hAnsi="Times New Roman" w:cs="Times New Roman"/>
      <w:sz w:val="24"/>
      <w:szCs w:val="24"/>
      <w:lang w:eastAsia="sk-SK"/>
    </w:rPr>
  </w:style>
  <w:style w:type="paragraph" w:customStyle="1" w:styleId="Nadpis">
    <w:name w:val="Nadpis"/>
    <w:next w:val="Normlny"/>
    <w:qFormat/>
    <w:rsid w:val="00F76CFB"/>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customStyle="1" w:styleId="Paragraf">
    <w:name w:val="Paragraf"/>
    <w:next w:val="Normlny"/>
    <w:qFormat/>
    <w:rsid w:val="00F76CFB"/>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character" w:styleId="Odkaznavysvetlivku">
    <w:name w:val="endnote reference"/>
    <w:basedOn w:val="Predvolenpsmoodseku"/>
    <w:uiPriority w:val="99"/>
    <w:semiHidden/>
    <w:unhideWhenUsed/>
    <w:rsid w:val="00F76CFB"/>
    <w:rPr>
      <w:vertAlign w:val="superscript"/>
    </w:rPr>
  </w:style>
  <w:style w:type="paragraph" w:customStyle="1" w:styleId="Clanek">
    <w:name w:val="Clanek"/>
    <w:next w:val="Normlny"/>
    <w:qFormat/>
    <w:rsid w:val="00F76CFB"/>
    <w:pPr>
      <w:spacing w:before="240" w:after="100" w:afterAutospacing="1" w:line="240" w:lineRule="auto"/>
      <w:jc w:val="center"/>
      <w:outlineLvl w:val="6"/>
    </w:pPr>
    <w:rPr>
      <w:rFonts w:ascii="Arial" w:hAnsi="Arial"/>
      <w:b/>
      <w:color w:val="E06000"/>
      <w:sz w:val="26"/>
      <w:szCs w:val="26"/>
      <w:lang w:val="cs-CZ"/>
    </w:rPr>
  </w:style>
  <w:style w:type="paragraph" w:customStyle="1" w:styleId="Priloha">
    <w:name w:val="Priloha"/>
    <w:next w:val="Normlny"/>
    <w:qFormat/>
    <w:rsid w:val="00F76CFB"/>
    <w:pPr>
      <w:spacing w:before="240" w:after="100" w:afterAutospacing="1" w:line="240" w:lineRule="auto"/>
      <w:jc w:val="center"/>
      <w:outlineLvl w:val="0"/>
    </w:pPr>
    <w:rPr>
      <w:rFonts w:ascii="Arial" w:hAnsi="Arial"/>
      <w:b/>
      <w:color w:val="8496B0" w:themeColor="text2" w:themeTint="99"/>
      <w:sz w:val="28"/>
      <w:lang w:val="cs-CZ"/>
    </w:rPr>
  </w:style>
  <w:style w:type="paragraph" w:customStyle="1" w:styleId="PrefixBold">
    <w:name w:val="PrefixBold"/>
    <w:basedOn w:val="Normlny"/>
    <w:qFormat/>
    <w:rsid w:val="00F76CFB"/>
    <w:pPr>
      <w:spacing w:before="60" w:after="60"/>
      <w:jc w:val="center"/>
    </w:pPr>
    <w:rPr>
      <w:rFonts w:ascii="Arial" w:eastAsiaTheme="minorHAnsi" w:hAnsi="Arial" w:cstheme="minorBidi"/>
      <w:b/>
      <w:color w:val="323E4F" w:themeColor="text2" w:themeShade="BF"/>
      <w:sz w:val="32"/>
      <w:szCs w:val="32"/>
      <w:lang w:val="cs-CZ" w:eastAsia="en-US"/>
    </w:rPr>
  </w:style>
  <w:style w:type="paragraph" w:customStyle="1" w:styleId="PrefixPredpisDatum">
    <w:name w:val="PrefixPredpisDatum"/>
    <w:basedOn w:val="PrefixBold"/>
    <w:qFormat/>
    <w:rsid w:val="00F76CFB"/>
    <w:rPr>
      <w:b w:val="0"/>
      <w:sz w:val="24"/>
      <w:szCs w:val="24"/>
    </w:rPr>
  </w:style>
  <w:style w:type="paragraph" w:customStyle="1" w:styleId="PrefixTitle">
    <w:name w:val="PrefixTitle"/>
    <w:basedOn w:val="Normlny"/>
    <w:qFormat/>
    <w:rsid w:val="00F76CFB"/>
    <w:pPr>
      <w:spacing w:before="60" w:after="600"/>
      <w:jc w:val="center"/>
    </w:pPr>
    <w:rPr>
      <w:rFonts w:ascii="Arial" w:eastAsiaTheme="minorHAnsi" w:hAnsi="Arial" w:cstheme="minorBidi"/>
      <w:b/>
      <w:color w:val="323E4F" w:themeColor="text2" w:themeShade="BF"/>
      <w:sz w:val="32"/>
      <w:szCs w:val="22"/>
      <w:lang w:val="cs-CZ" w:eastAsia="en-US"/>
    </w:rPr>
  </w:style>
  <w:style w:type="paragraph" w:customStyle="1" w:styleId="gmail-m-1648484718305530482msolistparagraph">
    <w:name w:val="gmail-m_-1648484718305530482msolistparagraph"/>
    <w:basedOn w:val="Normlny"/>
    <w:rsid w:val="00B90F24"/>
    <w:pPr>
      <w:spacing w:before="100" w:beforeAutospacing="1" w:after="100" w:afterAutospacing="1"/>
    </w:pPr>
    <w:rPr>
      <w:rFonts w:ascii="Calibri" w:eastAsiaTheme="minorHAnsi" w:hAnsi="Calibri" w:cs="Calibri"/>
      <w:sz w:val="22"/>
      <w:szCs w:val="22"/>
    </w:rPr>
  </w:style>
  <w:style w:type="paragraph" w:customStyle="1" w:styleId="adda">
    <w:name w:val="adda"/>
    <w:basedOn w:val="Normlny"/>
    <w:rsid w:val="00E77293"/>
    <w:pPr>
      <w:keepNext/>
      <w:numPr>
        <w:ilvl w:val="1"/>
        <w:numId w:val="33"/>
      </w:numPr>
      <w:spacing w:before="60" w:after="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60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rsr.sk/web/Default.aspx?sid=zakony/zakon&am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rsr.sk/web/Default.aspx?sid=zakony/zakon&amp;" TargetMode="External"/><Relationship Id="rId17" Type="http://schemas.openxmlformats.org/officeDocument/2006/relationships/hyperlink" Target="https://heureka.group/sk-sk/o-nas/tlacove-centrum/tlacove-spravy/vianoce-vratili-slovensky-e-commerce-v-poslednom-kvartali-k-rastu-celkovo-vsak-skoncil-4-oproti-vlanajsku/" TargetMode="External"/><Relationship Id="rId2" Type="http://schemas.openxmlformats.org/officeDocument/2006/relationships/customXml" Target="../customXml/item2.xml"/><Relationship Id="rId16" Type="http://schemas.openxmlformats.org/officeDocument/2006/relationships/hyperlink" Target="https://heureka.group/sk-sk/o-nas/tlacove-centrum/tlacove-spravy/vianoce-vratili-slovensky-e-commerce-v-poslednom-kvartali-k-rastu-celkovo-vsak-skoncil-4-oproti-vlanajsk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ureka.group/sk-sk/o-nas/tlacove-centrum/tlacove-spravy/vianoce-vratili-slovensky-e-commerce-v-poslednom-kvartali-k-rastu-celkovo-vsak-skoncil-4-oproti-vlanajsku/" TargetMode="External"/><Relationship Id="rId5" Type="http://schemas.openxmlformats.org/officeDocument/2006/relationships/settings" Target="settings.xml"/><Relationship Id="rId15" Type="http://schemas.openxmlformats.org/officeDocument/2006/relationships/hyperlink" Target="https://www.slov-lex.sk/legislativne-procesy?p_p_id=processDetail_WAR_portletsel&amp;#38;p_p_lifecycle=0&amp;#38;p_p_state=normal&amp;#38;p_p_mode=view&amp;"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hyperlink" Target="https://www.slov-lex.sk/legislativne-procesy/SK/LPEU/2021/396"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7_Analýza-vplyvov-na-podn.-prostredie"/>
    <f:field ref="objsubject" par="" edit="true" text=""/>
    <f:field ref="objcreatedby" par="" text="Hajdu, Ladislav, JUDr"/>
    <f:field ref="objcreatedat" par="" text="8.10.2024 9:46:18"/>
    <f:field ref="objchangedby" par="" text="Administrator, System"/>
    <f:field ref="objmodifiedat" par="" text="8.10.2024 9:46:1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9FABFC6-D337-484B-8B4B-6CCBD253D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5102</Words>
  <Characters>29084</Characters>
  <Application>Microsoft Office Word</Application>
  <DocSecurity>4</DocSecurity>
  <Lines>242</Lines>
  <Paragraphs>68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Pavlovska Ivana</dc:creator>
  <cp:keywords/>
  <dc:description/>
  <cp:lastModifiedBy>Hajdu Ladislav</cp:lastModifiedBy>
  <cp:revision>2</cp:revision>
  <cp:lastPrinted>2024-10-29T11:51:00Z</cp:lastPrinted>
  <dcterms:created xsi:type="dcterms:W3CDTF">2024-10-29T11:51:00Z</dcterms:created>
  <dcterms:modified xsi:type="dcterms:W3CDTF">2024-10-29T11:51:00Z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align="center"&gt;&lt;strong&gt;SPRÁVA O&amp;nbsp;ÚČASTI VEREJNOSTI NA TVORBE PRÁVNEHO PREDPISU&lt;/strong&gt;&lt;/p&gt;&lt;p&gt;&lt;strong&gt;1. &amp;nbsp;&amp;nbsp; Spôsob zapojenia verejnosti do tvorby právneho predpisu&lt;/strong&gt;&lt;/p&gt;&lt;table align="left" border="1" cellpadding="0" cellspacing="0"</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Občianske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Ladislav Hajdu</vt:lpwstr>
  </property>
  <property fmtid="{D5CDD505-2E9C-101B-9397-08002B2CF9AE}" pid="12" name="FSC#SKEDITIONSLOVLEX@103.510:zodppredkladatel">
    <vt:lpwstr>Ing. Denisa Saková</vt:lpwstr>
  </property>
  <property fmtid="{D5CDD505-2E9C-101B-9397-08002B2CF9AE}" pid="13" name="FSC#SKEDITIONSLOVLEX@103.510:dalsipredkladatel">
    <vt:lpwstr/>
  </property>
  <property fmtid="{D5CDD505-2E9C-101B-9397-08002B2CF9AE}" pid="14" name="FSC#SKEDITIONSLOVLEX@103.510:nazovpredpis">
    <vt:lpwstr> Návrh zákona o všeobecnej bezpečnosti výrobkov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2024</vt:lpwstr>
  </property>
  <property fmtid="{D5CDD505-2E9C-101B-9397-08002B2CF9AE}" pid="23" name="FSC#SKEDITIONSLOVLEX@103.510:plnynazovpredpis">
    <vt:lpwstr> Zákon Návrh zákona o všeobecnej bezpečnosti výrobkov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240970/2024-2062-240973</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LP/2024/522</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26, 114 a 169 Zmluvy o fungovaní Európskej únie,</vt:lpwstr>
  </property>
  <property fmtid="{D5CDD505-2E9C-101B-9397-08002B2CF9AE}" pid="47" name="FSC#SKEDITIONSLOVLEX@103.510:AttrStrListDocPropSekundarneLegPravoPO">
    <vt:lpwstr>-	Nariadenie Európskeho parlamentu a Rady (EÚ) 2023/988 z 10. mája 2023  o všeobecnej bezpečnosti výrobkov, ktorým sa mení nariadenie Európskeho parlamentu a Rady (EÚ) č. 1025/2012 a smernica Európskeho parlamentu a Rady (EÚ) 2020/1828 a zrušuje smernica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obsiahnutý</vt:lpwstr>
  </property>
  <property fmtid="{D5CDD505-2E9C-101B-9397-08002B2CF9AE}" pid="52" name="FSC#SKEDITIONSLOVLEX@103.510:AttrStrListDocPropLehotaPrebratieSmernice">
    <vt:lpwstr>-	nariadenie (EÚ) 2023/988 sa uplatňuje od 13. decembra 2024</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nebolo začaté konanie voči Slovenskej republike</vt:lpwstr>
  </property>
  <property fmtid="{D5CDD505-2E9C-101B-9397-08002B2CF9AE}" pid="55" name="FSC#SKEDITIONSLOVLEX@103.510:AttrStrListDocPropInfoUzPreberanePP">
    <vt:lpwstr>-	nariadenie (EÚ) 2023/988 _x000d_
-	zatiaľ nie je implementované právnymi predpismi Slovenskej republiky, bude implementované návrhom zákona,_x000d_
_x000d_
-	nariadenie (EÚ) 2022/2065_x000d_
-	zákon č. 264/2022 Z. z. o mediálnych službách a o zmene a doplnení niektorých zákono</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&lt;p&gt;Predkladateľ neoznačuje pozitívny vplyv na podnikateľské prostredie napriek skutočnosti, že v&amp;nbsp;časti 7 je informácia o&amp;nbsp;goldplatingu s&amp;nbsp;pozitívnym vplyvom na podnikateľské prostredie, a&amp;nbsp;to z&amp;nbsp;dôvodu, že návrh zákona nezavádza, len </vt:lpwstr>
  </property>
  <property fmtid="{D5CDD505-2E9C-101B-9397-08002B2CF9AE}" pid="66" name="FSC#SKEDITIONSLOVLEX@103.510:AttrStrListDocPropAltRiesenia">
    <vt:lpwstr>Alternatívou k návrhu zákona v súvislosti s povinnosťou implementácie príslušného nariadenia (EÚ) 2023/988 bola novelizácia v súčasnosti účinného zákona č. 281/2023 Z. z. Táto alternatíva však nebola prijatá vzhľadom na skutočnosť, že zmena právneho nástr</vt:lpwstr>
  </property>
  <property fmtid="{D5CDD505-2E9C-101B-9397-08002B2CF9AE}" pid="67" name="FSC#SKEDITIONSLOVLEX@103.510:AttrStrListDocPropStanoviskoGest">
    <vt:lpwstr>Súhlasné</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podpredsedníčka vlády a ministerka hospodárstva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podpredsedníčka vlády a ministerka hospodárstva Slovenskej republiky</vt:lpwstr>
  </property>
  <property fmtid="{D5CDD505-2E9C-101B-9397-08002B2CF9AE}" pid="142" name="FSC#SKEDITIONSLOVLEX@103.510:funkciaZodpPredAkuzativ">
    <vt:lpwstr>podpredsedníčku vlády a ministerku hospodárstva Slovenskej republiky</vt:lpwstr>
  </property>
  <property fmtid="{D5CDD505-2E9C-101B-9397-08002B2CF9AE}" pid="143" name="FSC#SKEDITIONSLOVLEX@103.510:funkciaZodpPredDativ">
    <vt:lpwstr>podpredsedníčke vlády a ministerke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Denisa Saková_x000d_
podpredsedníčka vlády a ministerka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align="center"&gt;&lt;strong&gt;Predkladacia správa&lt;/strong&gt;&lt;/p&gt;&lt;p style="text-align: justify;"&gt;Ministerstvo hospodárstva Slovenskej republiky predkladá návrh zákona o&amp;nbsp;všeobecnej bezpečnosti výrobkov a&amp;nbsp;o&amp;nbsp;zmene a&amp;nbsp;doplnení niektorých zákonov (</vt:lpwstr>
  </property>
  <property fmtid="{D5CDD505-2E9C-101B-9397-08002B2CF9AE}" pid="150" name="FSC#SKEDITIONSLOVLEX@103.510:vytvorenedna">
    <vt:lpwstr>8. 10. 2024</vt:lpwstr>
  </property>
  <property fmtid="{D5CDD505-2E9C-101B-9397-08002B2CF9AE}" pid="151" name="FSC#COOSYSTEM@1.1:Container">
    <vt:lpwstr>COO.2145.1000.3.6379555</vt:lpwstr>
  </property>
  <property fmtid="{D5CDD505-2E9C-101B-9397-08002B2CF9AE}" pid="152" name="FSC#FSCFOLIO@1.1001:docpropproject">
    <vt:lpwstr/>
  </property>
</Properties>
</file>