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3D34" w14:textId="419E404A" w:rsidR="007D5748" w:rsidRPr="00645ED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645ED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14:paraId="2C70D719" w14:textId="77777777" w:rsidR="007D5748" w:rsidRPr="00645ED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7FF8A070" w14:textId="77777777" w:rsidR="005307FC" w:rsidRPr="00645EDC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2FD809" w14:textId="77777777" w:rsidR="00E161E5" w:rsidRPr="00645EDC" w:rsidRDefault="00E161E5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7F81C0" w14:textId="77777777" w:rsidR="00E963A3" w:rsidRPr="00645ED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24A16A3C" w14:textId="22386764" w:rsidR="007D5748" w:rsidRPr="00645ED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32670F" w:rsidRPr="00645ED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645ED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2180"/>
        <w:gridCol w:w="1460"/>
        <w:gridCol w:w="1430"/>
      </w:tblGrid>
      <w:tr w:rsidR="00645EDC" w:rsidRPr="00645EDC" w14:paraId="07E64BE2" w14:textId="77777777" w:rsidTr="002634D5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F754C99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6337" w:type="dxa"/>
            <w:gridSpan w:val="4"/>
            <w:shd w:val="clear" w:color="auto" w:fill="BFBFBF" w:themeFill="background1" w:themeFillShade="BF"/>
            <w:vAlign w:val="center"/>
          </w:tcPr>
          <w:p w14:paraId="32086A64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645EDC" w:rsidRPr="00645EDC" w14:paraId="52007B1D" w14:textId="77777777" w:rsidTr="002634D5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28F9D081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12C0AF92" w14:textId="0D7AE2A7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180" w:type="dxa"/>
            <w:shd w:val="clear" w:color="auto" w:fill="BFBFBF" w:themeFill="background1" w:themeFillShade="BF"/>
            <w:vAlign w:val="center"/>
          </w:tcPr>
          <w:p w14:paraId="051C2B31" w14:textId="01E34230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14:paraId="24B19E4A" w14:textId="066ED2DB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D124C28" w14:textId="649BBD80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</w:tr>
      <w:tr w:rsidR="00645EDC" w:rsidRPr="00645EDC" w14:paraId="00163FD8" w14:textId="77777777" w:rsidTr="002634D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77FE68B" w14:textId="77777777" w:rsidR="00EC1E6E" w:rsidRPr="00645EDC" w:rsidRDefault="00EC1E6E" w:rsidP="00EC1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00BC48A1" w14:textId="77777777" w:rsidR="00EC1E6E" w:rsidRPr="00645EDC" w:rsidRDefault="00EC1E6E" w:rsidP="00EC1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C0C0C0"/>
            <w:vAlign w:val="center"/>
          </w:tcPr>
          <w:p w14:paraId="523AEBC7" w14:textId="1063BF14" w:rsidR="00EC1E6E" w:rsidRPr="00645EDC" w:rsidRDefault="003E6CDC" w:rsidP="00E1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7 500</w:t>
            </w:r>
          </w:p>
        </w:tc>
        <w:tc>
          <w:tcPr>
            <w:tcW w:w="1460" w:type="dxa"/>
            <w:shd w:val="clear" w:color="auto" w:fill="C0C0C0"/>
            <w:vAlign w:val="center"/>
          </w:tcPr>
          <w:p w14:paraId="39742057" w14:textId="24B7C958" w:rsidR="00EC1E6E" w:rsidRPr="00645EDC" w:rsidRDefault="003E6CDC" w:rsidP="00CD3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25 000</w:t>
            </w:r>
          </w:p>
        </w:tc>
        <w:tc>
          <w:tcPr>
            <w:tcW w:w="1430" w:type="dxa"/>
            <w:shd w:val="clear" w:color="auto" w:fill="C0C0C0"/>
            <w:vAlign w:val="center"/>
          </w:tcPr>
          <w:p w14:paraId="37096FE4" w14:textId="78838B7F" w:rsidR="00EC1E6E" w:rsidRPr="00645EDC" w:rsidRDefault="003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25 000</w:t>
            </w:r>
          </w:p>
        </w:tc>
      </w:tr>
      <w:tr w:rsidR="00645EDC" w:rsidRPr="00645EDC" w14:paraId="1CDA2BF0" w14:textId="77777777" w:rsidTr="00AB003E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489A94A9" w14:textId="77777777" w:rsidR="00AF2F80" w:rsidRDefault="00AF2F80" w:rsidP="00AF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2634D5"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MS SR</w:t>
            </w:r>
          </w:p>
          <w:p w14:paraId="709BF5EA" w14:textId="06354EF8" w:rsidR="003E6CDC" w:rsidRPr="00645EDC" w:rsidRDefault="003E6CDC" w:rsidP="003E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MF SR - </w:t>
            </w:r>
            <w:r w:rsidRPr="003E6CDC">
              <w:rPr>
                <w:rFonts w:ascii="Times New Roman" w:eastAsia="Times New Roman" w:hAnsi="Times New Roman" w:cs="Times New Roman"/>
                <w:lang w:eastAsia="sk-SK"/>
              </w:rPr>
              <w:t>Všeobecná pokladničná správa</w:t>
            </w:r>
          </w:p>
        </w:tc>
        <w:tc>
          <w:tcPr>
            <w:tcW w:w="1267" w:type="dxa"/>
            <w:noWrap/>
            <w:vAlign w:val="center"/>
          </w:tcPr>
          <w:p w14:paraId="2A3617E8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</w:tcPr>
          <w:p w14:paraId="39B1E3E1" w14:textId="23A2F944" w:rsidR="00FC3E3A" w:rsidRDefault="0050763F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187</w:t>
            </w:r>
            <w:r w:rsidR="003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500</w:t>
            </w:r>
          </w:p>
          <w:p w14:paraId="783FF72B" w14:textId="18FF48CE" w:rsidR="003E6CDC" w:rsidRPr="00645EDC" w:rsidRDefault="003E6CDC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460" w:type="dxa"/>
            <w:noWrap/>
          </w:tcPr>
          <w:p w14:paraId="2B9BF9C0" w14:textId="1A341801" w:rsidR="00FC3E3A" w:rsidRDefault="0050763F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225</w:t>
            </w:r>
            <w:r w:rsidR="003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48FA2F4C" w14:textId="11AE0D79" w:rsidR="003E6CDC" w:rsidRPr="00645EDC" w:rsidRDefault="003E6CDC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430" w:type="dxa"/>
            <w:noWrap/>
          </w:tcPr>
          <w:p w14:paraId="2D1EE3E6" w14:textId="6978898F" w:rsidR="00FC3E3A" w:rsidRDefault="0050763F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225</w:t>
            </w:r>
            <w:r w:rsidR="003E6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000</w:t>
            </w:r>
          </w:p>
          <w:p w14:paraId="40F5480F" w14:textId="75E800DA" w:rsidR="003E6CDC" w:rsidRPr="00645EDC" w:rsidRDefault="003E6CDC" w:rsidP="000D1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300 000</w:t>
            </w:r>
          </w:p>
        </w:tc>
      </w:tr>
      <w:tr w:rsidR="00645EDC" w:rsidRPr="00645EDC" w14:paraId="32F9B8BD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8D44A69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03378F24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noWrap/>
            <w:vAlign w:val="center"/>
          </w:tcPr>
          <w:p w14:paraId="057B084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5BF89DF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noWrap/>
            <w:vAlign w:val="center"/>
          </w:tcPr>
          <w:p w14:paraId="6BD0592B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645EDC" w:rsidRPr="00645EDC" w14:paraId="6C8B08CB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130F6B7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E758BF8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3E87797E" w14:textId="3557EA85" w:rsidR="002634D5" w:rsidRPr="00645EDC" w:rsidRDefault="003E6CDC" w:rsidP="00E1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7 500</w:t>
            </w:r>
          </w:p>
        </w:tc>
        <w:tc>
          <w:tcPr>
            <w:tcW w:w="1460" w:type="dxa"/>
            <w:noWrap/>
            <w:vAlign w:val="center"/>
          </w:tcPr>
          <w:p w14:paraId="6E4CACCA" w14:textId="46ED5BD7" w:rsidR="002634D5" w:rsidRPr="00645EDC" w:rsidRDefault="003E6CDC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25 000</w:t>
            </w:r>
          </w:p>
        </w:tc>
        <w:tc>
          <w:tcPr>
            <w:tcW w:w="1430" w:type="dxa"/>
            <w:noWrap/>
            <w:vAlign w:val="center"/>
          </w:tcPr>
          <w:p w14:paraId="0E8DAF4E" w14:textId="77CAB2D7" w:rsidR="002634D5" w:rsidRPr="00645EDC" w:rsidRDefault="003E6CDC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25 000</w:t>
            </w:r>
          </w:p>
        </w:tc>
      </w:tr>
      <w:tr w:rsidR="00645EDC" w:rsidRPr="00645EDC" w14:paraId="18B3F65E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CDD3C33" w14:textId="77777777" w:rsidR="002634D5" w:rsidRPr="00645EDC" w:rsidRDefault="002634D5" w:rsidP="002634D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3E5B2C1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4AB77E11" w14:textId="7D6C2C0E" w:rsidR="002634D5" w:rsidRPr="00645EDC" w:rsidRDefault="003E6CDC" w:rsidP="00E1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43</w:t>
            </w:r>
            <w:r w:rsidR="005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7 500</w:t>
            </w:r>
          </w:p>
        </w:tc>
        <w:tc>
          <w:tcPr>
            <w:tcW w:w="1460" w:type="dxa"/>
            <w:noWrap/>
            <w:vAlign w:val="center"/>
          </w:tcPr>
          <w:p w14:paraId="7C6C3AD9" w14:textId="0F03E101" w:rsidR="002634D5" w:rsidRPr="00645EDC" w:rsidRDefault="003E6CDC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25 000</w:t>
            </w:r>
          </w:p>
        </w:tc>
        <w:tc>
          <w:tcPr>
            <w:tcW w:w="1430" w:type="dxa"/>
            <w:noWrap/>
            <w:vAlign w:val="center"/>
          </w:tcPr>
          <w:p w14:paraId="5F1A8D84" w14:textId="17F297A3" w:rsidR="002634D5" w:rsidRPr="00645EDC" w:rsidRDefault="003E6CDC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5</w:t>
            </w:r>
            <w:r w:rsidR="0050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25 000</w:t>
            </w:r>
          </w:p>
        </w:tc>
      </w:tr>
      <w:tr w:rsidR="00645EDC" w:rsidRPr="00645EDC" w14:paraId="14766EDC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AFF3FD3" w14:textId="77777777" w:rsidR="002634D5" w:rsidRPr="00645EDC" w:rsidRDefault="002634D5" w:rsidP="002634D5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3D406D06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6BA3642E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6473337" w14:textId="440D9821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2484C496" w14:textId="46A6D546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12C53409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E87A286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5472B5C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4FB4C85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575C5A2" w14:textId="732B5EE3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722BBB81" w14:textId="7860E4BF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16471FD6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69ED99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4CCE67E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63B3366E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D3BFED0" w14:textId="051B43C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31AB5E23" w14:textId="4B5806D0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4425C4C9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419D1448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21FE93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5D41F13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5D09557" w14:textId="68506DB6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6DFDFED3" w14:textId="2079F291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7DD35CBA" w14:textId="77777777" w:rsidTr="002634D5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77FB2EA7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7A39C27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  <w:tc>
          <w:tcPr>
            <w:tcW w:w="2180" w:type="dxa"/>
            <w:shd w:val="clear" w:color="auto" w:fill="C0C0C0"/>
            <w:noWrap/>
            <w:vAlign w:val="center"/>
          </w:tcPr>
          <w:p w14:paraId="14E71F23" w14:textId="76CF4C3F" w:rsidR="002634D5" w:rsidRPr="00645EDC" w:rsidRDefault="00FC3E3A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460" w:type="dxa"/>
            <w:shd w:val="clear" w:color="auto" w:fill="C0C0C0"/>
            <w:noWrap/>
            <w:vAlign w:val="center"/>
          </w:tcPr>
          <w:p w14:paraId="01A24095" w14:textId="6AC71738" w:rsidR="002634D5" w:rsidRPr="00645EDC" w:rsidRDefault="00E42572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489456D1" w14:textId="60F0EB17" w:rsidR="002634D5" w:rsidRPr="00645EDC" w:rsidRDefault="00E42572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</w:tr>
      <w:tr w:rsidR="00645EDC" w:rsidRPr="00645EDC" w14:paraId="039D6186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09937D8" w14:textId="780E86CE" w:rsidR="002634D5" w:rsidRPr="00645EDC" w:rsidRDefault="002634D5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MS SR/08P Financ. </w:t>
            </w:r>
            <w:proofErr w:type="spellStart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</w:t>
            </w:r>
            <w:proofErr w:type="spellEnd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súdnictva</w:t>
            </w:r>
          </w:p>
        </w:tc>
        <w:tc>
          <w:tcPr>
            <w:tcW w:w="1267" w:type="dxa"/>
            <w:noWrap/>
            <w:vAlign w:val="center"/>
          </w:tcPr>
          <w:p w14:paraId="01001F1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CB51249" w14:textId="4CC171A6" w:rsidR="002634D5" w:rsidRPr="00645EDC" w:rsidRDefault="00FC3E3A" w:rsidP="00FC3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460" w:type="dxa"/>
            <w:noWrap/>
            <w:vAlign w:val="center"/>
          </w:tcPr>
          <w:p w14:paraId="498B7A6C" w14:textId="3F901451" w:rsidR="002634D5" w:rsidRPr="00645EDC" w:rsidRDefault="00E42572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430" w:type="dxa"/>
            <w:noWrap/>
            <w:vAlign w:val="center"/>
          </w:tcPr>
          <w:p w14:paraId="06E46904" w14:textId="5455D14A" w:rsidR="002634D5" w:rsidRPr="00645EDC" w:rsidRDefault="00E42572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225 000</w:t>
            </w:r>
          </w:p>
        </w:tc>
      </w:tr>
      <w:tr w:rsidR="00645EDC" w:rsidRPr="00645EDC" w14:paraId="00AA26AA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B30574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39E520B0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noWrap/>
            <w:vAlign w:val="center"/>
          </w:tcPr>
          <w:p w14:paraId="2623C8D8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60" w:type="dxa"/>
            <w:noWrap/>
            <w:vAlign w:val="center"/>
          </w:tcPr>
          <w:p w14:paraId="45DCD631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30" w:type="dxa"/>
            <w:noWrap/>
            <w:vAlign w:val="center"/>
          </w:tcPr>
          <w:p w14:paraId="4411F9D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645EDC" w:rsidRPr="00645EDC" w14:paraId="28F26687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9A09C6" w14:textId="77777777" w:rsidR="00E42572" w:rsidRPr="00645EDC" w:rsidRDefault="00E42572" w:rsidP="00E42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275A562" w14:textId="77777777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16566547" w14:textId="2FF10F6A" w:rsidR="00E42572" w:rsidRPr="00645EDC" w:rsidRDefault="00FC3E3A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187 500</w:t>
            </w:r>
            <w:r w:rsidR="00E42572"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460" w:type="dxa"/>
            <w:noWrap/>
            <w:vAlign w:val="center"/>
          </w:tcPr>
          <w:p w14:paraId="0B780743" w14:textId="00AB1B94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225 000  </w:t>
            </w:r>
          </w:p>
        </w:tc>
        <w:tc>
          <w:tcPr>
            <w:tcW w:w="1430" w:type="dxa"/>
            <w:noWrap/>
            <w:vAlign w:val="center"/>
          </w:tcPr>
          <w:p w14:paraId="16BB427D" w14:textId="352287ED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225 000  </w:t>
            </w:r>
          </w:p>
        </w:tc>
      </w:tr>
      <w:tr w:rsidR="00645EDC" w:rsidRPr="00645EDC" w14:paraId="1F44F965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6541235" w14:textId="77777777" w:rsidR="00E42572" w:rsidRPr="00645EDC" w:rsidRDefault="00E42572" w:rsidP="00E42572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124B768D" w14:textId="77777777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40FC1AE" w14:textId="20C6A74E" w:rsidR="00E42572" w:rsidRPr="00645EDC" w:rsidRDefault="00FC3E3A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187 500</w:t>
            </w:r>
            <w:r w:rsidR="00E42572"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460" w:type="dxa"/>
            <w:noWrap/>
            <w:vAlign w:val="center"/>
          </w:tcPr>
          <w:p w14:paraId="1B8634D6" w14:textId="1FB1ABC1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225 000  </w:t>
            </w:r>
          </w:p>
        </w:tc>
        <w:tc>
          <w:tcPr>
            <w:tcW w:w="1430" w:type="dxa"/>
            <w:noWrap/>
            <w:vAlign w:val="center"/>
          </w:tcPr>
          <w:p w14:paraId="06A5BCB4" w14:textId="5683BC36" w:rsidR="00E42572" w:rsidRPr="00645EDC" w:rsidRDefault="00E42572" w:rsidP="00E4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225 000  </w:t>
            </w:r>
          </w:p>
        </w:tc>
      </w:tr>
      <w:tr w:rsidR="00645EDC" w:rsidRPr="00645EDC" w14:paraId="54B0B6D2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4204D6B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5646BE6A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303B95A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70EAB18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76A93705" w14:textId="1A3BE2AE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0A7E95FF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A6287CF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5100CACB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2670A93C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B19345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20F8F93E" w14:textId="27F540CC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3576CB61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54CFC47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57702D0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21B3C94B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093E1306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2D6C7950" w14:textId="1BCAD966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4AB055C4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9650F7F" w14:textId="77777777" w:rsidR="002634D5" w:rsidRPr="00645EDC" w:rsidRDefault="002634D5" w:rsidP="002634D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25104B03" w14:textId="77777777" w:rsidR="002634D5" w:rsidRPr="00645EDC" w:rsidRDefault="002634D5" w:rsidP="002634D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7D1A7DB0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C54D3B4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D4A898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0F8A60CD" w14:textId="1B3231C8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37E3A11A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9D70A01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79A7C557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344A99E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CFF4A80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58D9D595" w14:textId="49BDBBD9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5823878C" w14:textId="77777777" w:rsidTr="002634D5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2A83278" w14:textId="77777777" w:rsidR="002634D5" w:rsidRPr="00645EDC" w:rsidRDefault="002634D5" w:rsidP="002634D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14:paraId="79A4FF21" w14:textId="77777777" w:rsidR="002634D5" w:rsidRPr="00645EDC" w:rsidRDefault="002634D5" w:rsidP="002634D5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14:paraId="49DC978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2EAD669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D466FB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2237F7A0" w14:textId="334F2029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2CC15F14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613D834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25A34A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9A1FA5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60E1DD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769AD3EF" w14:textId="5358C870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22AF034F" w14:textId="77777777" w:rsidTr="002634D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1169416F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DFFF786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BFBFBF" w:themeFill="background1" w:themeFillShade="BF"/>
            <w:noWrap/>
            <w:vAlign w:val="center"/>
          </w:tcPr>
          <w:p w14:paraId="2FC78C00" w14:textId="42C3AC21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155297F2" w14:textId="67AF4DD2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1C9BDE61" w14:textId="4B49575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68715F61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F1EBFE6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9B497FF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3037E961" w14:textId="57A88D94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6C00FC9C" w14:textId="784C52F5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7CE7ECB9" w14:textId="23178C4C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286B64FF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6064F4E9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C14855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5A4BDCE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B676224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382CC416" w14:textId="6199BA96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6208B50F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B0E5EC8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156F7D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06E12F8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9DAB29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66017C41" w14:textId="1DB6822C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593A9F4E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316EC6D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178BB4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2FB4AC8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414B371E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7D8E5AB4" w14:textId="5EF60CA0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430C73AA" w14:textId="77777777" w:rsidTr="002634D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8FE4D2D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EE38906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BFBFBF" w:themeFill="background1" w:themeFillShade="BF"/>
            <w:noWrap/>
            <w:vAlign w:val="center"/>
          </w:tcPr>
          <w:p w14:paraId="4A0C5E35" w14:textId="596E0CDC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5786E57A" w14:textId="6DF0382C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6D1E6B6F" w14:textId="33A7F189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5F3A07AA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FBE21CA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4C2324D7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7B491981" w14:textId="4CE9F0DB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3E645C0E" w14:textId="45C9E4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2B2C5808" w14:textId="6D4E7A13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0B2F6D39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0450004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021E6B94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6411C33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187BD707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61F4E62E" w14:textId="2B9A352A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723C555B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57DD682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79B18E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54177AC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23CD55B2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175D52C0" w14:textId="67CBE95B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49145E4A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A37A73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0D9D40F5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64D1ACCD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noWrap/>
            <w:vAlign w:val="center"/>
          </w:tcPr>
          <w:p w14:paraId="5ADF1E58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noWrap/>
            <w:vAlign w:val="center"/>
          </w:tcPr>
          <w:p w14:paraId="3C9C090F" w14:textId="47EA1176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4FDE5D79" w14:textId="77777777" w:rsidTr="002634D5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D720E8E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BA536FB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C0C0C0"/>
            <w:noWrap/>
            <w:vAlign w:val="center"/>
          </w:tcPr>
          <w:p w14:paraId="5C3AE30B" w14:textId="3D4621AA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460" w:type="dxa"/>
            <w:shd w:val="clear" w:color="auto" w:fill="C0C0C0"/>
            <w:noWrap/>
            <w:vAlign w:val="center"/>
          </w:tcPr>
          <w:p w14:paraId="5A250F1C" w14:textId="15F4D171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430" w:type="dxa"/>
            <w:shd w:val="clear" w:color="auto" w:fill="C0C0C0"/>
            <w:noWrap/>
            <w:vAlign w:val="center"/>
          </w:tcPr>
          <w:p w14:paraId="5AC19783" w14:textId="29CFC393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</w:tr>
      <w:tr w:rsidR="00645EDC" w:rsidRPr="00645EDC" w14:paraId="5F876781" w14:textId="77777777" w:rsidTr="002634D5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0B4BF7A" w14:textId="65F63FE5" w:rsidR="002634D5" w:rsidRPr="00645EDC" w:rsidRDefault="002634D5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MS SR/08P Financ. </w:t>
            </w:r>
            <w:proofErr w:type="spellStart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</w:t>
            </w:r>
            <w:proofErr w:type="spellEnd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súdnictva</w:t>
            </w:r>
          </w:p>
        </w:tc>
        <w:tc>
          <w:tcPr>
            <w:tcW w:w="1267" w:type="dxa"/>
            <w:noWrap/>
            <w:vAlign w:val="center"/>
          </w:tcPr>
          <w:p w14:paraId="512280F6" w14:textId="2C5E1391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noWrap/>
            <w:vAlign w:val="center"/>
          </w:tcPr>
          <w:p w14:paraId="33BA4ECF" w14:textId="586606E2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460" w:type="dxa"/>
            <w:noWrap/>
            <w:vAlign w:val="center"/>
          </w:tcPr>
          <w:p w14:paraId="0D6E3531" w14:textId="4031EC7E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430" w:type="dxa"/>
            <w:noWrap/>
            <w:vAlign w:val="center"/>
          </w:tcPr>
          <w:p w14:paraId="57FB520B" w14:textId="72C23529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225 000</w:t>
            </w:r>
          </w:p>
        </w:tc>
      </w:tr>
      <w:tr w:rsidR="00645EDC" w:rsidRPr="00645EDC" w14:paraId="344E5B50" w14:textId="77777777" w:rsidTr="002634D5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89AB533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226509A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BFBFBF" w:themeFill="background1" w:themeFillShade="BF"/>
            <w:noWrap/>
            <w:vAlign w:val="center"/>
          </w:tcPr>
          <w:p w14:paraId="62EEED13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BFBFBF" w:themeFill="background1" w:themeFillShade="BF"/>
            <w:noWrap/>
            <w:vAlign w:val="center"/>
          </w:tcPr>
          <w:p w14:paraId="0309D689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shd w:val="clear" w:color="auto" w:fill="BFBFBF" w:themeFill="background1" w:themeFillShade="BF"/>
            <w:noWrap/>
            <w:vAlign w:val="center"/>
          </w:tcPr>
          <w:p w14:paraId="2B77F713" w14:textId="7454738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45EDC" w:rsidRPr="00645EDC" w14:paraId="67541FF8" w14:textId="77777777" w:rsidTr="00AB003E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3D11DA83" w14:textId="77777777" w:rsidR="002634D5" w:rsidRPr="00645EDC" w:rsidRDefault="002634D5" w:rsidP="0026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Rozpočtovo nekrytý vplyv / 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  <w:t>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70F8B43F" w14:textId="77777777" w:rsidR="002634D5" w:rsidRPr="00645EDC" w:rsidRDefault="002634D5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180" w:type="dxa"/>
            <w:shd w:val="clear" w:color="auto" w:fill="A6A6A6" w:themeFill="background1" w:themeFillShade="A6"/>
            <w:noWrap/>
          </w:tcPr>
          <w:p w14:paraId="1027BADE" w14:textId="003261B1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60" w:type="dxa"/>
            <w:shd w:val="clear" w:color="auto" w:fill="A6A6A6" w:themeFill="background1" w:themeFillShade="A6"/>
            <w:noWrap/>
          </w:tcPr>
          <w:p w14:paraId="5F38925D" w14:textId="763756E7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30" w:type="dxa"/>
            <w:shd w:val="clear" w:color="auto" w:fill="A6A6A6" w:themeFill="background1" w:themeFillShade="A6"/>
            <w:noWrap/>
          </w:tcPr>
          <w:p w14:paraId="1853F113" w14:textId="47CA909A" w:rsidR="002634D5" w:rsidRPr="00645EDC" w:rsidRDefault="000D1AA1" w:rsidP="00263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14:paraId="33F7DCE1" w14:textId="686F09D8" w:rsidR="00FC3E3A" w:rsidRDefault="00FC3E3A" w:rsidP="00585E67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0A200606" w14:textId="2720E4D7" w:rsidR="00585E67" w:rsidRPr="00645EDC" w:rsidRDefault="00585E67" w:rsidP="00585E67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1/B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275"/>
        <w:gridCol w:w="1276"/>
        <w:gridCol w:w="1276"/>
        <w:gridCol w:w="1276"/>
      </w:tblGrid>
      <w:tr w:rsidR="002F74FE" w:rsidRPr="00645EDC" w14:paraId="2B7F6B21" w14:textId="77777777" w:rsidTr="002F74FE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93D333" w14:textId="77777777" w:rsidR="00585E67" w:rsidRPr="00645EDC" w:rsidRDefault="00585E67" w:rsidP="0046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19F5CA" w14:textId="1703A6E1" w:rsidR="00585E67" w:rsidRPr="00645EDC" w:rsidRDefault="00585E67" w:rsidP="004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F70AF2" w14:textId="6F359CC6" w:rsidR="00585E67" w:rsidRPr="00645EDC" w:rsidRDefault="00585E67" w:rsidP="004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6BA11B" w14:textId="4AC632C2" w:rsidR="00585E67" w:rsidRPr="00645EDC" w:rsidRDefault="00585E67" w:rsidP="004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1075AD" w14:textId="3716A366" w:rsidR="00585E67" w:rsidRPr="00645EDC" w:rsidRDefault="00585E67" w:rsidP="004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</w:tr>
      <w:tr w:rsidR="000D1AA1" w:rsidRPr="00645EDC" w14:paraId="3D47117E" w14:textId="77777777" w:rsidTr="002F74F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3D9F70" w14:textId="0B3472E3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Vplyvy na limit verejných výdavkov verejnej správy celkom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C59" w14:textId="7777777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51F3" w14:textId="11BC8F54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2EB" w14:textId="4A5D234C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31B0" w14:textId="7E689FEA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0D1AA1" w:rsidRPr="00645EDC" w14:paraId="258521A9" w14:textId="77777777" w:rsidTr="002F74F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76DF78" w14:textId="6896720B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 tom: MS SR/08P Financ. </w:t>
            </w:r>
            <w:proofErr w:type="spellStart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</w:t>
            </w:r>
            <w:proofErr w:type="spellEnd"/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súdnictva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07B" w14:textId="7777777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27B" w14:textId="08D78270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3601" w14:textId="5155F5E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EBA" w14:textId="39B62EAD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0D1AA1" w:rsidRPr="00645EDC" w14:paraId="5AE6A83A" w14:textId="77777777" w:rsidTr="002F74F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F690CEF" w14:textId="77777777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408" w14:textId="09F8FC03" w:rsidR="000D1AA1" w:rsidRPr="00645EDC" w:rsidRDefault="000D1AA1" w:rsidP="0000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6CF" w14:textId="2FE8ACA6" w:rsidR="000D1AA1" w:rsidRPr="00645EDC" w:rsidRDefault="000D1AA1" w:rsidP="0000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4F70" w14:textId="0C342091" w:rsidR="000D1AA1" w:rsidRPr="00645EDC" w:rsidRDefault="000D1AA1" w:rsidP="0000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462A" w14:textId="46D2205C" w:rsidR="000D1AA1" w:rsidRPr="00645EDC" w:rsidRDefault="000D1AA1" w:rsidP="0000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D1AA1" w:rsidRPr="00645EDC" w14:paraId="50B4613E" w14:textId="77777777" w:rsidTr="002F74F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DD09348" w14:textId="77777777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25AC" w14:textId="7777777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C45" w14:textId="34E736D4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B32B" w14:textId="1601B2BF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2C3" w14:textId="113396C8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0D1AA1" w:rsidRPr="00645EDC" w14:paraId="1514E386" w14:textId="77777777" w:rsidTr="002F74F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30371D9" w14:textId="77777777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6202" w14:textId="7777777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7D7" w14:textId="1D89AE67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706" w14:textId="73EFDB5D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4BCD" w14:textId="539226E8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 w:rsidR="000D1AA1" w:rsidRPr="00645EDC" w14:paraId="782EDE97" w14:textId="77777777" w:rsidTr="002F74FE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D693C4F" w14:textId="77777777" w:rsidR="000D1AA1" w:rsidRPr="00645EDC" w:rsidRDefault="000D1AA1" w:rsidP="000D1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781F" w14:textId="5EC6300B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F36F" w14:textId="494E0303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CFAD" w14:textId="73FEC716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FE54" w14:textId="6B889F75" w:rsidR="000D1AA1" w:rsidRPr="00645EDC" w:rsidRDefault="000D1AA1" w:rsidP="000D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14:paraId="215B6488" w14:textId="7B6DF42C" w:rsidR="007D5748" w:rsidRPr="00645EDC" w:rsidRDefault="007D5748" w:rsidP="009A10C8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27D41457" w14:textId="2320EF2E" w:rsidR="00817A17" w:rsidRPr="002F74FE" w:rsidRDefault="000D1AA1" w:rsidP="00AB0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Financovanie návrhu je s ohľadom na jeho účel zabezpečené v rámci </w:t>
      </w:r>
      <w:r w:rsidR="002F74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záväzných ukazov</w:t>
      </w:r>
      <w:r w:rsidR="00E15DB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2F74F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teľov návrhu rozpočtu kapitoly Ministerstvo spravodlivosti Slovenskej republiky.</w:t>
      </w:r>
    </w:p>
    <w:p w14:paraId="1AFBF968" w14:textId="77777777" w:rsidR="008E5DAB" w:rsidRPr="00645EDC" w:rsidRDefault="008E5DAB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1D165D" w14:textId="487DBE5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0CEFAF93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2F604F" w14:textId="77777777" w:rsidR="007D5748" w:rsidRPr="00645ED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510090A3" w14:textId="093C5739" w:rsidR="00FC2F98" w:rsidRPr="00645EDC" w:rsidRDefault="00FC2F98" w:rsidP="009A10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zákona č. 3</w:t>
      </w:r>
      <w:r w:rsidR="000D1AA1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>/2005 Z. z. o</w:t>
      </w:r>
      <w:r w:rsidR="005A41F1"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poskytovaní právnej pomoci osobám v materiálnej núdzi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o zmene a doplnení zákona č. </w:t>
      </w:r>
      <w:hyperlink r:id="rId9" w:tooltip="Odkaz na predpis alebo ustanovenie" w:history="1">
        <w:r w:rsidRPr="00645EDC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586/2003 Z. z.</w:t>
        </w:r>
      </w:hyperlink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o advokácii a o zmene a doplnení zákona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č. 455/1991 Zb. o živnostenskom podnikaní (živnostenský zákon) v</w:t>
      </w:r>
      <w:r w:rsidR="005A41F1"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znení neskorších predpisov v znení zákona č. 8/2005 Z. z. – zvýšenie hranice </w:t>
      </w:r>
      <w:r w:rsidRPr="00645EDC">
        <w:rPr>
          <w:rFonts w:ascii="Times New Roman" w:hAnsi="Times New Roman" w:cs="Times New Roman"/>
          <w:sz w:val="24"/>
          <w:szCs w:val="24"/>
        </w:rPr>
        <w:t xml:space="preserve">materiálnej núdze pre priznanie nároku </w:t>
      </w:r>
      <w:r w:rsidR="003A1399" w:rsidRPr="00645EDC">
        <w:rPr>
          <w:rFonts w:ascii="Times New Roman" w:hAnsi="Times New Roman" w:cs="Times New Roman"/>
          <w:sz w:val="24"/>
          <w:szCs w:val="24"/>
        </w:rPr>
        <w:br/>
      </w:r>
      <w:r w:rsidRPr="00645EDC">
        <w:rPr>
          <w:rFonts w:ascii="Times New Roman" w:hAnsi="Times New Roman" w:cs="Times New Roman"/>
          <w:sz w:val="24"/>
          <w:szCs w:val="24"/>
        </w:rPr>
        <w:t>na poskytnutie právnej pomoci, čo bude mať za následok priblíženie bezplatnej právnej pomoci pre väčší objem ľudí, ktorí si v súčasnosti nemôžu dovoliť právnu pomoc.</w:t>
      </w:r>
      <w:r w:rsidR="003E6CDC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9A10C8">
        <w:rPr>
          <w:rFonts w:ascii="Times New Roman" w:hAnsi="Times New Roman" w:cs="Times New Roman"/>
          <w:sz w:val="24"/>
          <w:szCs w:val="24"/>
        </w:rPr>
        <w:t>doplnenie</w:t>
      </w:r>
      <w:r w:rsidR="003E6CDC">
        <w:rPr>
          <w:rFonts w:ascii="Times New Roman" w:hAnsi="Times New Roman" w:cs="Times New Roman"/>
          <w:sz w:val="24"/>
          <w:szCs w:val="24"/>
        </w:rPr>
        <w:t xml:space="preserve"> zákona č. 145/1995 Z. z. </w:t>
      </w:r>
      <w:r w:rsidR="009A10C8">
        <w:rPr>
          <w:rFonts w:ascii="Times New Roman" w:hAnsi="Times New Roman" w:cs="Times New Roman"/>
          <w:sz w:val="24"/>
          <w:szCs w:val="24"/>
        </w:rPr>
        <w:t>o správnych poplatkoch.</w:t>
      </w:r>
    </w:p>
    <w:p w14:paraId="74775F29" w14:textId="77777777" w:rsidR="00FC2F98" w:rsidRPr="00645EDC" w:rsidRDefault="00FC2F98" w:rsidP="009A10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bude implementovať Ministerstvo spravodlivosti Slovenskej republiky.</w:t>
      </w:r>
    </w:p>
    <w:p w14:paraId="228A954B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8E1937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1B6A2AF3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E6931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645E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516707E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48E656A2" w14:textId="77777777" w:rsidR="007D5748" w:rsidRPr="00645EDC" w:rsidRDefault="000907D6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47A76"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D5748"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7965BEB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547A76"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6E5122C1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39AF44E5" w14:textId="4A0A2E3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91B38C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67A1EF54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6751D1" w14:textId="77777777" w:rsidR="007D5748" w:rsidRPr="00645ED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78BA92C4" w14:textId="77777777" w:rsidR="007D5748" w:rsidRPr="00645ED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B14AD5" w:rsidRPr="00645EDC" w14:paraId="0AE406F4" w14:textId="77777777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289D7339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3B5A1BA9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B14AD5" w:rsidRPr="00645EDC" w14:paraId="14CAC032" w14:textId="77777777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68EB68F9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270A5A" w14:textId="77777777" w:rsidR="007D5748" w:rsidRPr="00645EDC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C4D5C5" w14:textId="77777777" w:rsidR="007D5748" w:rsidRPr="00645EDC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49AD73" w14:textId="77777777" w:rsidR="007D5748" w:rsidRPr="00645EDC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D8FE82B" w14:textId="77777777" w:rsidR="007D5748" w:rsidRPr="00645EDC" w:rsidRDefault="0002286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</w:tr>
      <w:tr w:rsidR="00B14AD5" w:rsidRPr="00645EDC" w14:paraId="771D6AFA" w14:textId="77777777" w:rsidTr="002B63FD">
        <w:trPr>
          <w:trHeight w:val="70"/>
        </w:trPr>
        <w:tc>
          <w:tcPr>
            <w:tcW w:w="4530" w:type="dxa"/>
          </w:tcPr>
          <w:p w14:paraId="413BFA55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34FF6340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48F55F5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9E16B53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7DF2864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645EDC" w14:paraId="180B3C2D" w14:textId="77777777" w:rsidTr="002B63FD">
        <w:trPr>
          <w:trHeight w:val="70"/>
        </w:trPr>
        <w:tc>
          <w:tcPr>
            <w:tcW w:w="4530" w:type="dxa"/>
          </w:tcPr>
          <w:p w14:paraId="3E9DF32E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4C86F703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0BF1CFB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EC7C2CA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0088B819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645EDC" w14:paraId="12FB4D56" w14:textId="77777777" w:rsidTr="002B63FD">
        <w:trPr>
          <w:trHeight w:val="70"/>
        </w:trPr>
        <w:tc>
          <w:tcPr>
            <w:tcW w:w="4530" w:type="dxa"/>
          </w:tcPr>
          <w:p w14:paraId="02103A75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439F4AA5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0FF7D9D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482C4C7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7C3F0D7" w14:textId="77777777" w:rsidR="007D5748" w:rsidRPr="00645ED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769A3A7" w14:textId="77777777" w:rsidR="009A10C8" w:rsidRDefault="009A10C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8603426" w14:textId="7B66F248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2.2.4. Výpočty vplyvov na verejné financie</w:t>
      </w:r>
    </w:p>
    <w:p w14:paraId="0DBD635C" w14:textId="77777777" w:rsidR="00F2317E" w:rsidRPr="00645EDC" w:rsidRDefault="00F2317E" w:rsidP="0009720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59973D3" w14:textId="676DA54B" w:rsidR="00186922" w:rsidRPr="00645EDC" w:rsidRDefault="00FC2F98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Uvedený návrh bude mať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negatívny vplyv na rozpočet kapitoly Ministerstvo spravodlivosti Slovenskej republiky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rozpočtovú org</w:t>
      </w:r>
      <w:r w:rsidR="0018692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anizáciu Centrum právnej pomoci 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(ďalej len „CPP“)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súvislosti so zvýšením</w:t>
      </w:r>
      <w:r w:rsidR="0018692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hranice materiálnej núdze pre priznanie nároku na poskytnutie právnej pomoci.</w:t>
      </w:r>
      <w:r w:rsidR="000972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8692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Zvýšenie hranice materiálnej núdze nebolo menené od roku 2012, čo spôsobilo výrazné prehĺbenie rozdielu medzi hranicou materi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álnej núdze a</w:t>
      </w:r>
      <w:r w:rsidR="008F2EE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minimálnou mzdou.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Následkom je skutočnosť, že mnohé skupiny nízkopríjmových obyvateľov už nespadajú do hraníc materiálnej núdze nastavených zákonom a</w:t>
      </w:r>
      <w:r w:rsidR="00B06A33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CPP ich žiadosti posudzuje cez inštitút tzv. osobitného zreteľa, čo je administratívne náročnejšie. Zvýšením koeficientu sa rozšíri právna pomoc na nízkopríjmové skupiny obyvateľstva, ktoré by aktuálne nespln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ili podmienku materiálnej núdze.</w:t>
      </w:r>
    </w:p>
    <w:p w14:paraId="3E34F092" w14:textId="55BAECCE" w:rsidR="00FC2F98" w:rsidRPr="00645EDC" w:rsidRDefault="00186922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Koeficient sa zvyšuje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takto. H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ranica materiálnej núdze pre priznanie nároku na poskytnutie právnej pomoci sa zvýši z 1,4 násobku životného minima na 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1,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8 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násob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životného minima 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br/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hranica materiálnej núdze pre priznanie nároku na poskytnutie právnej pomoci s finančnou účasťou sa zvýši z 1,6 násobku 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životného minima 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na 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2,1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násobok životného minima.</w:t>
      </w:r>
      <w:r w:rsidR="00F2317E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Osoby presahujúce sumu 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8F2EE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</w:t>
      </w:r>
      <w:r w:rsidR="00FC2F9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násobku životného minima budú mať možnosť získať právnu pomoc cez inštitút tzv. osobitného zreteľa</w:t>
      </w:r>
      <w:r w:rsidR="009F7EA6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ktorý je upravený v §</w:t>
      </w:r>
      <w:r w:rsidR="004B4636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72A00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6b ods. 2 zákona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2B2CD99D" w14:textId="2A9B1A81" w:rsidR="00392D92" w:rsidRPr="00645EDC" w:rsidRDefault="00F2317E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5A41F1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tejto súvislosti sa očakáva podľa interných analýz, pri zohľadnení skutočnosti, že časť ľudí sa rozhodlo riešiť svoje spory cez agendu osobného bankrotu (aj túto agendu zabezpečuje </w:t>
      </w:r>
      <w:r w:rsidR="00BE298B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CPP),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navýšenie počtu žiadostí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/rozhodnutí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5A41F1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poskytnutí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právnej pomoci</w:t>
      </w:r>
      <w:r w:rsidR="00BE298B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</w:t>
      </w:r>
      <w:r w:rsidR="005A41F1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E298B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cca </w:t>
      </w:r>
      <w:r w:rsidR="00890A4A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750</w:t>
      </w:r>
      <w:r w:rsidR="009F7EA6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BE298B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prípadov.</w:t>
      </w:r>
      <w:r w:rsidR="00A03605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</w:t>
      </w:r>
      <w:r w:rsidR="00A75514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>zhľadom na charakter poskytovaných služieb</w:t>
      </w:r>
      <w:r w:rsidR="00392D92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392D92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>t.j</w:t>
      </w:r>
      <w:proofErr w:type="spellEnd"/>
      <w:r w:rsidR="001F52A5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>.</w:t>
      </w:r>
      <w:r w:rsidR="00392D92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právne služby, ktoré ovplyvňujú rôzne nepredvídateľné faktory nie je možné exaktne určiť, aké bude navýšenie počtu prípadov</w:t>
      </w:r>
      <w:r w:rsidR="00A03605" w:rsidRPr="00645ED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. </w:t>
      </w:r>
      <w:r w:rsidR="00392D9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Pri internej analýze sa vychádzalo z</w:t>
      </w:r>
      <w:r w:rsidR="00A03605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92D9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počtu  rozhodnutí 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CPP</w:t>
      </w:r>
      <w:r w:rsidR="00392D9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ktorými žiadateľom nebola priznaná právna pomoc a  rozhodnutí 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CPP</w:t>
      </w:r>
      <w:r w:rsidR="00392D9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ktorými bola právn</w:t>
      </w:r>
      <w:r w:rsidR="00F76CB3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pomoc žiadateľom odňatá.</w:t>
      </w:r>
    </w:p>
    <w:p w14:paraId="72FE37BF" w14:textId="75F1B557" w:rsidR="00AF2F80" w:rsidRPr="00645EDC" w:rsidRDefault="00097200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Pri </w:t>
      </w:r>
      <w:r w:rsidR="00FC722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priemernej výške priznanej odmeny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(posledné roky) v</w:t>
      </w:r>
      <w:r w:rsidR="001F52A5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sume </w:t>
      </w:r>
      <w:r w:rsidR="008A709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cca 300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eur </w:t>
      </w:r>
      <w:r w:rsidR="00FC722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za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jedno </w:t>
      </w:r>
      <w:r w:rsidR="00FC722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právne zastúpenie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– vydané rozhodnutie</w:t>
      </w:r>
      <w:r w:rsidR="00FC722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predstavuje navýšenie výdavkov </w:t>
      </w:r>
      <w:r w:rsidR="00414E46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celkom 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sumu </w:t>
      </w:r>
      <w:r w:rsidR="00890A4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225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8A7099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000</w:t>
      </w:r>
      <w:r w:rsidR="008F768A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eur</w:t>
      </w:r>
      <w:r w:rsidR="00414E46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ročne</w:t>
      </w:r>
      <w:r w:rsidR="00AF2F80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.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Táto suma je s ohľadom na účel návrhu zabezpečená v rámci záväzných ukazovateľov kapitoly</w:t>
      </w:r>
      <w:r w:rsidR="0000248D" w:rsidRPr="00002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00248D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Ministerstvo spravodlivosti Slovenskej republiky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.</w:t>
      </w:r>
    </w:p>
    <w:p w14:paraId="56F97203" w14:textId="373C77D0" w:rsidR="00820328" w:rsidRPr="00645EDC" w:rsidRDefault="00E77BC2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Negatívny dopad na rozpočet 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môže mať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budúcnosti 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aj rozvoj </w:t>
      </w:r>
      <w:r w:rsidR="00820328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Informačn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ého</w:t>
      </w:r>
      <w:r w:rsidR="00820328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systém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u</w:t>
      </w:r>
      <w:r w:rsidR="00820328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Centra právnej pomoci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ktorý bol obstarný z prostriedkov EÚ a jeho prevádzka je zabezpečená v rámci </w:t>
      </w:r>
      <w:r w:rsid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limitov výdavkov kapitoly</w:t>
      </w:r>
      <w:r w:rsidR="00B1250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avšak </w:t>
      </w:r>
      <w:r w:rsidR="00B12508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tieto výdavky</w:t>
      </w:r>
      <w:r w:rsidR="00F6062C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môžu/</w:t>
      </w:r>
      <w:r w:rsidR="00B12508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nemusia byť realizované</w:t>
      </w:r>
      <w:r w:rsidR="00B1250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preto ich v rámci kvantifikácie výdavkov na najbližšie tri roky neuvádzame.</w:t>
      </w:r>
    </w:p>
    <w:p w14:paraId="2D63F42F" w14:textId="0F22963D" w:rsidR="00E42572" w:rsidRDefault="00E77BC2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Predložený návrh bude mať 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aj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pozitívny vplyv na rozpočet kapitoly Ministerstvo spravodlivosti Slovenskej republiky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rozpočtovú organizáciu CPP v</w:t>
      </w:r>
      <w:r w:rsidR="008F2EE8"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oblasti príjmov štátneho rozpočtu v súvislosti so zvýšením poplatku za predbežnú konzultáciu zo sumy 4,50 eur na sumu 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a v súvislosti so zavedením poplatku za predbežnú konzultáciu vo veci osobného bankrotu v sume </w:t>
      </w:r>
      <w:r w:rsidR="0000248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6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eur. 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Podľa počtu žiadostí o predbežnú konzultáciu vrátane agendy osobného bankrotu predložených CPP 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je odhadované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="003B24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plnenie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príjmov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v celkovej výške cca </w:t>
      </w:r>
      <w:r w:rsidR="005076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225 000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eur</w:t>
      </w:r>
      <w:r w:rsidR="00EB7FCD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ročne</w:t>
      </w:r>
      <w:r w:rsidR="00E42572" w:rsidRPr="00645E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.</w:t>
      </w:r>
    </w:p>
    <w:p w14:paraId="777C27C0" w14:textId="08E99661" w:rsidR="009A10C8" w:rsidRDefault="009A10C8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Zároveň bude mať predložený návrh </w:t>
      </w:r>
      <w:r w:rsidRPr="00212A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pozitívny vplyv aj na príjmy kapitoly Všeobecná pokladničná správa</w:t>
      </w:r>
      <w:r w:rsidRPr="00FC3E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súvislosti so zavedením správneho poplatku za žiadosť o poskytnutie právnej pomoci v konaní o oddlžení vo výške 50 eur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kde odhadujeme pri cca 6 000 žiadateľoch neoslobodených od poplatku </w:t>
      </w:r>
      <w:r w:rsidRPr="00FC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ročný príjem vo výške 300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Pr="00FC3E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000 eur</w:t>
      </w: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5186FDDA" w14:textId="028313EF" w:rsidR="008E5DAB" w:rsidRPr="00645EDC" w:rsidRDefault="00BA457B" w:rsidP="009A10C8">
      <w:pPr>
        <w:tabs>
          <w:tab w:val="num" w:pos="108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 rok 2025 je výška vplyvov upravená s ohľadom na účinnosť navrhovanej zmeny 1.3.2025</w:t>
      </w:r>
      <w:r w:rsidR="00FC3E3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55494D54" w14:textId="1434FB5C" w:rsidR="00DF4BAF" w:rsidRPr="00645EDC" w:rsidRDefault="00DF4BAF" w:rsidP="00E77BC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09AD07A" w14:textId="77777777" w:rsidR="007D5748" w:rsidRPr="00645ED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645EDC" w:rsidSect="002B63F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65CADF49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tbl>
      <w:tblPr>
        <w:tblpPr w:leftFromText="141" w:rightFromText="141" w:vertAnchor="page" w:horzAnchor="margin" w:tblpY="498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E6CDC" w:rsidRPr="00645EDC" w14:paraId="2EF6BE0C" w14:textId="77777777" w:rsidTr="009A10C8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4DEF8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 MF SR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A95B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55DEA69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E6CDC" w:rsidRPr="00645EDC" w14:paraId="15442E0B" w14:textId="77777777" w:rsidTr="009A10C8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AE99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67EE0F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4A46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C4771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195524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314C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E6CDC" w:rsidRPr="00645EDC" w14:paraId="05A67043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204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223B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D182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B7EE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19E7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B70E2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47F60DA4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BDE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FFF6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B51D0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836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2DBD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B4FED" w14:textId="77777777" w:rsidR="003E6CDC" w:rsidRPr="00E54FD9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54FD9">
              <w:rPr>
                <w:rFonts w:ascii="Times New Roman" w:eastAsia="Times New Roman" w:hAnsi="Times New Roman" w:cs="Times New Roman"/>
                <w:lang w:eastAsia="sk-SK"/>
              </w:rPr>
              <w:t>Všeobecná pokladničná správa</w:t>
            </w:r>
          </w:p>
        </w:tc>
      </w:tr>
      <w:tr w:rsidR="003E6CDC" w:rsidRPr="00645EDC" w14:paraId="31A7E87A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E8D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ED61F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475E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AE66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634F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A8E4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628EBA93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C43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DBF4F3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50C101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091C14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870781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AA58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1EF66A14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39E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98428D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B3DE003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C77CD3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0C8B2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37BF0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4FBD334C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03B1C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F883B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164D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E6346B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75BC12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BCD828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865D05D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E6CDC" w:rsidRPr="00645EDC" w14:paraId="3B39B955" w14:textId="77777777" w:rsidTr="009A10C8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F74CE2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 MS SR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4D76C7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CD2BA1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E6CDC" w:rsidRPr="00645EDC" w14:paraId="65353F7E" w14:textId="77777777" w:rsidTr="009A10C8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58A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4C49CB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7E8B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73A2E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FA2B2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520A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3E6CDC" w:rsidRPr="00645EDC" w14:paraId="404C88D2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A56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4ED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0AAF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2E7C4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1E59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31580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530FDD29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867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- 223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438A4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8A4D" w14:textId="0BC5C485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7196" w14:textId="5DC46EEA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4826" w14:textId="63764788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D9AFE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5D85A3B5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5466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6931E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69301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7489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B08B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A993D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20E9DE43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BD4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92357E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1AF7D2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A1ECFB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0D5425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C5B0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2F7DE92C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46A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19198F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F68818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CFF861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787E26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C5AA2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E6CDC" w:rsidRPr="00645EDC" w14:paraId="363A7A03" w14:textId="77777777" w:rsidTr="009A10C8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6FB41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19DEA" w14:textId="7777777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407C7" w14:textId="3346CA28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B3B1B" w14:textId="736763E2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573E2B" w14:textId="37302427" w:rsidR="003E6CDC" w:rsidRPr="00645EDC" w:rsidRDefault="003E6CDC" w:rsidP="009A1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225 000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F8DCC7" w14:textId="77777777" w:rsidR="003E6CDC" w:rsidRPr="00645EDC" w:rsidRDefault="003E6CDC" w:rsidP="009A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C679602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14:paraId="2CF2D186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14:paraId="7A5CD2D3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14:paraId="5610DDFD" w14:textId="77777777" w:rsidR="003E6CDC" w:rsidRPr="00645EDC" w:rsidRDefault="003E6CDC" w:rsidP="003E6CD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14:paraId="60211E22" w14:textId="77777777" w:rsidR="003E6CDC" w:rsidRPr="00645EDC" w:rsidRDefault="003E6CDC" w:rsidP="003E6CDC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4D49275" w14:textId="77777777" w:rsidR="007D5748" w:rsidRPr="00645ED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50B9CE" w14:textId="6FF53C23" w:rsidR="00FA2FFF" w:rsidRPr="00645EDC" w:rsidRDefault="00FA2FFF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E11078C" w14:textId="4C8FC521" w:rsidR="00FA2FFF" w:rsidRDefault="00FA2FFF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BD6D70B" w14:textId="2428FBBF" w:rsidR="007D5748" w:rsidRPr="00E15DBA" w:rsidRDefault="007D5748" w:rsidP="00E15DBA">
      <w:pPr>
        <w:tabs>
          <w:tab w:val="num" w:pos="1080"/>
        </w:tabs>
        <w:spacing w:after="0" w:line="240" w:lineRule="auto"/>
        <w:ind w:left="10764" w:firstLine="19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E15DB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>Tabuľka č. 4</w:t>
      </w:r>
      <w:r w:rsidR="00392598" w:rsidRPr="00E15DB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/A</w:t>
      </w:r>
    </w:p>
    <w:tbl>
      <w:tblPr>
        <w:tblpPr w:leftFromText="141" w:rightFromText="141" w:vertAnchor="text" w:horzAnchor="page" w:tblpXSpec="center" w:tblpY="2"/>
        <w:tblW w:w="141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3"/>
        <w:gridCol w:w="1357"/>
        <w:gridCol w:w="1566"/>
        <w:gridCol w:w="1462"/>
        <w:gridCol w:w="1464"/>
        <w:gridCol w:w="1565"/>
      </w:tblGrid>
      <w:tr w:rsidR="00B14AD5" w:rsidRPr="00645EDC" w14:paraId="6B4E97F4" w14:textId="77777777" w:rsidTr="0023310D">
        <w:trPr>
          <w:cantSplit/>
          <w:trHeight w:val="253"/>
          <w:jc w:val="center"/>
        </w:trPr>
        <w:tc>
          <w:tcPr>
            <w:tcW w:w="6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04BAAE" w14:textId="77777777" w:rsidR="007D5748" w:rsidRPr="00645EDC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7A7E73" w14:textId="77777777" w:rsidR="007D5748" w:rsidRPr="00645EDC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51E86F" w14:textId="77777777" w:rsidR="007D5748" w:rsidRPr="00645EDC" w:rsidRDefault="007D5748" w:rsidP="0081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645EDC" w14:paraId="46CEB238" w14:textId="77777777" w:rsidTr="00EC6518">
        <w:trPr>
          <w:cantSplit/>
          <w:trHeight w:val="253"/>
          <w:jc w:val="center"/>
        </w:trPr>
        <w:tc>
          <w:tcPr>
            <w:tcW w:w="6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85D3B" w14:textId="77777777" w:rsidR="007D5748" w:rsidRPr="00645EDC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8D885C" w14:textId="4AEF9D67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B508CB" w14:textId="2C288925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EFF48" w14:textId="4D044E7C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343517" w14:textId="3C8EE1E6" w:rsidR="007D5748" w:rsidRPr="00645EDC" w:rsidRDefault="00817A17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7537" w14:textId="77777777" w:rsidR="007D5748" w:rsidRPr="00645EDC" w:rsidRDefault="007D5748" w:rsidP="00817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1E63D1" w:rsidRPr="00645EDC" w14:paraId="4F51AFD0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620" w14:textId="7777777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CCB2" w14:textId="77777777" w:rsidR="001E63D1" w:rsidRPr="00E15DBA" w:rsidRDefault="001E63D1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7C71" w14:textId="29E3599A" w:rsidR="001E63D1" w:rsidRPr="00E15DBA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187 500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D93D" w14:textId="1A947025" w:rsidR="001E63D1" w:rsidRPr="00E15DBA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2B900" w14:textId="2BE33334" w:rsidR="001E63D1" w:rsidRPr="00E15DBA" w:rsidRDefault="001E63D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15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0058C" w14:textId="7777777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278932B6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43E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3A4A8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9B78" w14:textId="5B5D1418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2DA7" w14:textId="1CD8CBD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91818" w14:textId="4410B8E5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DFB93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6B3ECC89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7B5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D18F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1685" w14:textId="5091EF19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AF4D" w14:textId="098E7DFB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405A5" w14:textId="3A83CF3D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981A1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E63D1" w:rsidRPr="00645EDC" w14:paraId="00860430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5CF" w14:textId="7777777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511B9" w14:textId="77777777" w:rsidR="001E63D1" w:rsidRPr="00645EDC" w:rsidRDefault="001E63D1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B2C9" w14:textId="321CDB36" w:rsidR="001E63D1" w:rsidRPr="00645EDC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187 500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94ED" w14:textId="3B7835B1" w:rsidR="001E63D1" w:rsidRPr="00645EDC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5FBA6" w14:textId="34E339D4" w:rsidR="001E63D1" w:rsidRPr="00645EDC" w:rsidRDefault="001E63D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3E7F2" w14:textId="7777777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63806B0A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DAD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AE15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61E82" w14:textId="3C270AD0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D05F0" w14:textId="40D6A168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C88B" w14:textId="04FAF671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F35D2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2CA10C67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4FD9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45EDC">
              <w:t xml:space="preserve"> 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2347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46C4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C9D3A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8939B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3A3D5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D4173" w:rsidRPr="00645EDC" w14:paraId="1A340D64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615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1453B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9947E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2781E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08A4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34B13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0664E49F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87F9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42B5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6FF21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8BF9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BA62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EFCCB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2F858474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850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E9E1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1708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73E3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9293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1D357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FD4173" w:rsidRPr="00645EDC" w14:paraId="7BB7ACE8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36F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F15321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EEF9C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0AE640" w14:textId="77777777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2FF007" w14:textId="46DB10FD" w:rsidR="00FD4173" w:rsidRPr="00645EDC" w:rsidRDefault="00FD4173" w:rsidP="00FD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82106" w14:textId="77777777" w:rsidR="00FD4173" w:rsidRPr="00645EDC" w:rsidRDefault="00FD4173" w:rsidP="00F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E63D1" w:rsidRPr="00645EDC" w14:paraId="41134241" w14:textId="77777777" w:rsidTr="00EC6518">
        <w:trPr>
          <w:trHeight w:val="253"/>
          <w:jc w:val="center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1364B" w14:textId="7A9F2B4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3CB862" w14:textId="77777777" w:rsidR="001E63D1" w:rsidRPr="00645EDC" w:rsidRDefault="001E63D1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A58FA" w14:textId="4D9146C5" w:rsidR="001E63D1" w:rsidRPr="00645EDC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187 500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B42C57" w14:textId="1C560579" w:rsidR="001E63D1" w:rsidRPr="00645EDC" w:rsidRDefault="00E54FD9" w:rsidP="001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15BDF4" w14:textId="4363AA20" w:rsidR="001E63D1" w:rsidRPr="00645EDC" w:rsidRDefault="00E54FD9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225 000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2503E5" w14:textId="77777777" w:rsidR="001E63D1" w:rsidRPr="00645EDC" w:rsidRDefault="001E63D1" w:rsidP="001E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3A91FF1" w14:textId="77777777" w:rsidR="007D5748" w:rsidRPr="00645ED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14:paraId="5FF6BA18" w14:textId="5D1F0CCB" w:rsidR="001A0273" w:rsidRPr="00645EDC" w:rsidRDefault="00E15DBA" w:rsidP="001A0273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1A0273" w:rsidRPr="00645ED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Tabuľka č. 4/B</w:t>
      </w:r>
    </w:p>
    <w:tbl>
      <w:tblPr>
        <w:tblpPr w:leftFromText="141" w:rightFromText="141" w:vertAnchor="text" w:horzAnchor="page" w:tblpX="1333" w:tblpY="2"/>
        <w:tblW w:w="141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6"/>
        <w:gridCol w:w="1430"/>
        <w:gridCol w:w="1650"/>
        <w:gridCol w:w="1540"/>
        <w:gridCol w:w="1540"/>
        <w:gridCol w:w="1649"/>
      </w:tblGrid>
      <w:tr w:rsidR="00E54FD9" w:rsidRPr="00645EDC" w14:paraId="291046F8" w14:textId="77777777" w:rsidTr="00E15DBA">
        <w:trPr>
          <w:cantSplit/>
          <w:trHeight w:val="255"/>
        </w:trPr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C5AC2" w14:textId="77777777" w:rsidR="001A0273" w:rsidRPr="00645EDC" w:rsidRDefault="001A0273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Vplyvy (v metodike ESA 2010)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29D57" w14:textId="77777777" w:rsidR="001A0273" w:rsidRPr="00645EDC" w:rsidRDefault="001A0273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8AFCC8" w14:textId="77777777" w:rsidR="001A0273" w:rsidRPr="00645EDC" w:rsidRDefault="001A0273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E54FD9" w:rsidRPr="00645EDC" w14:paraId="2A9AEFFC" w14:textId="77777777" w:rsidTr="00E15DBA">
        <w:trPr>
          <w:cantSplit/>
          <w:trHeight w:val="255"/>
        </w:trPr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F686B" w14:textId="77777777" w:rsidR="001A0273" w:rsidRPr="00645EDC" w:rsidRDefault="001A0273" w:rsidP="00E1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5B6EC" w14:textId="05B1D6DB" w:rsidR="001A0273" w:rsidRPr="00645EDC" w:rsidRDefault="00467C25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D764DC" w14:textId="6E8018AF" w:rsidR="001A0273" w:rsidRPr="00645EDC" w:rsidRDefault="00467C25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451FB1" w14:textId="02F0FE91" w:rsidR="001A0273" w:rsidRPr="00645EDC" w:rsidRDefault="00467C25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DA5FC" w14:textId="1BE157B2" w:rsidR="001A0273" w:rsidRPr="00E54FD9" w:rsidRDefault="00467C25" w:rsidP="00E1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54F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8D6" w14:textId="77777777" w:rsidR="001A0273" w:rsidRPr="00645EDC" w:rsidRDefault="001A0273" w:rsidP="00E15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04A21" w:rsidRPr="00645EDC" w14:paraId="3E60B765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303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9F31D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5BC7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BCA2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566F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2DA61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4A21" w:rsidRPr="00645EDC" w14:paraId="48FDB2FB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6C9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1AF60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ABC0" w14:textId="22861873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AF3A" w14:textId="4E82CA52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D3309" w14:textId="3E2DBCF2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E0D9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490A8596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255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FB6FA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7554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0EF8F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304D5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D4EF3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11DD68D5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602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5E64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D6A0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B017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0E7D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7AABA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7F220674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CE3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7626F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7FA71" w14:textId="0D64AE13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8AC7" w14:textId="0A98906C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EA4E" w14:textId="7BB65345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88F65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4A934D4E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E94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7924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5112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BDBC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B6DA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EC187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57D13CCD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8D72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645EDC">
              <w:t xml:space="preserve"> 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3F54D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6F3A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5DF43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2C2FD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F3FDA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04A21" w:rsidRPr="00645EDC" w14:paraId="7463CAE6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D91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3608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586C7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07124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1452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56801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2C2EE69C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FE8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05EA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CBA7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CA38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8642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697E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5493D749" w14:textId="77777777" w:rsidTr="00E15DBA">
        <w:trPr>
          <w:trHeight w:val="255"/>
        </w:trPr>
        <w:tc>
          <w:tcPr>
            <w:tcW w:w="6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E70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645E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C844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C0C7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7799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F23C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9D6D8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B04A21" w:rsidRPr="00645EDC" w14:paraId="531B2704" w14:textId="77777777" w:rsidTr="00E15DBA">
        <w:trPr>
          <w:trHeight w:val="255"/>
        </w:trPr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6FBE9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B052A" w14:textId="77777777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20F32" w14:textId="6ADD7FF5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7DE394" w14:textId="21F7E58B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08CB1" w14:textId="159BFB5D" w:rsidR="00B04A21" w:rsidRPr="00645EDC" w:rsidRDefault="00B04A21" w:rsidP="00B0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27239AA" w14:textId="77777777" w:rsidR="00B04A21" w:rsidRPr="00645EDC" w:rsidRDefault="00B04A21" w:rsidP="00B0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3B4B2BF" w14:textId="0A7E9BF9" w:rsidR="001A0273" w:rsidRPr="00645EDC" w:rsidRDefault="00E15DBA" w:rsidP="00E15DBA">
      <w:pPr>
        <w:tabs>
          <w:tab w:val="num" w:pos="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1A0273" w:rsidRPr="00645ED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podpoložiek platnej ekonomickej klasifikácie</w:t>
      </w:r>
    </w:p>
    <w:p w14:paraId="1491726C" w14:textId="427398A8" w:rsidR="001A0273" w:rsidRPr="00645EDC" w:rsidRDefault="00E15DBA" w:rsidP="00E15DBA">
      <w:pPr>
        <w:tabs>
          <w:tab w:val="num" w:pos="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ab/>
      </w:r>
      <w:r w:rsidR="001A0273" w:rsidRPr="00645ED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</w:t>
      </w:r>
      <w:r w:rsidR="001A0273" w:rsidRPr="00645ED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14:paraId="7FAE2B78" w14:textId="282CE523" w:rsidR="007D5748" w:rsidRPr="00645EDC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5 </w:t>
      </w:r>
    </w:p>
    <w:p w14:paraId="57C69E64" w14:textId="77777777" w:rsidR="007D5748" w:rsidRPr="00645ED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1687"/>
        <w:gridCol w:w="1777"/>
        <w:gridCol w:w="717"/>
        <w:gridCol w:w="1151"/>
        <w:gridCol w:w="1551"/>
        <w:gridCol w:w="1323"/>
        <w:gridCol w:w="507"/>
      </w:tblGrid>
      <w:tr w:rsidR="00B14AD5" w:rsidRPr="00645EDC" w14:paraId="52BB34E6" w14:textId="77777777" w:rsidTr="00EC6518">
        <w:trPr>
          <w:cantSplit/>
          <w:trHeight w:val="257"/>
          <w:jc w:val="center"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B74FA5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76DAC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B7155B" w14:textId="77777777" w:rsidR="007D5748" w:rsidRPr="00645ED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14AD5" w:rsidRPr="00645EDC" w14:paraId="319C4ADF" w14:textId="77777777" w:rsidTr="00EC6518">
        <w:trPr>
          <w:cantSplit/>
          <w:trHeight w:val="257"/>
          <w:jc w:val="center"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94A85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CD0E4" w14:textId="25656145" w:rsidR="007D5748" w:rsidRPr="00645EDC" w:rsidRDefault="0032417E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6AF58" w14:textId="49AB9082" w:rsidR="007D5748" w:rsidRPr="00645EDC" w:rsidRDefault="0032417E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187D4" w14:textId="6124A7A7" w:rsidR="007D5748" w:rsidRPr="00645EDC" w:rsidRDefault="0032417E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84A715" w14:textId="4455B8EE" w:rsidR="007D5748" w:rsidRPr="00645EDC" w:rsidRDefault="0032417E" w:rsidP="00B0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B06A33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AAD05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C6518" w:rsidRPr="00645EDC" w14:paraId="3DA3BF05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D60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F6D6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C5D37" w14:textId="7D857EB9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0C8EB" w14:textId="3E487A38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8B338" w14:textId="11748614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468028A3" w14:textId="61102460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6518" w:rsidRPr="00645EDC" w14:paraId="7B2AEE15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96F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F044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2B7C" w14:textId="435053F0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AF22B" w14:textId="7BB0E89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FEFC" w14:textId="4CD7D0DB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FFAFF90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6518" w:rsidRPr="00645EDC" w14:paraId="69680467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35D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E3AD0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2A35" w14:textId="0E743FE6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1BA2" w14:textId="1CC401F8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BCA4D" w14:textId="268C4F6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98CCB82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6518" w:rsidRPr="00645EDC" w14:paraId="175EE4E0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CE0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F6813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86D8E" w14:textId="6FCEE0C1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B375" w14:textId="6E91511C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654C" w14:textId="57E188E5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EEDA1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6518" w:rsidRPr="00645EDC" w14:paraId="5E034D03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7F1F5F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3499D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8BFE86" w14:textId="024D9E6C" w:rsidR="00EC6518" w:rsidRPr="00645EDC" w:rsidRDefault="00F2595E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B0497F" w14:textId="76C357EB" w:rsidR="00EC6518" w:rsidRPr="00645EDC" w:rsidRDefault="00F2595E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07FD9" w14:textId="3F10C58A" w:rsidR="00EC6518" w:rsidRPr="00645EDC" w:rsidRDefault="00F2595E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35AB8F" w14:textId="01771096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C6518" w:rsidRPr="00645EDC" w14:paraId="7EDF946D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18B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1917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E47CC" w14:textId="4FC3E89D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518AE" w14:textId="29BFA9A0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8E32" w14:textId="38DB3538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BFCD7" w14:textId="4C9573DE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C6518" w:rsidRPr="00645EDC" w14:paraId="0AA54A02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F02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B1D7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7772" w14:textId="1C8AF34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314C" w14:textId="19A3A64A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C0520" w14:textId="362F20E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D98A2" w14:textId="490E045A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6518" w:rsidRPr="00645EDC" w14:paraId="712F2C85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953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CA46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D752" w14:textId="39C9C0A5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C20F5" w14:textId="0BF04C84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92B5F" w14:textId="1CB41DE0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1C995" w14:textId="44EADD83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C6518" w:rsidRPr="00645EDC" w14:paraId="1E8C3641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0E3" w14:textId="77777777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16FE" w14:textId="77777777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0901" w14:textId="0140BAD8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596E" w14:textId="2B4C9230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1CAB9" w14:textId="33910B3D" w:rsidR="00EC6518" w:rsidRPr="00645EDC" w:rsidRDefault="00EC6518" w:rsidP="00EC6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AD50D" w14:textId="5E68F34B" w:rsidR="00EC6518" w:rsidRPr="00645EDC" w:rsidRDefault="00EC6518" w:rsidP="00EC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645EDC" w14:paraId="789F751D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0A2FFD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DF9E42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6F6EF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C0810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E3476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F8D60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645EDC" w14:paraId="57276CD8" w14:textId="77777777" w:rsidTr="00EC6518">
        <w:trPr>
          <w:trHeight w:val="257"/>
          <w:jc w:val="center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185CC031" w14:textId="77777777" w:rsidR="007D5748" w:rsidRPr="00645EDC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64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5C595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9BE4B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622EE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6DC93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8E49F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645EDC" w14:paraId="70F10A36" w14:textId="77777777" w:rsidTr="0023310D">
        <w:trPr>
          <w:trHeight w:val="257"/>
          <w:jc w:val="center"/>
        </w:trPr>
        <w:tc>
          <w:tcPr>
            <w:tcW w:w="130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1E878671" w14:textId="77777777" w:rsidR="007D5748" w:rsidRPr="00645EDC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503D6D13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E4B71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4AD5" w:rsidRPr="00645EDC" w14:paraId="76F21D75" w14:textId="77777777" w:rsidTr="00EC6518">
        <w:trPr>
          <w:trHeight w:val="257"/>
          <w:jc w:val="center"/>
        </w:trPr>
        <w:tc>
          <w:tcPr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1A37D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45E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9E594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91935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8FA2B" w14:textId="77777777" w:rsidR="007D5748" w:rsidRPr="00645ED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4161098A" w14:textId="77777777" w:rsidR="007D5748" w:rsidRPr="00645ED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80BA6B" w14:textId="04D96117" w:rsidR="00F46F8D" w:rsidRDefault="00F46F8D" w:rsidP="009D1D4D">
      <w:pPr>
        <w:spacing w:after="0" w:line="240" w:lineRule="auto"/>
      </w:pPr>
    </w:p>
    <w:p w14:paraId="226E5CD7" w14:textId="77777777" w:rsidR="00E54FD9" w:rsidRPr="00645EDC" w:rsidRDefault="00E54FD9" w:rsidP="009D1D4D">
      <w:pPr>
        <w:spacing w:after="0" w:line="240" w:lineRule="auto"/>
      </w:pPr>
    </w:p>
    <w:p w14:paraId="7A54F5A3" w14:textId="77777777" w:rsidR="00F46F8D" w:rsidRPr="00645EDC" w:rsidRDefault="00F46F8D" w:rsidP="009D1D4D">
      <w:pPr>
        <w:spacing w:after="0" w:line="240" w:lineRule="auto"/>
      </w:pPr>
    </w:p>
    <w:p w14:paraId="7C25A9D0" w14:textId="77777777" w:rsidR="009D1D4D" w:rsidRPr="00645EDC" w:rsidRDefault="009D1D4D" w:rsidP="009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BF083A7" w14:textId="77777777" w:rsidR="009D1D4D" w:rsidRPr="00645EDC" w:rsidRDefault="009D1D4D" w:rsidP="009D1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5E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14:paraId="64F77781" w14:textId="77777777" w:rsidR="009D1D4D" w:rsidRPr="00645EDC" w:rsidRDefault="009D1D4D" w:rsidP="009D1D4D">
      <w:pPr>
        <w:spacing w:after="0" w:line="240" w:lineRule="auto"/>
      </w:pPr>
    </w:p>
    <w:p w14:paraId="04B087E7" w14:textId="77777777" w:rsidR="002B63FD" w:rsidRPr="00645EDC" w:rsidRDefault="009D1D4D" w:rsidP="00817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45EDC">
        <w:rPr>
          <w:rFonts w:ascii="Times New Roman" w:hAnsi="Times New Roman"/>
          <w:sz w:val="24"/>
          <w:szCs w:val="24"/>
          <w:lang w:eastAsia="sk-SK"/>
        </w:rPr>
        <w:t>Vzhľadom k tomu, že návrh nemá vplyv na dlhodobú udržateľnosť verejných financií, tabuľku č. 6 osobitne nevypĺňame.</w:t>
      </w:r>
    </w:p>
    <w:p w14:paraId="035A5BF3" w14:textId="77777777" w:rsidR="002B63FD" w:rsidRPr="00645ED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2B63FD" w:rsidRPr="00645EDC" w:rsidSect="003241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D912" w14:textId="77777777" w:rsidR="005661D6" w:rsidRDefault="005661D6">
      <w:pPr>
        <w:spacing w:after="0" w:line="240" w:lineRule="auto"/>
      </w:pPr>
      <w:r>
        <w:separator/>
      </w:r>
    </w:p>
  </w:endnote>
  <w:endnote w:type="continuationSeparator" w:id="0">
    <w:p w14:paraId="22214F60" w14:textId="77777777" w:rsidR="005661D6" w:rsidRDefault="0056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188B" w14:textId="77777777" w:rsidR="009A10C8" w:rsidRDefault="009A10C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74C55E17" w14:textId="77777777" w:rsidR="009A10C8" w:rsidRDefault="009A10C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E46C" w14:textId="160679B6" w:rsidR="009A10C8" w:rsidRDefault="009A10C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903E2">
      <w:rPr>
        <w:noProof/>
      </w:rPr>
      <w:t>6</w:t>
    </w:r>
    <w:r>
      <w:fldChar w:fldCharType="end"/>
    </w:r>
  </w:p>
  <w:p w14:paraId="4C12F4FA" w14:textId="77777777" w:rsidR="009A10C8" w:rsidRDefault="009A10C8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9CEEC" w14:textId="77777777" w:rsidR="009A10C8" w:rsidRDefault="009A10C8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7283F2BF" w14:textId="77777777" w:rsidR="009A10C8" w:rsidRDefault="009A10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AB7D" w14:textId="77777777" w:rsidR="005661D6" w:rsidRDefault="005661D6">
      <w:pPr>
        <w:spacing w:after="0" w:line="240" w:lineRule="auto"/>
      </w:pPr>
      <w:r>
        <w:separator/>
      </w:r>
    </w:p>
  </w:footnote>
  <w:footnote w:type="continuationSeparator" w:id="0">
    <w:p w14:paraId="433E3AB4" w14:textId="77777777" w:rsidR="005661D6" w:rsidRDefault="0056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75F7" w14:textId="77777777" w:rsidR="009A10C8" w:rsidRDefault="009A10C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4C03859B" w14:textId="77777777" w:rsidR="009A10C8" w:rsidRPr="00EB59C8" w:rsidRDefault="009A10C8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61AEA" w14:textId="77777777" w:rsidR="009A10C8" w:rsidRPr="000A15AE" w:rsidRDefault="009A10C8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17A"/>
    <w:multiLevelType w:val="hybridMultilevel"/>
    <w:tmpl w:val="6262E786"/>
    <w:lvl w:ilvl="0" w:tplc="B988380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6FE7"/>
    <w:multiLevelType w:val="hybridMultilevel"/>
    <w:tmpl w:val="7778A604"/>
    <w:lvl w:ilvl="0" w:tplc="8B6AD7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C6D4D"/>
    <w:multiLevelType w:val="hybridMultilevel"/>
    <w:tmpl w:val="E3AE09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BD2C02"/>
    <w:multiLevelType w:val="hybridMultilevel"/>
    <w:tmpl w:val="ABA46308"/>
    <w:lvl w:ilvl="0" w:tplc="B988380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248D"/>
    <w:rsid w:val="00022865"/>
    <w:rsid w:val="00030D4C"/>
    <w:rsid w:val="00035EB6"/>
    <w:rsid w:val="00057135"/>
    <w:rsid w:val="00071D97"/>
    <w:rsid w:val="000907D6"/>
    <w:rsid w:val="00097200"/>
    <w:rsid w:val="000B509B"/>
    <w:rsid w:val="000C2ECC"/>
    <w:rsid w:val="000D1AA1"/>
    <w:rsid w:val="000D26ED"/>
    <w:rsid w:val="000F00DA"/>
    <w:rsid w:val="00111752"/>
    <w:rsid w:val="001127A8"/>
    <w:rsid w:val="001141C4"/>
    <w:rsid w:val="001538FD"/>
    <w:rsid w:val="00167F3F"/>
    <w:rsid w:val="00170D2B"/>
    <w:rsid w:val="00176FF3"/>
    <w:rsid w:val="00186922"/>
    <w:rsid w:val="00194D99"/>
    <w:rsid w:val="00197B03"/>
    <w:rsid w:val="001A0273"/>
    <w:rsid w:val="001A73FF"/>
    <w:rsid w:val="001B3420"/>
    <w:rsid w:val="001B4333"/>
    <w:rsid w:val="001C508D"/>
    <w:rsid w:val="001E381F"/>
    <w:rsid w:val="001E434A"/>
    <w:rsid w:val="001E63D1"/>
    <w:rsid w:val="001E6449"/>
    <w:rsid w:val="001F0FF4"/>
    <w:rsid w:val="001F52A5"/>
    <w:rsid w:val="00200898"/>
    <w:rsid w:val="00212894"/>
    <w:rsid w:val="00212AC9"/>
    <w:rsid w:val="00214CFC"/>
    <w:rsid w:val="0023310D"/>
    <w:rsid w:val="00243FD4"/>
    <w:rsid w:val="00250F3A"/>
    <w:rsid w:val="00262420"/>
    <w:rsid w:val="002634D5"/>
    <w:rsid w:val="00263A70"/>
    <w:rsid w:val="00282373"/>
    <w:rsid w:val="002A6E02"/>
    <w:rsid w:val="002B5AD4"/>
    <w:rsid w:val="002B5C65"/>
    <w:rsid w:val="002B63FD"/>
    <w:rsid w:val="002D6769"/>
    <w:rsid w:val="002E4A8B"/>
    <w:rsid w:val="002E504B"/>
    <w:rsid w:val="002F74FE"/>
    <w:rsid w:val="00302321"/>
    <w:rsid w:val="00317B90"/>
    <w:rsid w:val="0032417E"/>
    <w:rsid w:val="0032670F"/>
    <w:rsid w:val="00332A91"/>
    <w:rsid w:val="003354C1"/>
    <w:rsid w:val="003424F9"/>
    <w:rsid w:val="00372A00"/>
    <w:rsid w:val="00374BFE"/>
    <w:rsid w:val="0038658F"/>
    <w:rsid w:val="00392598"/>
    <w:rsid w:val="00392D92"/>
    <w:rsid w:val="003A1399"/>
    <w:rsid w:val="003A5EF4"/>
    <w:rsid w:val="003B2442"/>
    <w:rsid w:val="003B7684"/>
    <w:rsid w:val="003C5496"/>
    <w:rsid w:val="003E389E"/>
    <w:rsid w:val="003E6CDC"/>
    <w:rsid w:val="003F2523"/>
    <w:rsid w:val="003F586F"/>
    <w:rsid w:val="00414E46"/>
    <w:rsid w:val="00421142"/>
    <w:rsid w:val="00430247"/>
    <w:rsid w:val="00436DD4"/>
    <w:rsid w:val="00467C25"/>
    <w:rsid w:val="00474F11"/>
    <w:rsid w:val="00487203"/>
    <w:rsid w:val="004A0A27"/>
    <w:rsid w:val="004B0BE4"/>
    <w:rsid w:val="004B4636"/>
    <w:rsid w:val="004C1A46"/>
    <w:rsid w:val="004E5E76"/>
    <w:rsid w:val="004E7F1C"/>
    <w:rsid w:val="004F0459"/>
    <w:rsid w:val="004F11C4"/>
    <w:rsid w:val="005005EC"/>
    <w:rsid w:val="0050763F"/>
    <w:rsid w:val="00507826"/>
    <w:rsid w:val="00527868"/>
    <w:rsid w:val="005302BA"/>
    <w:rsid w:val="005307FC"/>
    <w:rsid w:val="00533E46"/>
    <w:rsid w:val="00547A76"/>
    <w:rsid w:val="00562A98"/>
    <w:rsid w:val="005661D6"/>
    <w:rsid w:val="00566BA0"/>
    <w:rsid w:val="00567F9D"/>
    <w:rsid w:val="00570D08"/>
    <w:rsid w:val="00572B2D"/>
    <w:rsid w:val="00585E67"/>
    <w:rsid w:val="005A41F1"/>
    <w:rsid w:val="005A6954"/>
    <w:rsid w:val="005B1CEC"/>
    <w:rsid w:val="005B4205"/>
    <w:rsid w:val="005C56E6"/>
    <w:rsid w:val="005D6B24"/>
    <w:rsid w:val="005E3699"/>
    <w:rsid w:val="005F222F"/>
    <w:rsid w:val="006345FC"/>
    <w:rsid w:val="00641977"/>
    <w:rsid w:val="00645EDC"/>
    <w:rsid w:val="00653E38"/>
    <w:rsid w:val="00655CDE"/>
    <w:rsid w:val="006709B5"/>
    <w:rsid w:val="00673EC8"/>
    <w:rsid w:val="006810B4"/>
    <w:rsid w:val="00692F72"/>
    <w:rsid w:val="00693E5F"/>
    <w:rsid w:val="006A1B03"/>
    <w:rsid w:val="006A2947"/>
    <w:rsid w:val="006C498E"/>
    <w:rsid w:val="006C667D"/>
    <w:rsid w:val="006E538F"/>
    <w:rsid w:val="006E63DC"/>
    <w:rsid w:val="006E6552"/>
    <w:rsid w:val="006F408E"/>
    <w:rsid w:val="00700936"/>
    <w:rsid w:val="00704767"/>
    <w:rsid w:val="007132A5"/>
    <w:rsid w:val="007246BD"/>
    <w:rsid w:val="00727689"/>
    <w:rsid w:val="0077530D"/>
    <w:rsid w:val="007804B3"/>
    <w:rsid w:val="007873B9"/>
    <w:rsid w:val="007C3335"/>
    <w:rsid w:val="007D2BE4"/>
    <w:rsid w:val="007D5748"/>
    <w:rsid w:val="00817A17"/>
    <w:rsid w:val="00820328"/>
    <w:rsid w:val="008205B7"/>
    <w:rsid w:val="00833042"/>
    <w:rsid w:val="00843B6B"/>
    <w:rsid w:val="00847A3D"/>
    <w:rsid w:val="00852005"/>
    <w:rsid w:val="00852379"/>
    <w:rsid w:val="008709EC"/>
    <w:rsid w:val="00871331"/>
    <w:rsid w:val="00877F35"/>
    <w:rsid w:val="00890A4A"/>
    <w:rsid w:val="00893B76"/>
    <w:rsid w:val="008A1067"/>
    <w:rsid w:val="008A48E2"/>
    <w:rsid w:val="008A7099"/>
    <w:rsid w:val="008C7EBC"/>
    <w:rsid w:val="008D339D"/>
    <w:rsid w:val="008D33AE"/>
    <w:rsid w:val="008E2736"/>
    <w:rsid w:val="008E5DAB"/>
    <w:rsid w:val="008F1177"/>
    <w:rsid w:val="008F2EE8"/>
    <w:rsid w:val="008F521A"/>
    <w:rsid w:val="008F5987"/>
    <w:rsid w:val="008F768A"/>
    <w:rsid w:val="00924948"/>
    <w:rsid w:val="00935CB1"/>
    <w:rsid w:val="009427D7"/>
    <w:rsid w:val="00943733"/>
    <w:rsid w:val="00950759"/>
    <w:rsid w:val="009706B7"/>
    <w:rsid w:val="0097106B"/>
    <w:rsid w:val="009855BF"/>
    <w:rsid w:val="009A10C8"/>
    <w:rsid w:val="009A7872"/>
    <w:rsid w:val="009C0E79"/>
    <w:rsid w:val="009C51EF"/>
    <w:rsid w:val="009D1D4D"/>
    <w:rsid w:val="009D29E9"/>
    <w:rsid w:val="009E4087"/>
    <w:rsid w:val="009F31E9"/>
    <w:rsid w:val="009F7EA6"/>
    <w:rsid w:val="00A020A6"/>
    <w:rsid w:val="00A03605"/>
    <w:rsid w:val="00A15F1F"/>
    <w:rsid w:val="00A27121"/>
    <w:rsid w:val="00A36736"/>
    <w:rsid w:val="00A43CA6"/>
    <w:rsid w:val="00A4560E"/>
    <w:rsid w:val="00A61131"/>
    <w:rsid w:val="00A73CD7"/>
    <w:rsid w:val="00A73F50"/>
    <w:rsid w:val="00A75514"/>
    <w:rsid w:val="00A936FE"/>
    <w:rsid w:val="00AB003E"/>
    <w:rsid w:val="00AB5919"/>
    <w:rsid w:val="00AD22A3"/>
    <w:rsid w:val="00AE6F7F"/>
    <w:rsid w:val="00AF1A8B"/>
    <w:rsid w:val="00AF2F80"/>
    <w:rsid w:val="00B04A21"/>
    <w:rsid w:val="00B06A33"/>
    <w:rsid w:val="00B12508"/>
    <w:rsid w:val="00B14AD5"/>
    <w:rsid w:val="00B15B33"/>
    <w:rsid w:val="00B22B39"/>
    <w:rsid w:val="00B3174E"/>
    <w:rsid w:val="00B43D32"/>
    <w:rsid w:val="00B46EDA"/>
    <w:rsid w:val="00B504DD"/>
    <w:rsid w:val="00B50AEF"/>
    <w:rsid w:val="00B5185B"/>
    <w:rsid w:val="00B549CD"/>
    <w:rsid w:val="00B54ACB"/>
    <w:rsid w:val="00B5535C"/>
    <w:rsid w:val="00B55919"/>
    <w:rsid w:val="00B72E80"/>
    <w:rsid w:val="00B77FCC"/>
    <w:rsid w:val="00BA282F"/>
    <w:rsid w:val="00BA457B"/>
    <w:rsid w:val="00BA4633"/>
    <w:rsid w:val="00BA789C"/>
    <w:rsid w:val="00BB72AA"/>
    <w:rsid w:val="00BB747E"/>
    <w:rsid w:val="00BB79CC"/>
    <w:rsid w:val="00BC06A2"/>
    <w:rsid w:val="00BD67B2"/>
    <w:rsid w:val="00BD7576"/>
    <w:rsid w:val="00BE1191"/>
    <w:rsid w:val="00BE298B"/>
    <w:rsid w:val="00C0729C"/>
    <w:rsid w:val="00C15212"/>
    <w:rsid w:val="00C304C2"/>
    <w:rsid w:val="00C3429D"/>
    <w:rsid w:val="00C51FD4"/>
    <w:rsid w:val="00C52662"/>
    <w:rsid w:val="00C653D7"/>
    <w:rsid w:val="00CB3623"/>
    <w:rsid w:val="00CD39D7"/>
    <w:rsid w:val="00CE299A"/>
    <w:rsid w:val="00CE40C2"/>
    <w:rsid w:val="00D12E33"/>
    <w:rsid w:val="00D200BE"/>
    <w:rsid w:val="00D253AF"/>
    <w:rsid w:val="00D5286D"/>
    <w:rsid w:val="00D9171A"/>
    <w:rsid w:val="00D922E5"/>
    <w:rsid w:val="00DA79EE"/>
    <w:rsid w:val="00DE53D6"/>
    <w:rsid w:val="00DE5BF1"/>
    <w:rsid w:val="00DF27AD"/>
    <w:rsid w:val="00DF4BAF"/>
    <w:rsid w:val="00E01E4A"/>
    <w:rsid w:val="00E07CE9"/>
    <w:rsid w:val="00E13A9D"/>
    <w:rsid w:val="00E15DBA"/>
    <w:rsid w:val="00E161E5"/>
    <w:rsid w:val="00E215A6"/>
    <w:rsid w:val="00E2173D"/>
    <w:rsid w:val="00E219A8"/>
    <w:rsid w:val="00E41A06"/>
    <w:rsid w:val="00E42572"/>
    <w:rsid w:val="00E4770B"/>
    <w:rsid w:val="00E54FD9"/>
    <w:rsid w:val="00E65246"/>
    <w:rsid w:val="00E77BC2"/>
    <w:rsid w:val="00E8764F"/>
    <w:rsid w:val="00E963A3"/>
    <w:rsid w:val="00EA1E90"/>
    <w:rsid w:val="00EB7FCD"/>
    <w:rsid w:val="00EC0E8C"/>
    <w:rsid w:val="00EC1E6E"/>
    <w:rsid w:val="00EC6518"/>
    <w:rsid w:val="00EE28EB"/>
    <w:rsid w:val="00F10B8F"/>
    <w:rsid w:val="00F2317E"/>
    <w:rsid w:val="00F2595E"/>
    <w:rsid w:val="00F25DA4"/>
    <w:rsid w:val="00F348E6"/>
    <w:rsid w:val="00F35B64"/>
    <w:rsid w:val="00F36695"/>
    <w:rsid w:val="00F40136"/>
    <w:rsid w:val="00F46F8D"/>
    <w:rsid w:val="00F6062C"/>
    <w:rsid w:val="00F76CB3"/>
    <w:rsid w:val="00F903E2"/>
    <w:rsid w:val="00F91CE9"/>
    <w:rsid w:val="00F95C1C"/>
    <w:rsid w:val="00FA2FFF"/>
    <w:rsid w:val="00FB07F4"/>
    <w:rsid w:val="00FB3DF4"/>
    <w:rsid w:val="00FB4A4A"/>
    <w:rsid w:val="00FC2F98"/>
    <w:rsid w:val="00FC3E3A"/>
    <w:rsid w:val="00FC7229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5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65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qFormat/>
    <w:rsid w:val="008F521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52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52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521A"/>
    <w:rPr>
      <w:vertAlign w:val="superscript"/>
    </w:rPr>
  </w:style>
  <w:style w:type="paragraph" w:styleId="Odsekzoznamu">
    <w:name w:val="List Paragraph"/>
    <w:basedOn w:val="Normlny"/>
    <w:uiPriority w:val="34"/>
    <w:qFormat/>
    <w:rsid w:val="008F521A"/>
    <w:pPr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FC2F98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F7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F7E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F7E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7E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7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3/586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6.2.-analyza_rozpočet-(CPP)"/>
    <f:field ref="objsubject" par="" edit="true" text=""/>
    <f:field ref="objcreatedby" par="" text="Lanáková, Viera"/>
    <f:field ref="objcreatedat" par="" text="21.8.2024 14:10:19"/>
    <f:field ref="objchangedby" par="" text="Administrator, System"/>
    <f:field ref="objmodifiedat" par="" text="21.8.2024 14:10:1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13EF9D4-DEB9-419D-B6E9-89A23FA2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2024-10-30T08:23:00Z</dcterms:created>
  <dcterms:modified xsi:type="dcterms:W3CDTF">2024-10-30T13:42:00Z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Viera Lanáková</vt:lpwstr>
  </property>
  <property fmtid="{D5CDD505-2E9C-101B-9397-08002B2CF9AE}" pid="12" name="FSC#SKEDITIONSLOVLEX@103.510:zodppredkladatel">
    <vt:lpwstr>Boris Susko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327/2005 Z. z. o poskytovaní právnej pomoci osobám v materiálnej núdzi a o zmene a doplnení zákona č. 586/2003 Z. z. o advokácii a o zmene a doplnení zákona č. 455/1991 Zb. o živnostenskom podnikaní (živnostenský zákon)</vt:lpwstr>
  </property>
  <property fmtid="{D5CDD505-2E9C-101B-9397-08002B2CF9AE}" pid="15" name="FSC#SKEDITIONSLOVLEX@103.510:nazovpredpis1">
    <vt:lpwstr> v znení neskorších predpisov v znení zákona č. 8/2005 Z. z. v znení neskorších predpisov a ktorým sa menia a dopĺňajú niektoré zákony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2024_x000d_
</vt:lpwstr>
  </property>
  <property fmtid="{D5CDD505-2E9C-101B-9397-08002B2CF9AE}" pid="23" name="FSC#SKEDITIONSLOVLEX@103.510:plnynazovpredpis">
    <vt:lpwstr> Zákon, ktorým sa mení a dopĺňa zákon č. 327/2005 Z. z. o poskytovaní právnej pomoci osobám v materiálnej núdzi a o zmene a doplnení zákona č. 586/2003 Z. z. o advokácii a o zmene a doplnení zákona č. 455/1991 Zb. o živnostenskom podnikaní (živnostenský z</vt:lpwstr>
  </property>
  <property fmtid="{D5CDD505-2E9C-101B-9397-08002B2CF9AE}" pid="24" name="FSC#SKEDITIONSLOVLEX@103.510:plnynazovpredpis1">
    <vt:lpwstr>ákon) v znení neskorších predpisov v znení zákona č. 8/2005 Z. z. v znení neskorších predpisov a ktorým sa menia a dopĺňajú niektoré zákony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S-MSSR-008722/2024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LP/2024/428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78 a 81 Zmluvy o fungovaní Európskej únie.</vt:lpwstr>
  </property>
  <property fmtid="{D5CDD505-2E9C-101B-9397-08002B2CF9AE}" pid="47" name="FSC#SKEDITIONSLOVLEX@103.510:AttrStrListDocPropSekundarneLegPravoPO">
    <vt:lpwstr>Nariadenie Rady (ES) 4/2009 z 18. decembra 2008 o právomoci, rozhodnom práve, uznávaní a výkone rozhodnutí a o spolupráci vo veciach vyživovacej povinnosti (Ú. v. EÚ L 7, 10. 1. 2009).   Smernica Rady 2003/8/ES z 27. januára 2003 o zlepšení prístupu k spr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(veľká komora) z 30. novembra 2009 (návrh na začatie prejudiciálneho konania, ktorý podal Administrativen sad Sofia-grad - Bulharsko) - Said Shamilovich Kadzoev (Chučbarov) vo veci C-357/09.  Rozsudok Súdneho dvora (druhá komora) z </vt:lpwstr>
  </property>
  <property fmtid="{D5CDD505-2E9C-101B-9397-08002B2CF9AE}" pid="52" name="FSC#SKEDITIONSLOVLEX@103.510:AttrStrListDocPropLehotaPrebratieSmernice">
    <vt:lpwstr>Smernica Rady 2003/8/ES – 31. december 2005 _x000d_
_x000d_
Smernica Európskeho parlamentu a Rady 2008/115/ES - 24. december 2010; (článok 13 ods. 4 -  24. december 2011)_x000d_
_x000d_
Smernica Európskeho parlamentu a Rady 2013/32/EÚ – 20. júl 2015;  _x000d_
(článok 31 ods. 3 až 5 -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Smernica Rady 2003/8/ES:_x000d_
- zákon č. 327/2005 Z. z. o poskytovaní právnej pomoci osobám v materiálnej núdzi_x000d_
 a o zmene a doplnení zákona č. 586/2003 Z. z. o advokácii a o zmene a doplnení zákona _x000d_
č. 455/1991 Zb. o živnostenskom podnikaní (živnostenský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9. 8. 2024</vt:lpwstr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K preskúmaniu účinnosti a účelnosti návrhu zákona dôjde po uplynutí dvoch rokov od nadobudnutia účinnosti návrhu zákona, a&amp;nbsp;to na základe údajov vedených v novom informačnom systéme centra v porovnaní s aktuálnymi údajmi, ktoré má centrum k&amp;nbsp;dispo</vt:lpwstr>
  </property>
  <property fmtid="{D5CDD505-2E9C-101B-9397-08002B2CF9AE}" pid="66" name="FSC#SKEDITIONSLOVLEX@103.510:AttrStrListDocPropAltRiesenia">
    <vt:lpwstr>Pri posudzovaní riešenej problematiky sa uplatňuje nulový variant, nakoľko bez prijatia navrhovanej právnej úpravy by nedošlo k rozšíreniu okruhu oprávnených osôb, ktoré by spadali do pôsobnosti centra, a rovnako tak k rozšíreniu okruhu pôsobnosti vo vzťa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spravodlivosti Slovenskej republiky</vt:lpwstr>
  </property>
  <property fmtid="{D5CDD505-2E9C-101B-9397-08002B2CF9AE}" pid="142" name="FSC#SKEDITIONSLOVLEX@103.510:funkciaZodpPredAkuzativ">
    <vt:lpwstr>Ministra spravodlivosti Slovenskej republiky</vt:lpwstr>
  </property>
  <property fmtid="{D5CDD505-2E9C-101B-9397-08002B2CF9AE}" pid="143" name="FSC#SKEDITIONSLOVLEX@103.510:funkciaZodpPredDativ">
    <vt:lpwstr>Ministrovi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Boris Susko_x000d_
Minister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 &amp;nbsp; &amp;nbsp;Ministerstvo spravodlivosti Slovenskej republiky do medzirezortného pripomienkového konania návrh zákona, ktorým sa mení a dopĺňa zákon č. 327/2005 Z. z. o&amp;nbsp;poskytovaní právnej p</vt:lpwstr>
  </property>
  <property fmtid="{D5CDD505-2E9C-101B-9397-08002B2CF9AE}" pid="150" name="FSC#SKEDITIONSLOVLEX@103.510:vytvorenedna">
    <vt:lpwstr>21. 8. 2024</vt:lpwstr>
  </property>
  <property fmtid="{D5CDD505-2E9C-101B-9397-08002B2CF9AE}" pid="151" name="FSC#COOSYSTEM@1.1:Container">
    <vt:lpwstr>COO.2145.1000.3.6321510</vt:lpwstr>
  </property>
  <property fmtid="{D5CDD505-2E9C-101B-9397-08002B2CF9AE}" pid="152" name="FSC#FSCFOLIO@1.1001:docpropproject">
    <vt:lpwstr/>
  </property>
</Properties>
</file>