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E1B" w:rsidRDefault="00DE0E1B">
      <w:pPr>
        <w:widowControl w:val="0"/>
        <w:pBdr>
          <w:top w:val="nil"/>
          <w:left w:val="nil"/>
          <w:bottom w:val="nil"/>
          <w:right w:val="nil"/>
          <w:between w:val="nil"/>
        </w:pBdr>
        <w:jc w:val="right"/>
        <w:rPr>
          <w:color w:val="000000"/>
          <w:sz w:val="24"/>
          <w:szCs w:val="24"/>
        </w:rPr>
      </w:pPr>
      <w:bookmarkStart w:id="0" w:name="_GoBack"/>
      <w:bookmarkEnd w:id="0"/>
    </w:p>
    <w:tbl>
      <w:tblPr>
        <w:tblStyle w:val="a"/>
        <w:tblW w:w="937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1"/>
      </w:tblGrid>
      <w:tr w:rsidR="00DE0E1B">
        <w:trPr>
          <w:trHeight w:val="822"/>
        </w:trPr>
        <w:tc>
          <w:tcPr>
            <w:tcW w:w="9371" w:type="dxa"/>
            <w:shd w:val="clear" w:color="auto" w:fill="BFBFBF"/>
            <w:vAlign w:val="center"/>
          </w:tcPr>
          <w:p w:rsidR="00DE0E1B" w:rsidRDefault="00E6488E">
            <w:pPr>
              <w:widowControl w:val="0"/>
              <w:pBdr>
                <w:top w:val="nil"/>
                <w:left w:val="nil"/>
                <w:bottom w:val="nil"/>
                <w:right w:val="nil"/>
                <w:between w:val="nil"/>
              </w:pBdr>
              <w:jc w:val="center"/>
              <w:rPr>
                <w:color w:val="000000"/>
                <w:sz w:val="32"/>
                <w:szCs w:val="32"/>
              </w:rPr>
            </w:pPr>
            <w:r>
              <w:rPr>
                <w:b/>
                <w:color w:val="000000"/>
                <w:sz w:val="32"/>
                <w:szCs w:val="32"/>
              </w:rPr>
              <w:t>Analýza vplyvov na služby verejnej správy pre občana</w:t>
            </w:r>
          </w:p>
          <w:p w:rsidR="00DE0E1B" w:rsidRDefault="00DE0E1B">
            <w:pPr>
              <w:widowControl w:val="0"/>
              <w:pBdr>
                <w:top w:val="nil"/>
                <w:left w:val="nil"/>
                <w:bottom w:val="nil"/>
                <w:right w:val="nil"/>
                <w:between w:val="nil"/>
              </w:pBdr>
              <w:jc w:val="both"/>
              <w:rPr>
                <w:color w:val="000000"/>
                <w:sz w:val="2"/>
                <w:szCs w:val="2"/>
              </w:rPr>
            </w:pPr>
          </w:p>
        </w:tc>
      </w:tr>
      <w:tr w:rsidR="00DE0E1B">
        <w:trPr>
          <w:trHeight w:val="367"/>
        </w:trPr>
        <w:tc>
          <w:tcPr>
            <w:tcW w:w="9371" w:type="dxa"/>
            <w:shd w:val="clear" w:color="auto" w:fill="C0C0C0"/>
            <w:vAlign w:val="center"/>
          </w:tcPr>
          <w:p w:rsidR="00DE0E1B" w:rsidRDefault="00E6488E">
            <w:pPr>
              <w:widowControl w:val="0"/>
              <w:pBdr>
                <w:top w:val="nil"/>
                <w:left w:val="nil"/>
                <w:bottom w:val="nil"/>
                <w:right w:val="nil"/>
                <w:between w:val="nil"/>
              </w:pBdr>
              <w:jc w:val="center"/>
              <w:rPr>
                <w:color w:val="000000"/>
                <w:sz w:val="28"/>
                <w:szCs w:val="28"/>
              </w:rPr>
            </w:pPr>
            <w:r>
              <w:rPr>
                <w:b/>
                <w:color w:val="000000"/>
                <w:sz w:val="28"/>
                <w:szCs w:val="28"/>
              </w:rPr>
              <w:t xml:space="preserve">7.1 Identifikácia služby verejnej správy, ktorá je dotknutá návrhom </w:t>
            </w:r>
          </w:p>
        </w:tc>
      </w:tr>
      <w:tr w:rsidR="00DE0E1B">
        <w:trPr>
          <w:trHeight w:val="316"/>
        </w:trPr>
        <w:tc>
          <w:tcPr>
            <w:tcW w:w="9371" w:type="dxa"/>
          </w:tcPr>
          <w:p w:rsidR="00DE0E1B" w:rsidRDefault="00E6488E">
            <w:pPr>
              <w:widowControl w:val="0"/>
              <w:pBdr>
                <w:top w:val="nil"/>
                <w:left w:val="nil"/>
                <w:bottom w:val="nil"/>
                <w:right w:val="nil"/>
                <w:between w:val="nil"/>
              </w:pBdr>
              <w:jc w:val="both"/>
              <w:rPr>
                <w:color w:val="000000"/>
                <w:sz w:val="22"/>
                <w:szCs w:val="22"/>
              </w:rPr>
            </w:pPr>
            <w:r>
              <w:rPr>
                <w:b/>
                <w:color w:val="000000"/>
                <w:sz w:val="24"/>
                <w:szCs w:val="24"/>
              </w:rPr>
              <w:t>7.1.1 Predpokladá predložený návrh zmenu existujúcej služby verejnej správy alebo vytvorenie novej služby?</w:t>
            </w:r>
            <w:r>
              <w:rPr>
                <w:i/>
                <w:color w:val="000000"/>
                <w:sz w:val="22"/>
                <w:szCs w:val="22"/>
              </w:rPr>
              <w:t xml:space="preserve"> </w:t>
            </w:r>
          </w:p>
        </w:tc>
      </w:tr>
      <w:tr w:rsidR="00DE0E1B">
        <w:trPr>
          <w:trHeight w:val="296"/>
        </w:trPr>
        <w:tc>
          <w:tcPr>
            <w:tcW w:w="9371" w:type="dxa"/>
          </w:tcPr>
          <w:p w:rsidR="00DE0E1B" w:rsidRDefault="00E6488E">
            <w:pPr>
              <w:widowControl w:val="0"/>
              <w:pBdr>
                <w:top w:val="nil"/>
                <w:left w:val="nil"/>
                <w:bottom w:val="nil"/>
                <w:right w:val="nil"/>
                <w:between w:val="nil"/>
              </w:pBdr>
              <w:jc w:val="both"/>
              <w:rPr>
                <w:color w:val="000000"/>
                <w:sz w:val="22"/>
                <w:szCs w:val="22"/>
              </w:rPr>
            </w:pPr>
            <w:r>
              <w:rPr>
                <w:i/>
                <w:color w:val="000000"/>
                <w:sz w:val="22"/>
                <w:szCs w:val="22"/>
              </w:rPr>
              <w:t xml:space="preserve">Zmena existujúcej služby (konkretizujte a popíšte) </w:t>
            </w:r>
          </w:p>
        </w:tc>
      </w:tr>
      <w:tr w:rsidR="00DE0E1B">
        <w:trPr>
          <w:trHeight w:val="655"/>
        </w:trPr>
        <w:tc>
          <w:tcPr>
            <w:tcW w:w="9371" w:type="dxa"/>
          </w:tcPr>
          <w:p w:rsidR="00DE0E1B" w:rsidRDefault="00DE0E1B">
            <w:pPr>
              <w:widowControl w:val="0"/>
              <w:pBdr>
                <w:top w:val="nil"/>
                <w:left w:val="nil"/>
                <w:bottom w:val="nil"/>
                <w:right w:val="nil"/>
                <w:between w:val="nil"/>
              </w:pBdr>
              <w:jc w:val="both"/>
              <w:rPr>
                <w:color w:val="000000"/>
                <w:sz w:val="22"/>
                <w:szCs w:val="22"/>
              </w:rPr>
            </w:pPr>
          </w:p>
          <w:p w:rsidR="006E0364" w:rsidRDefault="006E0364" w:rsidP="005C1D11">
            <w:pPr>
              <w:pStyle w:val="Odsekzoznamu"/>
              <w:widowControl w:val="0"/>
              <w:numPr>
                <w:ilvl w:val="0"/>
                <w:numId w:val="11"/>
              </w:numPr>
              <w:pBdr>
                <w:top w:val="nil"/>
                <w:left w:val="nil"/>
                <w:bottom w:val="nil"/>
                <w:right w:val="nil"/>
                <w:between w:val="nil"/>
              </w:pBdr>
              <w:jc w:val="both"/>
              <w:rPr>
                <w:color w:val="000000"/>
                <w:sz w:val="22"/>
                <w:szCs w:val="22"/>
              </w:rPr>
            </w:pPr>
            <w:r w:rsidRPr="005C1D11">
              <w:rPr>
                <w:color w:val="000000"/>
                <w:sz w:val="22"/>
                <w:szCs w:val="22"/>
              </w:rPr>
              <w:t>Zvýšenie koeficientu materiálnej núdze</w:t>
            </w:r>
            <w:r w:rsidR="005C1D11" w:rsidRPr="005C1D11">
              <w:rPr>
                <w:color w:val="000000"/>
                <w:sz w:val="22"/>
                <w:szCs w:val="22"/>
              </w:rPr>
              <w:t xml:space="preserve"> z hraníc 1,4 – 1,6 násobok sumy životného minima na 1,8 až 2,1 násobok sumy životného minima</w:t>
            </w:r>
            <w:r w:rsidR="000D39B9">
              <w:rPr>
                <w:color w:val="000000"/>
                <w:sz w:val="22"/>
                <w:szCs w:val="22"/>
              </w:rPr>
              <w:t xml:space="preserve"> a presnejšia úprava inštitútu osobitného zreteľa</w:t>
            </w:r>
            <w:r w:rsidRPr="005C1D11">
              <w:rPr>
                <w:color w:val="000000"/>
                <w:sz w:val="22"/>
                <w:szCs w:val="22"/>
              </w:rPr>
              <w:t xml:space="preserve"> rozšíri okruh ľudí </w:t>
            </w:r>
            <w:r w:rsidR="005C1D11" w:rsidRPr="005C1D11">
              <w:rPr>
                <w:color w:val="000000"/>
                <w:sz w:val="22"/>
                <w:szCs w:val="22"/>
              </w:rPr>
              <w:t xml:space="preserve">v materiálnej núdzi </w:t>
            </w:r>
            <w:r w:rsidRPr="005C1D11">
              <w:rPr>
                <w:color w:val="000000"/>
                <w:sz w:val="22"/>
                <w:szCs w:val="22"/>
              </w:rPr>
              <w:t>oprávnených na priznanie právnej pomoci</w:t>
            </w:r>
            <w:r w:rsidR="005C1D11" w:rsidRPr="005C1D11">
              <w:rPr>
                <w:color w:val="000000"/>
                <w:sz w:val="22"/>
                <w:szCs w:val="22"/>
              </w:rPr>
              <w:t xml:space="preserve">. </w:t>
            </w:r>
          </w:p>
          <w:p w:rsidR="00EB13BF" w:rsidRPr="005C1D11" w:rsidRDefault="00EB13BF" w:rsidP="005C1D11">
            <w:pPr>
              <w:pStyle w:val="Odsekzoznamu"/>
              <w:widowControl w:val="0"/>
              <w:numPr>
                <w:ilvl w:val="0"/>
                <w:numId w:val="11"/>
              </w:numPr>
              <w:pBdr>
                <w:top w:val="nil"/>
                <w:left w:val="nil"/>
                <w:bottom w:val="nil"/>
                <w:right w:val="nil"/>
                <w:between w:val="nil"/>
              </w:pBdr>
              <w:jc w:val="both"/>
              <w:rPr>
                <w:color w:val="000000"/>
                <w:sz w:val="22"/>
                <w:szCs w:val="22"/>
              </w:rPr>
            </w:pPr>
            <w:r>
              <w:rPr>
                <w:color w:val="000000"/>
                <w:sz w:val="22"/>
                <w:szCs w:val="22"/>
              </w:rPr>
              <w:t>Zmení sa posudzovanie hodnoty sporu podľa § 6 ods. 1 písm. c) zákona a namiesto kritéria minimálnej mzdy bude kritériom násobok sumy životného minima, čo bude pre klientov priaznivejšie</w:t>
            </w:r>
          </w:p>
          <w:p w:rsidR="006E0364" w:rsidRDefault="006E0364" w:rsidP="006E0364">
            <w:pPr>
              <w:pStyle w:val="Odsekzoznamu"/>
              <w:widowControl w:val="0"/>
              <w:numPr>
                <w:ilvl w:val="0"/>
                <w:numId w:val="11"/>
              </w:numPr>
              <w:pBdr>
                <w:top w:val="nil"/>
                <w:left w:val="nil"/>
                <w:bottom w:val="nil"/>
                <w:right w:val="nil"/>
                <w:between w:val="nil"/>
              </w:pBdr>
              <w:jc w:val="both"/>
              <w:rPr>
                <w:color w:val="000000"/>
                <w:sz w:val="22"/>
                <w:szCs w:val="22"/>
              </w:rPr>
            </w:pPr>
            <w:r>
              <w:rPr>
                <w:color w:val="000000"/>
                <w:sz w:val="22"/>
                <w:szCs w:val="22"/>
              </w:rPr>
              <w:t>Zavedie sa prístup k právnej pomoci osobám žiadajúcim o dočasné útočisko a</w:t>
            </w:r>
            <w:r w:rsidR="005C1D11">
              <w:rPr>
                <w:color w:val="000000"/>
                <w:sz w:val="22"/>
                <w:szCs w:val="22"/>
              </w:rPr>
              <w:t> </w:t>
            </w:r>
            <w:r>
              <w:rPr>
                <w:color w:val="000000"/>
                <w:sz w:val="22"/>
                <w:szCs w:val="22"/>
              </w:rPr>
              <w:t>odídencom</w:t>
            </w:r>
            <w:r w:rsidR="005C1D11">
              <w:rPr>
                <w:color w:val="000000"/>
                <w:sz w:val="22"/>
                <w:szCs w:val="22"/>
              </w:rPr>
              <w:t>, ktorým sa upraví nárok na právnu pomoc, ktorú centrum poskytuje od vyhlásenia dočasného útočiska vo veľkokapacitných centrách alebo vo svojich kanceláriách (</w:t>
            </w:r>
            <w:proofErr w:type="spellStart"/>
            <w:r w:rsidR="005C1D11">
              <w:rPr>
                <w:color w:val="000000"/>
                <w:sz w:val="22"/>
                <w:szCs w:val="22"/>
              </w:rPr>
              <w:t>t.j</w:t>
            </w:r>
            <w:proofErr w:type="spellEnd"/>
            <w:r w:rsidR="005C1D11">
              <w:rPr>
                <w:color w:val="000000"/>
                <w:sz w:val="22"/>
                <w:szCs w:val="22"/>
              </w:rPr>
              <w:t xml:space="preserve">. pomoc s registráciou na dočasné útočisko, informovanosť a v prípade zrušenia dočasného útočiska možnosť priznať právnu pomoc v konaní o správnej žalobe podobne, ako je to v prípade žiadateľov o azyl). </w:t>
            </w:r>
            <w:r>
              <w:rPr>
                <w:color w:val="000000"/>
                <w:sz w:val="22"/>
                <w:szCs w:val="22"/>
              </w:rPr>
              <w:t xml:space="preserve"> </w:t>
            </w:r>
          </w:p>
          <w:p w:rsidR="006E0364" w:rsidRDefault="006E0364" w:rsidP="006E0364">
            <w:pPr>
              <w:pStyle w:val="Odsekzoznamu"/>
              <w:widowControl w:val="0"/>
              <w:numPr>
                <w:ilvl w:val="0"/>
                <w:numId w:val="11"/>
              </w:numPr>
              <w:pBdr>
                <w:top w:val="nil"/>
                <w:left w:val="nil"/>
                <w:bottom w:val="nil"/>
                <w:right w:val="nil"/>
                <w:between w:val="nil"/>
              </w:pBdr>
              <w:jc w:val="both"/>
              <w:rPr>
                <w:color w:val="000000"/>
                <w:sz w:val="22"/>
                <w:szCs w:val="22"/>
              </w:rPr>
            </w:pPr>
            <w:r>
              <w:rPr>
                <w:color w:val="000000"/>
                <w:sz w:val="22"/>
                <w:szCs w:val="22"/>
              </w:rPr>
              <w:t xml:space="preserve">Zvýšenie poplatku za predbežnú konzultáciu zo sumy 4,50 </w:t>
            </w:r>
            <w:r w:rsidR="00354DFE">
              <w:rPr>
                <w:color w:val="000000"/>
                <w:sz w:val="22"/>
                <w:szCs w:val="22"/>
              </w:rPr>
              <w:t>eur</w:t>
            </w:r>
            <w:r>
              <w:rPr>
                <w:color w:val="000000"/>
                <w:sz w:val="22"/>
                <w:szCs w:val="22"/>
              </w:rPr>
              <w:t xml:space="preserve"> na sumu </w:t>
            </w:r>
            <w:r w:rsidR="003F22D5">
              <w:rPr>
                <w:color w:val="000000"/>
                <w:sz w:val="22"/>
                <w:szCs w:val="22"/>
              </w:rPr>
              <w:t>6</w:t>
            </w:r>
            <w:r>
              <w:rPr>
                <w:color w:val="000000"/>
                <w:sz w:val="22"/>
                <w:szCs w:val="22"/>
              </w:rPr>
              <w:t xml:space="preserve"> </w:t>
            </w:r>
            <w:r w:rsidR="00354DFE">
              <w:rPr>
                <w:color w:val="000000"/>
                <w:sz w:val="22"/>
                <w:szCs w:val="22"/>
              </w:rPr>
              <w:t>eur</w:t>
            </w:r>
            <w:r w:rsidR="005C1D11">
              <w:rPr>
                <w:color w:val="000000"/>
                <w:sz w:val="22"/>
                <w:szCs w:val="22"/>
              </w:rPr>
              <w:t xml:space="preserve">: Predkladateľ zavádza zvýšenie </w:t>
            </w:r>
            <w:r w:rsidR="00354DFE">
              <w:rPr>
                <w:color w:val="000000"/>
                <w:sz w:val="22"/>
                <w:szCs w:val="22"/>
              </w:rPr>
              <w:t>poplatku za predbežnú</w:t>
            </w:r>
            <w:r w:rsidR="005C1D11">
              <w:rPr>
                <w:color w:val="000000"/>
                <w:sz w:val="22"/>
                <w:szCs w:val="22"/>
              </w:rPr>
              <w:t xml:space="preserve"> konzultáci</w:t>
            </w:r>
            <w:r w:rsidR="00354DFE">
              <w:rPr>
                <w:color w:val="000000"/>
                <w:sz w:val="22"/>
                <w:szCs w:val="22"/>
              </w:rPr>
              <w:t>u</w:t>
            </w:r>
            <w:r w:rsidR="005C1D11">
              <w:rPr>
                <w:color w:val="000000"/>
                <w:sz w:val="22"/>
                <w:szCs w:val="22"/>
              </w:rPr>
              <w:t xml:space="preserve"> upraven</w:t>
            </w:r>
            <w:r w:rsidR="00354DFE">
              <w:rPr>
                <w:color w:val="000000"/>
                <w:sz w:val="22"/>
                <w:szCs w:val="22"/>
              </w:rPr>
              <w:t>ú</w:t>
            </w:r>
            <w:r w:rsidR="005C1D11">
              <w:rPr>
                <w:color w:val="000000"/>
                <w:sz w:val="22"/>
                <w:szCs w:val="22"/>
              </w:rPr>
              <w:t xml:space="preserve"> v § </w:t>
            </w:r>
            <w:r w:rsidR="00354DFE">
              <w:rPr>
                <w:color w:val="000000"/>
                <w:sz w:val="22"/>
                <w:szCs w:val="22"/>
              </w:rPr>
              <w:t xml:space="preserve">9 zákona zo 4,50 eur na </w:t>
            </w:r>
            <w:r w:rsidR="003F22D5">
              <w:rPr>
                <w:color w:val="000000"/>
                <w:sz w:val="22"/>
                <w:szCs w:val="22"/>
              </w:rPr>
              <w:t>6</w:t>
            </w:r>
            <w:r w:rsidR="00354DFE">
              <w:rPr>
                <w:color w:val="000000"/>
                <w:sz w:val="22"/>
                <w:szCs w:val="22"/>
              </w:rPr>
              <w:t xml:space="preserve"> eur. Pôjde o nepatrné zvýšenie o </w:t>
            </w:r>
            <w:r w:rsidR="003F22D5">
              <w:rPr>
                <w:color w:val="000000"/>
                <w:sz w:val="22"/>
                <w:szCs w:val="22"/>
              </w:rPr>
              <w:t>1</w:t>
            </w:r>
            <w:r w:rsidR="00354DFE">
              <w:rPr>
                <w:color w:val="000000"/>
                <w:sz w:val="22"/>
                <w:szCs w:val="22"/>
              </w:rPr>
              <w:t xml:space="preserve">,50 eur. Poplatok za predbežnú konzultáciu sa dlhodobo nezvyšoval a jeho zvýšenie je potrebné z manipulačných dôvodov. </w:t>
            </w:r>
          </w:p>
          <w:p w:rsidR="000957F3" w:rsidRDefault="000957F3" w:rsidP="006E0364">
            <w:pPr>
              <w:pStyle w:val="Odsekzoznamu"/>
              <w:widowControl w:val="0"/>
              <w:numPr>
                <w:ilvl w:val="0"/>
                <w:numId w:val="11"/>
              </w:numPr>
              <w:pBdr>
                <w:top w:val="nil"/>
                <w:left w:val="nil"/>
                <w:bottom w:val="nil"/>
                <w:right w:val="nil"/>
                <w:between w:val="nil"/>
              </w:pBdr>
              <w:jc w:val="both"/>
              <w:rPr>
                <w:color w:val="000000"/>
                <w:sz w:val="22"/>
                <w:szCs w:val="22"/>
              </w:rPr>
            </w:pPr>
            <w:r>
              <w:rPr>
                <w:color w:val="000000"/>
                <w:sz w:val="22"/>
                <w:szCs w:val="22"/>
              </w:rPr>
              <w:t>Zmena vo vzťahu k</w:t>
            </w:r>
            <w:r w:rsidR="000D39B9">
              <w:rPr>
                <w:color w:val="000000"/>
                <w:sz w:val="22"/>
                <w:szCs w:val="22"/>
              </w:rPr>
              <w:t> splácaniu pohľadávky vzniknutej</w:t>
            </w:r>
            <w:r>
              <w:rPr>
                <w:color w:val="000000"/>
                <w:sz w:val="22"/>
                <w:szCs w:val="22"/>
              </w:rPr>
              <w:t xml:space="preserve"> podľa § 24i zákona v súvislosti s oddlžením konkurzom. </w:t>
            </w:r>
          </w:p>
          <w:p w:rsidR="006E0364" w:rsidRPr="006E0364" w:rsidRDefault="006E0364" w:rsidP="00354DFE">
            <w:pPr>
              <w:pStyle w:val="Odsekzoznamu"/>
              <w:widowControl w:val="0"/>
              <w:pBdr>
                <w:top w:val="nil"/>
                <w:left w:val="nil"/>
                <w:bottom w:val="nil"/>
                <w:right w:val="nil"/>
                <w:between w:val="nil"/>
              </w:pBdr>
              <w:jc w:val="both"/>
              <w:rPr>
                <w:color w:val="000000"/>
                <w:sz w:val="22"/>
                <w:szCs w:val="22"/>
              </w:rPr>
            </w:pPr>
          </w:p>
        </w:tc>
      </w:tr>
      <w:tr w:rsidR="00DE0E1B">
        <w:trPr>
          <w:trHeight w:val="212"/>
        </w:trPr>
        <w:tc>
          <w:tcPr>
            <w:tcW w:w="9371" w:type="dxa"/>
          </w:tcPr>
          <w:p w:rsidR="00DE0E1B" w:rsidRDefault="00E6488E">
            <w:pPr>
              <w:widowControl w:val="0"/>
              <w:pBdr>
                <w:top w:val="nil"/>
                <w:left w:val="nil"/>
                <w:bottom w:val="nil"/>
                <w:right w:val="nil"/>
                <w:between w:val="nil"/>
              </w:pBdr>
              <w:jc w:val="both"/>
              <w:rPr>
                <w:color w:val="000000"/>
                <w:sz w:val="22"/>
                <w:szCs w:val="22"/>
              </w:rPr>
            </w:pPr>
            <w:r>
              <w:rPr>
                <w:i/>
                <w:color w:val="000000"/>
                <w:sz w:val="22"/>
                <w:szCs w:val="22"/>
              </w:rPr>
              <w:t>Nová služba (konkretizujte a popíšte)</w:t>
            </w:r>
          </w:p>
        </w:tc>
      </w:tr>
      <w:tr w:rsidR="00DE0E1B">
        <w:trPr>
          <w:trHeight w:val="598"/>
        </w:trPr>
        <w:tc>
          <w:tcPr>
            <w:tcW w:w="9371" w:type="dxa"/>
          </w:tcPr>
          <w:p w:rsidR="00DE0E1B" w:rsidRDefault="006E0364">
            <w:pPr>
              <w:widowControl w:val="0"/>
              <w:pBdr>
                <w:top w:val="nil"/>
                <w:left w:val="nil"/>
                <w:bottom w:val="nil"/>
                <w:right w:val="nil"/>
                <w:between w:val="nil"/>
              </w:pBdr>
              <w:jc w:val="both"/>
              <w:rPr>
                <w:color w:val="000000"/>
                <w:sz w:val="22"/>
                <w:szCs w:val="22"/>
              </w:rPr>
            </w:pPr>
            <w:r>
              <w:rPr>
                <w:color w:val="000000"/>
                <w:sz w:val="22"/>
                <w:szCs w:val="22"/>
              </w:rPr>
              <w:t>Áno</w:t>
            </w:r>
          </w:p>
          <w:p w:rsidR="00354DFE" w:rsidRDefault="00354DFE" w:rsidP="003F22D5">
            <w:pPr>
              <w:pStyle w:val="Odsekzoznamu"/>
              <w:widowControl w:val="0"/>
              <w:numPr>
                <w:ilvl w:val="0"/>
                <w:numId w:val="12"/>
              </w:numPr>
              <w:pBdr>
                <w:top w:val="nil"/>
                <w:left w:val="nil"/>
                <w:bottom w:val="nil"/>
                <w:right w:val="nil"/>
                <w:between w:val="nil"/>
              </w:pBdr>
              <w:jc w:val="both"/>
              <w:rPr>
                <w:color w:val="000000"/>
                <w:sz w:val="22"/>
                <w:szCs w:val="22"/>
              </w:rPr>
            </w:pPr>
            <w:r>
              <w:rPr>
                <w:color w:val="000000"/>
                <w:sz w:val="22"/>
                <w:szCs w:val="22"/>
              </w:rPr>
              <w:t xml:space="preserve">Zavedenie poplatku za predbežnú konzultáciu aj vo veci oddlženia – v súčasnosti sa poplatok za predbežnú konzultáciu vo veci oddlženia nevyberá, žiadatelia o právnu pomoc vo veci oddlženia sú tak zvýhodnení oproti žiadateľom v tzv. civilných veciach, pričom pri oddlžení sa neskúma stav materiálnej núdze. Zavedením poplatku za predbežnú konzultáciu vo veci oddlženia tak zjednotíme podmienky pre žiadateľov, ktorí žiadajú o poskytnutie právnej pomoci v tzv. civilných veciach aj pre tých, ktorí sa informujú o procese oddlženia. </w:t>
            </w:r>
            <w:r w:rsidR="00E14F23" w:rsidRPr="004F611A">
              <w:rPr>
                <w:color w:val="000000"/>
                <w:sz w:val="22"/>
                <w:szCs w:val="22"/>
              </w:rPr>
              <w:t>V</w:t>
            </w:r>
            <w:r w:rsidR="004E74EC" w:rsidRPr="004F611A">
              <w:rPr>
                <w:color w:val="000000"/>
                <w:sz w:val="22"/>
                <w:szCs w:val="22"/>
              </w:rPr>
              <w:t xml:space="preserve"> </w:t>
            </w:r>
            <w:r w:rsidR="00E14F23" w:rsidRPr="004F611A">
              <w:rPr>
                <w:color w:val="000000"/>
                <w:sz w:val="22"/>
                <w:szCs w:val="22"/>
              </w:rPr>
              <w:t>prípade oddlženia bolo roku 2023 poskytnutých 24</w:t>
            </w:r>
            <w:r w:rsidR="004E74EC" w:rsidRPr="004F611A">
              <w:rPr>
                <w:color w:val="000000"/>
                <w:sz w:val="22"/>
                <w:szCs w:val="22"/>
              </w:rPr>
              <w:t>.</w:t>
            </w:r>
            <w:r w:rsidR="00E14F23" w:rsidRPr="004F611A">
              <w:rPr>
                <w:color w:val="000000"/>
                <w:sz w:val="22"/>
                <w:szCs w:val="22"/>
              </w:rPr>
              <w:t xml:space="preserve">554 konzultácií, čo by pri zavedení poplatku </w:t>
            </w:r>
            <w:r w:rsidR="003F22D5">
              <w:rPr>
                <w:color w:val="000000"/>
                <w:sz w:val="22"/>
                <w:szCs w:val="22"/>
              </w:rPr>
              <w:t>6</w:t>
            </w:r>
            <w:r w:rsidR="00E14F23" w:rsidRPr="004F611A">
              <w:rPr>
                <w:color w:val="000000"/>
                <w:sz w:val="22"/>
                <w:szCs w:val="22"/>
              </w:rPr>
              <w:t xml:space="preserve"> eur mohlo predstavovať výber </w:t>
            </w:r>
            <w:r w:rsidR="003F22D5" w:rsidRPr="003F22D5">
              <w:rPr>
                <w:color w:val="000000"/>
                <w:sz w:val="22"/>
                <w:szCs w:val="22"/>
              </w:rPr>
              <w:t>147</w:t>
            </w:r>
            <w:r w:rsidR="003F22D5">
              <w:rPr>
                <w:color w:val="000000"/>
                <w:sz w:val="22"/>
                <w:szCs w:val="22"/>
              </w:rPr>
              <w:t>.</w:t>
            </w:r>
            <w:r w:rsidR="003F22D5" w:rsidRPr="003F22D5">
              <w:rPr>
                <w:color w:val="000000"/>
                <w:sz w:val="22"/>
                <w:szCs w:val="22"/>
              </w:rPr>
              <w:t>324</w:t>
            </w:r>
            <w:r w:rsidR="00E14F23" w:rsidRPr="004F611A">
              <w:rPr>
                <w:color w:val="000000"/>
                <w:sz w:val="22"/>
                <w:szCs w:val="22"/>
              </w:rPr>
              <w:t xml:space="preserve"> eur.  Pre porovnanie v</w:t>
            </w:r>
            <w:r w:rsidR="004E74EC">
              <w:rPr>
                <w:color w:val="000000"/>
                <w:sz w:val="22"/>
                <w:szCs w:val="22"/>
              </w:rPr>
              <w:t xml:space="preserve"> </w:t>
            </w:r>
            <w:r w:rsidR="00E14F23" w:rsidRPr="004F611A">
              <w:rPr>
                <w:color w:val="000000"/>
                <w:sz w:val="22"/>
                <w:szCs w:val="22"/>
              </w:rPr>
              <w:t>roku 2022 bolo poskytnutých 24</w:t>
            </w:r>
            <w:r w:rsidR="004E74EC" w:rsidRPr="004F611A">
              <w:rPr>
                <w:color w:val="000000"/>
                <w:sz w:val="22"/>
                <w:szCs w:val="22"/>
              </w:rPr>
              <w:t>.</w:t>
            </w:r>
            <w:r w:rsidR="00E14F23" w:rsidRPr="004F611A">
              <w:rPr>
                <w:color w:val="000000"/>
                <w:sz w:val="22"/>
                <w:szCs w:val="22"/>
              </w:rPr>
              <w:t xml:space="preserve">009 predbežných konzultácií, čo by v prípade spoplatnenia všetkých konzultácií v sume </w:t>
            </w:r>
            <w:r w:rsidR="003F22D5">
              <w:rPr>
                <w:color w:val="000000"/>
                <w:sz w:val="22"/>
                <w:szCs w:val="22"/>
              </w:rPr>
              <w:t>6</w:t>
            </w:r>
            <w:r w:rsidR="00E14F23" w:rsidRPr="004F611A">
              <w:rPr>
                <w:color w:val="000000"/>
                <w:sz w:val="22"/>
                <w:szCs w:val="22"/>
              </w:rPr>
              <w:t xml:space="preserve"> eur mohlo predstavovať príjem až do výšky </w:t>
            </w:r>
            <w:r w:rsidR="003F22D5" w:rsidRPr="003F22D5">
              <w:rPr>
                <w:color w:val="000000"/>
                <w:sz w:val="22"/>
                <w:szCs w:val="22"/>
              </w:rPr>
              <w:t>144</w:t>
            </w:r>
            <w:r w:rsidR="003F22D5">
              <w:rPr>
                <w:color w:val="000000"/>
                <w:sz w:val="22"/>
                <w:szCs w:val="22"/>
              </w:rPr>
              <w:t>.</w:t>
            </w:r>
            <w:r w:rsidR="003F22D5" w:rsidRPr="003F22D5">
              <w:rPr>
                <w:color w:val="000000"/>
                <w:sz w:val="22"/>
                <w:szCs w:val="22"/>
              </w:rPr>
              <w:t>054</w:t>
            </w:r>
            <w:r w:rsidR="003F22D5">
              <w:rPr>
                <w:color w:val="000000"/>
                <w:sz w:val="22"/>
                <w:szCs w:val="22"/>
              </w:rPr>
              <w:t xml:space="preserve"> </w:t>
            </w:r>
            <w:r w:rsidR="00E14F23" w:rsidRPr="004F611A">
              <w:rPr>
                <w:color w:val="000000"/>
                <w:sz w:val="22"/>
                <w:szCs w:val="22"/>
              </w:rPr>
              <w:t>eur.</w:t>
            </w:r>
          </w:p>
          <w:p w:rsidR="00354DFE" w:rsidRDefault="00354DFE" w:rsidP="00354DFE">
            <w:pPr>
              <w:pStyle w:val="Odsekzoznamu"/>
              <w:widowControl w:val="0"/>
              <w:numPr>
                <w:ilvl w:val="0"/>
                <w:numId w:val="12"/>
              </w:numPr>
              <w:pBdr>
                <w:top w:val="nil"/>
                <w:left w:val="nil"/>
                <w:bottom w:val="nil"/>
                <w:right w:val="nil"/>
                <w:between w:val="nil"/>
              </w:pBdr>
              <w:jc w:val="both"/>
              <w:rPr>
                <w:color w:val="000000"/>
                <w:sz w:val="22"/>
                <w:szCs w:val="22"/>
              </w:rPr>
            </w:pPr>
            <w:r>
              <w:rPr>
                <w:color w:val="000000"/>
                <w:sz w:val="22"/>
                <w:szCs w:val="22"/>
              </w:rPr>
              <w:t xml:space="preserve">Zavedenie Informačného systému Centra právnej pomoci umožní centru priamo získať podklady potrebné pre posúdenie materiálnej núdze a pre vyhodnotenie nároku zo štátnych registrov prostredníctvom integrácií, bez zbytočného zaťažovania žiadateľov, ktorí tieto nebudú musieť predpokladať. </w:t>
            </w:r>
          </w:p>
          <w:p w:rsidR="00354DFE" w:rsidRDefault="00354DFE" w:rsidP="00354DFE">
            <w:pPr>
              <w:pStyle w:val="Odsekzoznamu"/>
              <w:widowControl w:val="0"/>
              <w:numPr>
                <w:ilvl w:val="0"/>
                <w:numId w:val="12"/>
              </w:numPr>
              <w:pBdr>
                <w:top w:val="nil"/>
                <w:left w:val="nil"/>
                <w:bottom w:val="nil"/>
                <w:right w:val="nil"/>
                <w:between w:val="nil"/>
              </w:pBdr>
              <w:jc w:val="both"/>
              <w:rPr>
                <w:color w:val="000000"/>
                <w:sz w:val="22"/>
                <w:szCs w:val="22"/>
              </w:rPr>
            </w:pPr>
            <w:r>
              <w:rPr>
                <w:color w:val="000000"/>
                <w:sz w:val="22"/>
                <w:szCs w:val="22"/>
              </w:rPr>
              <w:t>Zavedenie Informačného systému Centra právnej pomoci zefektívni komunikáciu medzi CPP a advokátmi a </w:t>
            </w:r>
            <w:proofErr w:type="spellStart"/>
            <w:r>
              <w:rPr>
                <w:color w:val="000000"/>
                <w:sz w:val="22"/>
                <w:szCs w:val="22"/>
              </w:rPr>
              <w:t>mediátormi</w:t>
            </w:r>
            <w:proofErr w:type="spellEnd"/>
            <w:r>
              <w:rPr>
                <w:color w:val="000000"/>
                <w:sz w:val="22"/>
                <w:szCs w:val="22"/>
              </w:rPr>
              <w:t xml:space="preserve"> pri uplatňovaní odmeny za právne zastúpenie, ktorú si budú uplatňovať cez externý portál. </w:t>
            </w:r>
          </w:p>
          <w:p w:rsidR="006E0364" w:rsidRPr="00354DFE" w:rsidRDefault="00354DFE" w:rsidP="00354DFE">
            <w:pPr>
              <w:pStyle w:val="Odsekzoznamu"/>
              <w:widowControl w:val="0"/>
              <w:numPr>
                <w:ilvl w:val="0"/>
                <w:numId w:val="12"/>
              </w:numPr>
              <w:pBdr>
                <w:top w:val="nil"/>
                <w:left w:val="nil"/>
                <w:bottom w:val="nil"/>
                <w:right w:val="nil"/>
                <w:between w:val="nil"/>
              </w:pBdr>
              <w:jc w:val="both"/>
              <w:rPr>
                <w:color w:val="000000"/>
                <w:sz w:val="22"/>
                <w:szCs w:val="22"/>
              </w:rPr>
            </w:pPr>
            <w:r>
              <w:rPr>
                <w:color w:val="000000"/>
                <w:sz w:val="22"/>
                <w:szCs w:val="22"/>
              </w:rPr>
              <w:t xml:space="preserve">Zavedenie Informačného systému Centra právnej pomoci umožní klientom centra sledovať stav svojej žiadosti, alebo stav splácania pohľadávky vzniknutej z oddlženia konkurzom cez nový externý portál. </w:t>
            </w:r>
          </w:p>
        </w:tc>
      </w:tr>
      <w:tr w:rsidR="00DE0E1B">
        <w:trPr>
          <w:trHeight w:val="248"/>
        </w:trPr>
        <w:tc>
          <w:tcPr>
            <w:tcW w:w="9371" w:type="dxa"/>
          </w:tcPr>
          <w:p w:rsidR="00DE0E1B" w:rsidRDefault="00E6488E">
            <w:pPr>
              <w:widowControl w:val="0"/>
              <w:pBdr>
                <w:top w:val="nil"/>
                <w:left w:val="nil"/>
                <w:bottom w:val="nil"/>
                <w:right w:val="nil"/>
                <w:between w:val="nil"/>
              </w:pBdr>
              <w:jc w:val="both"/>
              <w:rPr>
                <w:color w:val="000000"/>
                <w:sz w:val="24"/>
                <w:szCs w:val="24"/>
              </w:rPr>
            </w:pPr>
            <w:r>
              <w:rPr>
                <w:b/>
                <w:color w:val="000000"/>
                <w:sz w:val="24"/>
                <w:szCs w:val="24"/>
              </w:rPr>
              <w:t>7.1.2 Špecifikácia služby verejnej správy, ktorá je dotknutá návrhom</w:t>
            </w:r>
          </w:p>
        </w:tc>
      </w:tr>
      <w:tr w:rsidR="00DE0E1B">
        <w:trPr>
          <w:trHeight w:val="248"/>
        </w:trPr>
        <w:tc>
          <w:tcPr>
            <w:tcW w:w="9371" w:type="dxa"/>
          </w:tcPr>
          <w:p w:rsidR="00DE0E1B" w:rsidRDefault="00E6488E">
            <w:pPr>
              <w:widowControl w:val="0"/>
              <w:pBdr>
                <w:top w:val="nil"/>
                <w:left w:val="nil"/>
                <w:bottom w:val="nil"/>
                <w:right w:val="nil"/>
                <w:between w:val="nil"/>
              </w:pBdr>
              <w:jc w:val="both"/>
              <w:rPr>
                <w:color w:val="000000"/>
                <w:sz w:val="22"/>
                <w:szCs w:val="22"/>
              </w:rPr>
            </w:pPr>
            <w:r>
              <w:rPr>
                <w:i/>
                <w:color w:val="000000"/>
                <w:sz w:val="22"/>
                <w:szCs w:val="22"/>
              </w:rPr>
              <w:t xml:space="preserve">Názov služby </w:t>
            </w:r>
          </w:p>
        </w:tc>
      </w:tr>
      <w:tr w:rsidR="00DE0E1B">
        <w:trPr>
          <w:trHeight w:val="545"/>
        </w:trPr>
        <w:tc>
          <w:tcPr>
            <w:tcW w:w="9371" w:type="dxa"/>
          </w:tcPr>
          <w:p w:rsidR="00EB13BF" w:rsidRDefault="003B2729">
            <w:pPr>
              <w:widowControl w:val="0"/>
              <w:pBdr>
                <w:top w:val="nil"/>
                <w:left w:val="nil"/>
                <w:bottom w:val="nil"/>
                <w:right w:val="nil"/>
                <w:between w:val="nil"/>
              </w:pBdr>
              <w:jc w:val="both"/>
              <w:rPr>
                <w:color w:val="000000"/>
                <w:sz w:val="22"/>
                <w:szCs w:val="22"/>
              </w:rPr>
            </w:pPr>
            <w:r>
              <w:rPr>
                <w:color w:val="000000"/>
                <w:sz w:val="22"/>
                <w:szCs w:val="22"/>
              </w:rPr>
              <w:lastRenderedPageBreak/>
              <w:t>Poskytovanie právnej pomoci</w:t>
            </w:r>
            <w:r w:rsidR="00354DFE">
              <w:rPr>
                <w:color w:val="000000"/>
                <w:sz w:val="22"/>
                <w:szCs w:val="22"/>
              </w:rPr>
              <w:t xml:space="preserve"> pre osoby v materiálnej núdzi podľa zákona č. 327/2005 Z. z. </w:t>
            </w:r>
            <w:r w:rsidR="00EB13BF" w:rsidRPr="00EB13BF">
              <w:rPr>
                <w:color w:val="000000"/>
                <w:sz w:val="22"/>
                <w:szCs w:val="22"/>
              </w:rPr>
              <w:t>o poskytovaní právnej pomoci osobám v materiálnej núdzi a o zmene a doplnení zákona č. </w:t>
            </w:r>
            <w:hyperlink r:id="rId7" w:tooltip="Odkaz na predpis alebo ustanovenie" w:history="1">
              <w:r w:rsidR="00EB13BF" w:rsidRPr="00EB13BF">
                <w:rPr>
                  <w:color w:val="000000"/>
                </w:rPr>
                <w:t>586/2003 Z. z.</w:t>
              </w:r>
            </w:hyperlink>
            <w:r w:rsidR="00EB13BF" w:rsidRPr="00EB13BF">
              <w:rPr>
                <w:color w:val="000000"/>
                <w:sz w:val="22"/>
                <w:szCs w:val="22"/>
              </w:rPr>
              <w:t> o advokácii a o zmene a doplnení zákona č. 455/1991 Zb. o živnostenskom podnikaní (živnostenský zákon) v znení neskorších predpisov</w:t>
            </w:r>
            <w:r w:rsidR="00EB13BF">
              <w:rPr>
                <w:color w:val="000000"/>
                <w:sz w:val="22"/>
                <w:szCs w:val="22"/>
              </w:rPr>
              <w:t xml:space="preserve"> </w:t>
            </w:r>
          </w:p>
          <w:p w:rsidR="00EB13BF" w:rsidRDefault="00EB13BF">
            <w:pPr>
              <w:widowControl w:val="0"/>
              <w:pBdr>
                <w:top w:val="nil"/>
                <w:left w:val="nil"/>
                <w:bottom w:val="nil"/>
                <w:right w:val="nil"/>
                <w:between w:val="nil"/>
              </w:pBdr>
              <w:jc w:val="both"/>
              <w:rPr>
                <w:color w:val="000000"/>
                <w:sz w:val="22"/>
                <w:szCs w:val="22"/>
              </w:rPr>
            </w:pPr>
          </w:p>
          <w:p w:rsidR="00EB13BF" w:rsidRDefault="00B81DCB" w:rsidP="00EB13BF">
            <w:pPr>
              <w:widowControl w:val="0"/>
              <w:pBdr>
                <w:top w:val="nil"/>
                <w:left w:val="nil"/>
                <w:bottom w:val="nil"/>
                <w:right w:val="nil"/>
                <w:between w:val="nil"/>
              </w:pBdr>
              <w:jc w:val="both"/>
              <w:rPr>
                <w:color w:val="000000"/>
                <w:sz w:val="22"/>
                <w:szCs w:val="22"/>
              </w:rPr>
            </w:pPr>
            <w:r>
              <w:rPr>
                <w:color w:val="000000"/>
                <w:sz w:val="22"/>
                <w:szCs w:val="22"/>
              </w:rPr>
              <w:t>Poskytovanie právnej pomoci v konaní o</w:t>
            </w:r>
            <w:r w:rsidR="00354DFE">
              <w:rPr>
                <w:color w:val="000000"/>
                <w:sz w:val="22"/>
                <w:szCs w:val="22"/>
              </w:rPr>
              <w:t> </w:t>
            </w:r>
            <w:r>
              <w:rPr>
                <w:color w:val="000000"/>
                <w:sz w:val="22"/>
                <w:szCs w:val="22"/>
              </w:rPr>
              <w:t>oddlžení</w:t>
            </w:r>
            <w:r w:rsidR="00354DFE">
              <w:rPr>
                <w:color w:val="000000"/>
                <w:sz w:val="22"/>
                <w:szCs w:val="22"/>
              </w:rPr>
              <w:t xml:space="preserve"> podľa </w:t>
            </w:r>
            <w:r w:rsidR="00EB13BF">
              <w:rPr>
                <w:color w:val="000000"/>
                <w:sz w:val="22"/>
                <w:szCs w:val="22"/>
              </w:rPr>
              <w:t xml:space="preserve">zákona č. 327/2005 Z. z. </w:t>
            </w:r>
            <w:r w:rsidR="00EB13BF" w:rsidRPr="00EB13BF">
              <w:rPr>
                <w:color w:val="000000"/>
                <w:sz w:val="22"/>
                <w:szCs w:val="22"/>
              </w:rPr>
              <w:t>o poskytovaní právnej pomoci osobám v materiálnej núdzi a o zmene a doplnení zákona č. </w:t>
            </w:r>
            <w:hyperlink r:id="rId8" w:tooltip="Odkaz na predpis alebo ustanovenie" w:history="1">
              <w:r w:rsidR="00EB13BF" w:rsidRPr="00EB13BF">
                <w:rPr>
                  <w:color w:val="000000"/>
                </w:rPr>
                <w:t>586/2003 Z. z.</w:t>
              </w:r>
            </w:hyperlink>
            <w:r w:rsidR="00EB13BF" w:rsidRPr="00EB13BF">
              <w:rPr>
                <w:color w:val="000000"/>
                <w:sz w:val="22"/>
                <w:szCs w:val="22"/>
              </w:rPr>
              <w:t> o advokácii a o zmene a doplnení zákona č. 455/1991 Zb. o živnostenskom podnikaní (živnostenský zákon) v znení neskorších predpisov</w:t>
            </w:r>
            <w:r w:rsidR="00EB13BF">
              <w:rPr>
                <w:color w:val="000000"/>
                <w:sz w:val="22"/>
                <w:szCs w:val="22"/>
              </w:rPr>
              <w:t xml:space="preserve"> </w:t>
            </w:r>
          </w:p>
          <w:p w:rsidR="000957F3" w:rsidRDefault="000957F3" w:rsidP="00EB13BF">
            <w:pPr>
              <w:widowControl w:val="0"/>
              <w:pBdr>
                <w:top w:val="nil"/>
                <w:left w:val="nil"/>
                <w:bottom w:val="nil"/>
                <w:right w:val="nil"/>
                <w:between w:val="nil"/>
              </w:pBdr>
              <w:jc w:val="both"/>
              <w:rPr>
                <w:color w:val="000000"/>
                <w:sz w:val="22"/>
                <w:szCs w:val="22"/>
              </w:rPr>
            </w:pPr>
          </w:p>
          <w:p w:rsidR="000957F3" w:rsidRDefault="000957F3" w:rsidP="000957F3">
            <w:pPr>
              <w:shd w:val="clear" w:color="auto" w:fill="FFFFFF"/>
              <w:jc w:val="both"/>
              <w:rPr>
                <w:color w:val="000000"/>
                <w:sz w:val="22"/>
                <w:szCs w:val="22"/>
              </w:rPr>
            </w:pPr>
            <w:r>
              <w:rPr>
                <w:color w:val="000000"/>
                <w:sz w:val="22"/>
                <w:szCs w:val="22"/>
              </w:rPr>
              <w:t>Správa pohľadávky štátu vzniknutá podľa § 24i zákona, kedy dlžník vracia centru h</w:t>
            </w:r>
            <w:r w:rsidRPr="000957F3">
              <w:rPr>
                <w:color w:val="000000"/>
                <w:sz w:val="22"/>
                <w:szCs w:val="22"/>
              </w:rPr>
              <w:t>odnotu poskytnutého preddavku na úhradu paušálnej odmeny správcu v konaní o</w:t>
            </w:r>
            <w:r w:rsidR="004E74EC">
              <w:rPr>
                <w:color w:val="000000"/>
                <w:sz w:val="22"/>
                <w:szCs w:val="22"/>
              </w:rPr>
              <w:t xml:space="preserve"> </w:t>
            </w:r>
            <w:r w:rsidRPr="000957F3">
              <w:rPr>
                <w:color w:val="000000"/>
                <w:sz w:val="22"/>
                <w:szCs w:val="22"/>
              </w:rPr>
              <w:t>oddlžení</w:t>
            </w:r>
            <w:r w:rsidR="00E976BB">
              <w:rPr>
                <w:color w:val="000000"/>
                <w:sz w:val="22"/>
                <w:szCs w:val="22"/>
              </w:rPr>
              <w:t xml:space="preserve"> v lehote</w:t>
            </w:r>
            <w:r w:rsidR="00FC6EE5">
              <w:rPr>
                <w:color w:val="000000"/>
                <w:sz w:val="22"/>
                <w:szCs w:val="22"/>
              </w:rPr>
              <w:t xml:space="preserve"> dvoch rokov</w:t>
            </w:r>
            <w:r w:rsidR="00E976BB">
              <w:rPr>
                <w:color w:val="000000"/>
                <w:sz w:val="22"/>
                <w:szCs w:val="22"/>
              </w:rPr>
              <w:t xml:space="preserve"> od jeho poskytnutia</w:t>
            </w:r>
            <w:r>
              <w:rPr>
                <w:color w:val="000000"/>
                <w:sz w:val="22"/>
                <w:szCs w:val="22"/>
              </w:rPr>
              <w:t xml:space="preserve">. </w:t>
            </w:r>
            <w:r w:rsidRPr="000957F3">
              <w:rPr>
                <w:color w:val="000000"/>
                <w:sz w:val="22"/>
                <w:szCs w:val="22"/>
              </w:rPr>
              <w:t xml:space="preserve"> </w:t>
            </w:r>
          </w:p>
          <w:p w:rsidR="00B81DCB" w:rsidRDefault="00B81DCB">
            <w:pPr>
              <w:widowControl w:val="0"/>
              <w:pBdr>
                <w:top w:val="nil"/>
                <w:left w:val="nil"/>
                <w:bottom w:val="nil"/>
                <w:right w:val="nil"/>
                <w:between w:val="nil"/>
              </w:pBdr>
              <w:jc w:val="both"/>
              <w:rPr>
                <w:color w:val="000000"/>
                <w:sz w:val="22"/>
                <w:szCs w:val="22"/>
              </w:rPr>
            </w:pPr>
          </w:p>
        </w:tc>
      </w:tr>
      <w:tr w:rsidR="00DE0E1B">
        <w:trPr>
          <w:trHeight w:val="248"/>
        </w:trPr>
        <w:tc>
          <w:tcPr>
            <w:tcW w:w="9371" w:type="dxa"/>
          </w:tcPr>
          <w:p w:rsidR="00DE0E1B" w:rsidRDefault="00E6488E">
            <w:pPr>
              <w:widowControl w:val="0"/>
              <w:pBdr>
                <w:top w:val="nil"/>
                <w:left w:val="nil"/>
                <w:bottom w:val="nil"/>
                <w:right w:val="nil"/>
                <w:between w:val="nil"/>
              </w:pBdr>
              <w:jc w:val="both"/>
              <w:rPr>
                <w:color w:val="000000"/>
                <w:sz w:val="22"/>
                <w:szCs w:val="22"/>
              </w:rPr>
            </w:pPr>
            <w:r>
              <w:rPr>
                <w:i/>
                <w:color w:val="000000"/>
                <w:sz w:val="22"/>
                <w:szCs w:val="22"/>
              </w:rPr>
              <w:t>Platná právna úprava, na základe ktorej je služba poskytovaná (ak ide o zmenu existujúcej služby)</w:t>
            </w:r>
          </w:p>
        </w:tc>
      </w:tr>
      <w:tr w:rsidR="00DE0E1B">
        <w:trPr>
          <w:trHeight w:val="630"/>
        </w:trPr>
        <w:tc>
          <w:tcPr>
            <w:tcW w:w="9371" w:type="dxa"/>
          </w:tcPr>
          <w:p w:rsidR="00DE0E1B" w:rsidRPr="003B2729" w:rsidRDefault="003B2729">
            <w:pPr>
              <w:widowControl w:val="0"/>
              <w:pBdr>
                <w:top w:val="nil"/>
                <w:left w:val="nil"/>
                <w:bottom w:val="nil"/>
                <w:right w:val="nil"/>
                <w:between w:val="nil"/>
              </w:pBdr>
              <w:jc w:val="both"/>
              <w:rPr>
                <w:color w:val="000000"/>
                <w:sz w:val="22"/>
                <w:szCs w:val="22"/>
              </w:rPr>
            </w:pPr>
            <w:r w:rsidRPr="003B2729">
              <w:rPr>
                <w:bCs/>
                <w:color w:val="000000"/>
                <w:sz w:val="22"/>
                <w:szCs w:val="22"/>
                <w:shd w:val="clear" w:color="auto" w:fill="FFFFFF"/>
              </w:rPr>
              <w:t>Zákon č. 327/2005 Z.</w:t>
            </w:r>
            <w:r w:rsidR="004E74EC">
              <w:rPr>
                <w:bCs/>
                <w:color w:val="000000"/>
                <w:sz w:val="22"/>
                <w:szCs w:val="22"/>
                <w:shd w:val="clear" w:color="auto" w:fill="FFFFFF"/>
              </w:rPr>
              <w:t xml:space="preserve"> </w:t>
            </w:r>
            <w:r w:rsidRPr="003B2729">
              <w:rPr>
                <w:bCs/>
                <w:color w:val="000000"/>
                <w:sz w:val="22"/>
                <w:szCs w:val="22"/>
                <w:shd w:val="clear" w:color="auto" w:fill="FFFFFF"/>
              </w:rPr>
              <w:t>z. o poskytovaní právnej pomoci osobám v materiálnej núdzi a o zmene a doplnení zákona č. </w:t>
            </w:r>
            <w:r w:rsidRPr="003B2729">
              <w:rPr>
                <w:bCs/>
                <w:i/>
                <w:iCs/>
                <w:sz w:val="22"/>
                <w:szCs w:val="22"/>
                <w:shd w:val="clear" w:color="auto" w:fill="FFFFFF"/>
              </w:rPr>
              <w:t>586/2003 Z. z.</w:t>
            </w:r>
            <w:r w:rsidRPr="003B2729">
              <w:rPr>
                <w:bCs/>
                <w:color w:val="000000"/>
                <w:sz w:val="22"/>
                <w:szCs w:val="22"/>
                <w:shd w:val="clear" w:color="auto" w:fill="FFFFFF"/>
              </w:rPr>
              <w:t> o advokácii a o zmene a doplnení zákona č. 455/1991 Zb. o živnostenskom podnikaní (živnostenský zákon) v znení neskorších predpiso</w:t>
            </w:r>
            <w:r w:rsidR="00EB13BF">
              <w:rPr>
                <w:bCs/>
                <w:color w:val="000000"/>
                <w:sz w:val="22"/>
                <w:szCs w:val="22"/>
                <w:shd w:val="clear" w:color="auto" w:fill="FFFFFF"/>
              </w:rPr>
              <w:t>v</w:t>
            </w:r>
          </w:p>
        </w:tc>
      </w:tr>
      <w:tr w:rsidR="00DE0E1B">
        <w:trPr>
          <w:trHeight w:val="220"/>
        </w:trPr>
        <w:tc>
          <w:tcPr>
            <w:tcW w:w="9371" w:type="dxa"/>
          </w:tcPr>
          <w:p w:rsidR="00DE0E1B" w:rsidRDefault="00E6488E">
            <w:pPr>
              <w:widowControl w:val="0"/>
              <w:pBdr>
                <w:top w:val="nil"/>
                <w:left w:val="nil"/>
                <w:bottom w:val="nil"/>
                <w:right w:val="nil"/>
                <w:between w:val="nil"/>
              </w:pBdr>
              <w:jc w:val="both"/>
              <w:rPr>
                <w:color w:val="000000"/>
                <w:sz w:val="22"/>
                <w:szCs w:val="22"/>
              </w:rPr>
            </w:pPr>
            <w:r>
              <w:rPr>
                <w:i/>
                <w:color w:val="000000"/>
                <w:sz w:val="22"/>
                <w:szCs w:val="22"/>
              </w:rPr>
              <w:t xml:space="preserve">Subjekt, ktorý je na základe platnej právnej úpravy oprávnený službu poskytovať </w:t>
            </w:r>
          </w:p>
        </w:tc>
      </w:tr>
      <w:tr w:rsidR="00DE0E1B">
        <w:trPr>
          <w:trHeight w:val="587"/>
        </w:trPr>
        <w:tc>
          <w:tcPr>
            <w:tcW w:w="9371" w:type="dxa"/>
          </w:tcPr>
          <w:p w:rsidR="00DE0E1B" w:rsidRDefault="003B2729">
            <w:pPr>
              <w:widowControl w:val="0"/>
              <w:pBdr>
                <w:top w:val="nil"/>
                <w:left w:val="nil"/>
                <w:bottom w:val="nil"/>
                <w:right w:val="nil"/>
                <w:between w:val="nil"/>
              </w:pBdr>
              <w:jc w:val="both"/>
              <w:rPr>
                <w:color w:val="000000"/>
                <w:sz w:val="22"/>
                <w:szCs w:val="22"/>
              </w:rPr>
            </w:pPr>
            <w:r>
              <w:rPr>
                <w:color w:val="000000"/>
                <w:sz w:val="22"/>
                <w:szCs w:val="22"/>
              </w:rPr>
              <w:t>Centrum právnej pomoci</w:t>
            </w:r>
          </w:p>
        </w:tc>
      </w:tr>
      <w:tr w:rsidR="00DE0E1B">
        <w:trPr>
          <w:trHeight w:val="423"/>
        </w:trPr>
        <w:tc>
          <w:tcPr>
            <w:tcW w:w="9371" w:type="dxa"/>
          </w:tcPr>
          <w:p w:rsidR="00DE0E1B" w:rsidRDefault="00E6488E">
            <w:pPr>
              <w:widowControl w:val="0"/>
              <w:pBdr>
                <w:top w:val="nil"/>
                <w:left w:val="nil"/>
                <w:bottom w:val="nil"/>
                <w:right w:val="nil"/>
                <w:between w:val="nil"/>
              </w:pBdr>
              <w:jc w:val="both"/>
              <w:rPr>
                <w:color w:val="000000"/>
                <w:sz w:val="22"/>
                <w:szCs w:val="22"/>
              </w:rPr>
            </w:pPr>
            <w:r>
              <w:rPr>
                <w:b/>
                <w:color w:val="000000"/>
                <w:sz w:val="24"/>
                <w:szCs w:val="24"/>
              </w:rPr>
              <w:t xml:space="preserve">7.1.3 O aký vplyv na službu verejnej správy ide? </w:t>
            </w:r>
          </w:p>
        </w:tc>
      </w:tr>
      <w:tr w:rsidR="00DE0E1B">
        <w:trPr>
          <w:trHeight w:val="256"/>
        </w:trPr>
        <w:tc>
          <w:tcPr>
            <w:tcW w:w="9371" w:type="dxa"/>
          </w:tcPr>
          <w:p w:rsidR="00DE0E1B" w:rsidRDefault="00E6488E">
            <w:pPr>
              <w:widowControl w:val="0"/>
              <w:pBdr>
                <w:top w:val="nil"/>
                <w:left w:val="nil"/>
                <w:bottom w:val="nil"/>
                <w:right w:val="nil"/>
                <w:between w:val="nil"/>
              </w:pBdr>
              <w:jc w:val="both"/>
              <w:rPr>
                <w:color w:val="000000"/>
                <w:sz w:val="22"/>
                <w:szCs w:val="22"/>
              </w:rPr>
            </w:pPr>
            <w:r>
              <w:rPr>
                <w:i/>
                <w:color w:val="000000"/>
                <w:sz w:val="22"/>
                <w:szCs w:val="22"/>
              </w:rPr>
              <w:t xml:space="preserve">Priamy vplyv (popíšte) </w:t>
            </w:r>
          </w:p>
        </w:tc>
      </w:tr>
      <w:tr w:rsidR="00DE0E1B">
        <w:trPr>
          <w:trHeight w:val="543"/>
        </w:trPr>
        <w:tc>
          <w:tcPr>
            <w:tcW w:w="9371" w:type="dxa"/>
          </w:tcPr>
          <w:p w:rsidR="00B81DCB" w:rsidRDefault="00B81DCB" w:rsidP="00EB13BF">
            <w:pPr>
              <w:jc w:val="both"/>
              <w:rPr>
                <w:color w:val="000000"/>
                <w:sz w:val="22"/>
                <w:szCs w:val="22"/>
              </w:rPr>
            </w:pPr>
            <w:r>
              <w:rPr>
                <w:color w:val="000000"/>
                <w:sz w:val="22"/>
                <w:szCs w:val="22"/>
              </w:rPr>
              <w:t>Zvýšenie</w:t>
            </w:r>
            <w:r w:rsidR="00EB13BF">
              <w:rPr>
                <w:color w:val="000000"/>
                <w:sz w:val="22"/>
                <w:szCs w:val="22"/>
              </w:rPr>
              <w:t xml:space="preserve"> koeficientu materiálnej núdze z 1,4 – 1,6 násobku sumy životného minima na 1,8 – 2,1 násobok sumy životného minima: </w:t>
            </w:r>
            <w:r w:rsidR="00EB13BF" w:rsidRPr="00EB13BF">
              <w:rPr>
                <w:color w:val="000000"/>
                <w:sz w:val="22"/>
                <w:szCs w:val="22"/>
              </w:rPr>
              <w:t xml:space="preserve">Cieľom navrhovanej právnej úpravy je priblíženie právnej pomoci ľuďom, ktorí sa svojím príjmom blížia k hranici minimálnej mzdy. V súčasnosti platné koeficienty, ktoré určujú hranicu materiálnej núdze pre priznanie nároku na poskytnutie právnej pomoci centrom už nestačia na zahrnutie ľudí, ktorí sa pre svoje nízke príjmy nachádzajú v materiálnej núdzi. Preto je potrebné zvýšiť koeficient násobku sumy životného minima, ktorý určuje hornú hranicu pre priznanie nároku na právnu pomoc s finančnou účasťou. Zvyšuje sa koeficient pre definovanie materiálnej núdze pre poskytnutie právnej pomoci s finančnou účasťou a to z 1,6 násobku sumy životného minima na 2,1 násobok sumy životného minima. Zohľadňuje sa rozdiel medzi zvyšovaním životného minima a minimálnej mzdy. Predkladateľ vzal do úvahy, že od roku 2021 priemerne 10% z podaných žiadostí žiadateľov poskytne právnu pomoc  prostredníctvom inštitútu tzv. osobitného zreteľa, ktorý je administratívne náročnejší ako spracovanie žiadosti „bežným“ spôsobom a v súčasnosti pokrýva práve žiadateľov, ktorých príjmy presahujú hranicu materiálnej núdze v súčasnom znení. Pri zvýšení koeficientu materiálnej núdze na 2,1 násobok sumy životného mimina by žiadateľom z tejto skupiny bola priznaná právna pomoc s finančnou účasťou bez posudzovania v rámci inštitútu osobitného zreteľa, čo by znížilo náročnosť administratívneho procesu pre zamestnancov centra, ale aj žiadateľov. Predpokladá sa, že osobitný zreteľ by bol opäť využívaný iba ako mimoriadny inštitút, tak ako bol zákonodarcom pôvodne plánovaný.  </w:t>
            </w:r>
          </w:p>
          <w:p w:rsidR="00B81DCB" w:rsidRDefault="00B81DCB" w:rsidP="006C7CFF">
            <w:pPr>
              <w:widowControl w:val="0"/>
              <w:pBdr>
                <w:top w:val="nil"/>
                <w:left w:val="nil"/>
                <w:bottom w:val="nil"/>
                <w:right w:val="nil"/>
                <w:between w:val="nil"/>
              </w:pBdr>
              <w:jc w:val="both"/>
              <w:rPr>
                <w:color w:val="000000"/>
                <w:sz w:val="22"/>
                <w:szCs w:val="22"/>
              </w:rPr>
            </w:pPr>
          </w:p>
          <w:p w:rsidR="00B81DCB" w:rsidRDefault="00B81DCB" w:rsidP="006C7CFF">
            <w:pPr>
              <w:widowControl w:val="0"/>
              <w:pBdr>
                <w:top w:val="nil"/>
                <w:left w:val="nil"/>
                <w:bottom w:val="nil"/>
                <w:right w:val="nil"/>
                <w:between w:val="nil"/>
              </w:pBdr>
              <w:jc w:val="both"/>
              <w:rPr>
                <w:color w:val="000000"/>
                <w:sz w:val="22"/>
                <w:szCs w:val="22"/>
              </w:rPr>
            </w:pPr>
            <w:r w:rsidRPr="00EB13BF">
              <w:rPr>
                <w:color w:val="000000"/>
                <w:sz w:val="22"/>
                <w:szCs w:val="22"/>
              </w:rPr>
              <w:t xml:space="preserve">Posudzovanie hodnoty sporu prostredníctvom inštitútu násobku životného minima- zabezpečí spravodlivejší a miernejší  limit a súčasne sa tento bude prispôsobovať automaticky </w:t>
            </w:r>
            <w:proofErr w:type="spellStart"/>
            <w:r w:rsidRPr="00EB13BF">
              <w:rPr>
                <w:color w:val="000000"/>
                <w:sz w:val="22"/>
                <w:szCs w:val="22"/>
              </w:rPr>
              <w:t>socio</w:t>
            </w:r>
            <w:proofErr w:type="spellEnd"/>
            <w:r w:rsidRPr="00EB13BF">
              <w:rPr>
                <w:color w:val="000000"/>
                <w:sz w:val="22"/>
                <w:szCs w:val="22"/>
              </w:rPr>
              <w:t xml:space="preserve">-ekonomickej situácii obyvateľstva. Podľa v súčasnosti platného znenia zákona musí byť hodnota sporu najmenej v sume minimálnej mzdy, pričom ale hranica materiálnej núdze, ktorá oprávňuje žiadateľa získať právnu pomoc je oveľa nižšia. </w:t>
            </w:r>
          </w:p>
          <w:p w:rsidR="00B81DCB" w:rsidRDefault="00B81DCB" w:rsidP="006C7CFF">
            <w:pPr>
              <w:widowControl w:val="0"/>
              <w:pBdr>
                <w:top w:val="nil"/>
                <w:left w:val="nil"/>
                <w:bottom w:val="nil"/>
                <w:right w:val="nil"/>
                <w:between w:val="nil"/>
              </w:pBdr>
              <w:jc w:val="both"/>
              <w:rPr>
                <w:color w:val="000000"/>
                <w:sz w:val="22"/>
                <w:szCs w:val="22"/>
              </w:rPr>
            </w:pPr>
          </w:p>
          <w:p w:rsidR="00B81DCB" w:rsidRDefault="00B81DCB" w:rsidP="006C7CFF">
            <w:pPr>
              <w:widowControl w:val="0"/>
              <w:pBdr>
                <w:top w:val="nil"/>
                <w:left w:val="nil"/>
                <w:bottom w:val="nil"/>
                <w:right w:val="nil"/>
                <w:between w:val="nil"/>
              </w:pBdr>
              <w:jc w:val="both"/>
              <w:rPr>
                <w:color w:val="000000"/>
                <w:sz w:val="22"/>
                <w:szCs w:val="22"/>
              </w:rPr>
            </w:pPr>
            <w:r>
              <w:rPr>
                <w:color w:val="000000"/>
                <w:sz w:val="22"/>
                <w:szCs w:val="22"/>
              </w:rPr>
              <w:t>Prístup k právnej pomoci pre osoby žiadajúce o dočasné útočisko a</w:t>
            </w:r>
            <w:r w:rsidR="004C6194">
              <w:rPr>
                <w:color w:val="000000"/>
                <w:sz w:val="22"/>
                <w:szCs w:val="22"/>
              </w:rPr>
              <w:t> </w:t>
            </w:r>
            <w:r>
              <w:rPr>
                <w:color w:val="000000"/>
                <w:sz w:val="22"/>
                <w:szCs w:val="22"/>
              </w:rPr>
              <w:t>odídencov</w:t>
            </w:r>
            <w:r w:rsidR="004C6194">
              <w:rPr>
                <w:color w:val="000000"/>
                <w:sz w:val="22"/>
                <w:szCs w:val="22"/>
              </w:rPr>
              <w:t xml:space="preserve">: </w:t>
            </w:r>
            <w:r w:rsidR="00EB13BF">
              <w:rPr>
                <w:color w:val="000000"/>
                <w:sz w:val="22"/>
                <w:szCs w:val="22"/>
              </w:rPr>
              <w:t>Zavádza sa nárok osôb žiadajúcich o dočasné útočisko a odídencov na právnu pomoc, ktorú centrum poskytuje od vyhlásenia dočasného útočiska vo veľkokapacitných centrách alebo vo svojich kanceláriách (</w:t>
            </w:r>
            <w:proofErr w:type="spellStart"/>
            <w:r w:rsidR="00EB13BF">
              <w:rPr>
                <w:color w:val="000000"/>
                <w:sz w:val="22"/>
                <w:szCs w:val="22"/>
              </w:rPr>
              <w:t>t.j</w:t>
            </w:r>
            <w:proofErr w:type="spellEnd"/>
            <w:r w:rsidR="00EB13BF">
              <w:rPr>
                <w:color w:val="000000"/>
                <w:sz w:val="22"/>
                <w:szCs w:val="22"/>
              </w:rPr>
              <w:t xml:space="preserve">. pomoc s registráciou na dočasné útočisko, informovanosť a v prípade zrušenia dočasného útočiska možnosť priznať právnu pomoc v konaní o správnej žalobe podobne, ako je to v prípade žiadateľov o azyl).  </w:t>
            </w:r>
          </w:p>
          <w:p w:rsidR="00B81DCB" w:rsidRDefault="00B81DCB" w:rsidP="006C7CFF">
            <w:pPr>
              <w:widowControl w:val="0"/>
              <w:pBdr>
                <w:top w:val="nil"/>
                <w:left w:val="nil"/>
                <w:bottom w:val="nil"/>
                <w:right w:val="nil"/>
                <w:between w:val="nil"/>
              </w:pBdr>
              <w:jc w:val="both"/>
              <w:rPr>
                <w:color w:val="000000"/>
                <w:sz w:val="22"/>
                <w:szCs w:val="22"/>
              </w:rPr>
            </w:pPr>
          </w:p>
          <w:p w:rsidR="00C065B1" w:rsidRDefault="00C065B1" w:rsidP="00EB13BF">
            <w:pPr>
              <w:widowControl w:val="0"/>
              <w:pBdr>
                <w:top w:val="nil"/>
                <w:left w:val="nil"/>
                <w:bottom w:val="nil"/>
                <w:right w:val="nil"/>
                <w:between w:val="nil"/>
              </w:pBdr>
              <w:jc w:val="both"/>
              <w:rPr>
                <w:color w:val="000000"/>
                <w:sz w:val="22"/>
                <w:szCs w:val="22"/>
              </w:rPr>
            </w:pPr>
          </w:p>
          <w:p w:rsidR="00567AC9" w:rsidRDefault="00B81DCB" w:rsidP="00EB13BF">
            <w:pPr>
              <w:widowControl w:val="0"/>
              <w:pBdr>
                <w:top w:val="nil"/>
                <w:left w:val="nil"/>
                <w:bottom w:val="nil"/>
                <w:right w:val="nil"/>
                <w:between w:val="nil"/>
              </w:pBdr>
              <w:jc w:val="both"/>
              <w:rPr>
                <w:color w:val="000000"/>
                <w:sz w:val="22"/>
                <w:szCs w:val="22"/>
              </w:rPr>
            </w:pPr>
            <w:r>
              <w:rPr>
                <w:color w:val="000000"/>
                <w:sz w:val="22"/>
                <w:szCs w:val="22"/>
              </w:rPr>
              <w:t xml:space="preserve">Zvýšenie poplatku za predbežnú konzultáciu a zavedenie poplatku za spracovanie žiadosti o osobný bankrot: V súčasnosti je poplatok za predbežnú konzultáciu v Centre právnej pomoci 4,50 </w:t>
            </w:r>
            <w:r w:rsidR="00EB13BF">
              <w:rPr>
                <w:color w:val="000000"/>
                <w:sz w:val="22"/>
                <w:szCs w:val="22"/>
              </w:rPr>
              <w:t>eur</w:t>
            </w:r>
            <w:r>
              <w:rPr>
                <w:color w:val="000000"/>
                <w:sz w:val="22"/>
                <w:szCs w:val="22"/>
              </w:rPr>
              <w:t xml:space="preserve"> a nie je možné jeho odpustenie. K zvýšeniu dochádza z manipulačných a ekonomických dôvodov o </w:t>
            </w:r>
            <w:r w:rsidR="007D1EF1">
              <w:rPr>
                <w:color w:val="000000"/>
                <w:sz w:val="22"/>
                <w:szCs w:val="22"/>
              </w:rPr>
              <w:t>1</w:t>
            </w:r>
            <w:r>
              <w:rPr>
                <w:color w:val="000000"/>
                <w:sz w:val="22"/>
                <w:szCs w:val="22"/>
              </w:rPr>
              <w:t xml:space="preserve">,50 </w:t>
            </w:r>
            <w:r w:rsidR="00EB13BF">
              <w:rPr>
                <w:color w:val="000000"/>
                <w:sz w:val="22"/>
                <w:szCs w:val="22"/>
              </w:rPr>
              <w:t>eur</w:t>
            </w:r>
            <w:r>
              <w:rPr>
                <w:color w:val="000000"/>
                <w:sz w:val="22"/>
                <w:szCs w:val="22"/>
              </w:rPr>
              <w:t>, čo nebude mať výrazný dopad na osoby, ktoré potrebujú predbežnú konzultáciu. Okrem toho sa zavedie možnosť odpustiť poplatok za predbežnú konzultáciu, čo umožní zohľadniť osobitnú situáciu oprávnených osôb a tiež charakter predbežnej konzultácie (napr. ak išlo len</w:t>
            </w:r>
            <w:r w:rsidR="00EB13BF">
              <w:rPr>
                <w:color w:val="000000"/>
                <w:sz w:val="22"/>
                <w:szCs w:val="22"/>
              </w:rPr>
              <w:t xml:space="preserve"> o vyplnenie formulárov a pod.). </w:t>
            </w:r>
            <w:r w:rsidR="00E14F23" w:rsidRPr="004F611A">
              <w:rPr>
                <w:color w:val="000000"/>
                <w:sz w:val="22"/>
                <w:szCs w:val="22"/>
              </w:rPr>
              <w:t>Za rok 2023 poskytlo centrum 3</w:t>
            </w:r>
            <w:r w:rsidR="004E74EC">
              <w:rPr>
                <w:color w:val="000000"/>
                <w:sz w:val="22"/>
                <w:szCs w:val="22"/>
              </w:rPr>
              <w:t>.</w:t>
            </w:r>
            <w:r w:rsidR="00E14F23" w:rsidRPr="004F611A">
              <w:rPr>
                <w:color w:val="000000"/>
                <w:sz w:val="22"/>
                <w:szCs w:val="22"/>
              </w:rPr>
              <w:t>825 predbežných konzultácií podliehajúcich spoplatneniu poplatkom 4,50 eur, čo predstavovalo výber 17</w:t>
            </w:r>
            <w:r w:rsidR="004E74EC">
              <w:rPr>
                <w:color w:val="000000"/>
                <w:sz w:val="22"/>
                <w:szCs w:val="22"/>
              </w:rPr>
              <w:t>.</w:t>
            </w:r>
            <w:r w:rsidR="00E14F23" w:rsidRPr="004F611A">
              <w:rPr>
                <w:color w:val="000000"/>
                <w:sz w:val="22"/>
                <w:szCs w:val="22"/>
              </w:rPr>
              <w:t>212,50 eur. V prípade zvýšenia poplatku o </w:t>
            </w:r>
            <w:r w:rsidR="007D1EF1">
              <w:rPr>
                <w:color w:val="000000"/>
                <w:sz w:val="22"/>
                <w:szCs w:val="22"/>
              </w:rPr>
              <w:t>1</w:t>
            </w:r>
            <w:r w:rsidR="00E14F23" w:rsidRPr="004F611A">
              <w:rPr>
                <w:color w:val="000000"/>
                <w:sz w:val="22"/>
                <w:szCs w:val="22"/>
              </w:rPr>
              <w:t xml:space="preserve">,50 eur by bol predpokladaný výber </w:t>
            </w:r>
            <w:r w:rsidR="007D1EF1" w:rsidRPr="007D1EF1">
              <w:rPr>
                <w:color w:val="000000"/>
                <w:sz w:val="22"/>
                <w:szCs w:val="22"/>
              </w:rPr>
              <w:t>22</w:t>
            </w:r>
            <w:r w:rsidR="007D1EF1">
              <w:rPr>
                <w:color w:val="000000"/>
                <w:sz w:val="22"/>
                <w:szCs w:val="22"/>
              </w:rPr>
              <w:t>.</w:t>
            </w:r>
            <w:r w:rsidR="007D1EF1" w:rsidRPr="007D1EF1">
              <w:rPr>
                <w:color w:val="000000"/>
                <w:sz w:val="22"/>
                <w:szCs w:val="22"/>
              </w:rPr>
              <w:t>950</w:t>
            </w:r>
            <w:r w:rsidR="00E14F23" w:rsidRPr="004F611A">
              <w:rPr>
                <w:color w:val="000000"/>
                <w:sz w:val="22"/>
                <w:szCs w:val="22"/>
              </w:rPr>
              <w:t xml:space="preserve"> eur, teda celkové zvýšenie by bolo v</w:t>
            </w:r>
            <w:r w:rsidR="007D1EF1">
              <w:rPr>
                <w:color w:val="000000"/>
                <w:sz w:val="22"/>
                <w:szCs w:val="22"/>
              </w:rPr>
              <w:t> </w:t>
            </w:r>
            <w:r w:rsidR="00E14F23" w:rsidRPr="004F611A">
              <w:rPr>
                <w:color w:val="000000"/>
                <w:sz w:val="22"/>
                <w:szCs w:val="22"/>
              </w:rPr>
              <w:t>hodnote</w:t>
            </w:r>
            <w:r w:rsidR="007D1EF1">
              <w:rPr>
                <w:color w:val="000000"/>
                <w:sz w:val="22"/>
                <w:szCs w:val="22"/>
              </w:rPr>
              <w:t xml:space="preserve"> </w:t>
            </w:r>
            <w:r w:rsidR="007D1EF1" w:rsidRPr="007D1EF1">
              <w:rPr>
                <w:color w:val="000000"/>
                <w:sz w:val="22"/>
                <w:szCs w:val="22"/>
              </w:rPr>
              <w:t>5</w:t>
            </w:r>
            <w:r w:rsidR="007D1EF1">
              <w:rPr>
                <w:color w:val="000000"/>
                <w:sz w:val="22"/>
                <w:szCs w:val="22"/>
              </w:rPr>
              <w:t>.</w:t>
            </w:r>
            <w:r w:rsidR="007D1EF1" w:rsidRPr="007D1EF1">
              <w:rPr>
                <w:color w:val="000000"/>
                <w:sz w:val="22"/>
                <w:szCs w:val="22"/>
              </w:rPr>
              <w:t>737,5</w:t>
            </w:r>
            <w:r w:rsidR="007D1EF1">
              <w:rPr>
                <w:color w:val="000000"/>
                <w:sz w:val="22"/>
                <w:szCs w:val="22"/>
              </w:rPr>
              <w:t xml:space="preserve">0 </w:t>
            </w:r>
            <w:r w:rsidR="00E14F23" w:rsidRPr="004F611A">
              <w:rPr>
                <w:color w:val="000000"/>
                <w:sz w:val="22"/>
                <w:szCs w:val="22"/>
              </w:rPr>
              <w:t>eur. V</w:t>
            </w:r>
            <w:r w:rsidR="007D1EF1">
              <w:rPr>
                <w:color w:val="000000"/>
                <w:sz w:val="22"/>
                <w:szCs w:val="22"/>
              </w:rPr>
              <w:t xml:space="preserve"> </w:t>
            </w:r>
            <w:r w:rsidR="00E14F23" w:rsidRPr="004F611A">
              <w:rPr>
                <w:color w:val="000000"/>
                <w:sz w:val="22"/>
                <w:szCs w:val="22"/>
              </w:rPr>
              <w:t>prípade oddlženia bolo roku 2023 poskytnutých 24</w:t>
            </w:r>
            <w:r w:rsidR="004E74EC">
              <w:rPr>
                <w:color w:val="000000"/>
                <w:sz w:val="22"/>
                <w:szCs w:val="22"/>
              </w:rPr>
              <w:t>.</w:t>
            </w:r>
            <w:r w:rsidR="00E14F23" w:rsidRPr="004F611A">
              <w:rPr>
                <w:color w:val="000000"/>
                <w:sz w:val="22"/>
                <w:szCs w:val="22"/>
              </w:rPr>
              <w:t xml:space="preserve">554 konzultácií, čo by pri zavedení poplatku </w:t>
            </w:r>
            <w:r w:rsidR="003F22D5">
              <w:rPr>
                <w:color w:val="000000"/>
                <w:sz w:val="22"/>
                <w:szCs w:val="22"/>
              </w:rPr>
              <w:t>6</w:t>
            </w:r>
            <w:r w:rsidR="007D1EF1">
              <w:rPr>
                <w:color w:val="000000"/>
                <w:sz w:val="22"/>
                <w:szCs w:val="22"/>
              </w:rPr>
              <w:t xml:space="preserve"> </w:t>
            </w:r>
            <w:r w:rsidR="00E14F23" w:rsidRPr="004F611A">
              <w:rPr>
                <w:color w:val="000000"/>
                <w:sz w:val="22"/>
                <w:szCs w:val="22"/>
              </w:rPr>
              <w:t xml:space="preserve">eur mohlo predstavovať výber </w:t>
            </w:r>
            <w:r w:rsidR="003F22D5" w:rsidRPr="003F22D5">
              <w:rPr>
                <w:color w:val="000000"/>
                <w:sz w:val="22"/>
                <w:szCs w:val="22"/>
              </w:rPr>
              <w:t>147</w:t>
            </w:r>
            <w:r w:rsidR="003F22D5">
              <w:rPr>
                <w:color w:val="000000"/>
                <w:sz w:val="22"/>
                <w:szCs w:val="22"/>
              </w:rPr>
              <w:t>.</w:t>
            </w:r>
            <w:r w:rsidR="003F22D5" w:rsidRPr="003F22D5">
              <w:rPr>
                <w:color w:val="000000"/>
                <w:sz w:val="22"/>
                <w:szCs w:val="22"/>
              </w:rPr>
              <w:t>324</w:t>
            </w:r>
            <w:r w:rsidR="003F22D5">
              <w:rPr>
                <w:color w:val="000000"/>
                <w:sz w:val="22"/>
                <w:szCs w:val="22"/>
              </w:rPr>
              <w:t xml:space="preserve"> </w:t>
            </w:r>
            <w:r w:rsidR="00E14F23" w:rsidRPr="004F611A">
              <w:rPr>
                <w:color w:val="000000"/>
                <w:sz w:val="22"/>
                <w:szCs w:val="22"/>
              </w:rPr>
              <w:t>eur.  Pre porovnanie v roku 2022 bolo poskytnutých 24</w:t>
            </w:r>
            <w:r w:rsidR="004E74EC">
              <w:rPr>
                <w:color w:val="000000"/>
                <w:sz w:val="22"/>
                <w:szCs w:val="22"/>
              </w:rPr>
              <w:t>.</w:t>
            </w:r>
            <w:r w:rsidR="00E14F23" w:rsidRPr="004F611A">
              <w:rPr>
                <w:color w:val="000000"/>
                <w:sz w:val="22"/>
                <w:szCs w:val="22"/>
              </w:rPr>
              <w:t xml:space="preserve">009 predbežných konzultácií, čo by v prípade spoplatnenia všetkých konzultácií v sume </w:t>
            </w:r>
            <w:r w:rsidR="003F22D5">
              <w:rPr>
                <w:color w:val="000000"/>
                <w:sz w:val="22"/>
                <w:szCs w:val="22"/>
              </w:rPr>
              <w:t>6</w:t>
            </w:r>
            <w:r w:rsidR="00E14F23" w:rsidRPr="004F611A">
              <w:rPr>
                <w:color w:val="000000"/>
                <w:sz w:val="22"/>
                <w:szCs w:val="22"/>
              </w:rPr>
              <w:t xml:space="preserve"> eur mohlo predstavovať príjem až do výšky </w:t>
            </w:r>
            <w:r w:rsidR="003F22D5" w:rsidRPr="003F22D5">
              <w:rPr>
                <w:color w:val="000000"/>
                <w:sz w:val="22"/>
                <w:szCs w:val="22"/>
              </w:rPr>
              <w:t>144</w:t>
            </w:r>
            <w:r w:rsidR="003F22D5">
              <w:rPr>
                <w:color w:val="000000"/>
                <w:sz w:val="22"/>
                <w:szCs w:val="22"/>
              </w:rPr>
              <w:t>.</w:t>
            </w:r>
            <w:r w:rsidR="003F22D5" w:rsidRPr="003F22D5">
              <w:rPr>
                <w:color w:val="000000"/>
                <w:sz w:val="22"/>
                <w:szCs w:val="22"/>
              </w:rPr>
              <w:t>054</w:t>
            </w:r>
            <w:r w:rsidR="003F22D5">
              <w:rPr>
                <w:color w:val="000000"/>
                <w:sz w:val="22"/>
                <w:szCs w:val="22"/>
              </w:rPr>
              <w:t xml:space="preserve"> </w:t>
            </w:r>
            <w:r w:rsidR="00E14F23" w:rsidRPr="004F611A">
              <w:rPr>
                <w:color w:val="000000"/>
                <w:sz w:val="22"/>
                <w:szCs w:val="22"/>
              </w:rPr>
              <w:t>eur.</w:t>
            </w:r>
            <w:r w:rsidR="00E14F23" w:rsidRPr="00060B31">
              <w:rPr>
                <w:bCs/>
                <w:color w:val="000000"/>
                <w:sz w:val="24"/>
                <w:szCs w:val="24"/>
              </w:rPr>
              <w:t xml:space="preserve"> </w:t>
            </w:r>
            <w:r w:rsidR="00EB13BF" w:rsidRPr="00EB13BF">
              <w:rPr>
                <w:color w:val="000000"/>
                <w:sz w:val="22"/>
                <w:szCs w:val="22"/>
              </w:rPr>
              <w:t xml:space="preserve">Zavedenie poplatku za predbežnú konzultáciu aj vo veci oddlženia – v súčasnosti sa poplatok za predbežnú konzultáciu vo veci oddlženia nevyberá, žiadatelia o právnu pomoc vo veci oddlženia sú tak zvýhodnení oproti žiadateľom v tzv. civilných veciach, pričom pri oddlžení sa neskúma stav materiálnej núdze. Zavedením poplatku za predbežnú konzultáciu vo veci oddlženia tak zjednotíme podmienky pre žiadateľov, ktorí žiadajú o poskytnutie právnej pomoci v tzv. civilných veciach aj pre tých, ktorí sa informujú o procese oddlženia. </w:t>
            </w:r>
            <w:r w:rsidR="00567AC9">
              <w:rPr>
                <w:color w:val="000000"/>
                <w:sz w:val="22"/>
                <w:szCs w:val="22"/>
              </w:rPr>
              <w:t xml:space="preserve">Súčasne sa zavádza poplatok za </w:t>
            </w:r>
            <w:r w:rsidR="00567AC9" w:rsidRPr="00567AC9">
              <w:rPr>
                <w:color w:val="000000"/>
                <w:sz w:val="22"/>
                <w:szCs w:val="22"/>
              </w:rPr>
              <w:t>žiadosť o poskytnutie právne pomoci v konaní o oddlžení vo výške 50 eur. Predpokladá, že pôjde cca o 6.000 žiadostí ročne.</w:t>
            </w:r>
          </w:p>
          <w:p w:rsidR="000957F3" w:rsidRDefault="000957F3" w:rsidP="00EB13BF">
            <w:pPr>
              <w:widowControl w:val="0"/>
              <w:pBdr>
                <w:top w:val="nil"/>
                <w:left w:val="nil"/>
                <w:bottom w:val="nil"/>
                <w:right w:val="nil"/>
                <w:between w:val="nil"/>
              </w:pBdr>
              <w:jc w:val="both"/>
              <w:rPr>
                <w:color w:val="000000"/>
                <w:sz w:val="22"/>
                <w:szCs w:val="22"/>
              </w:rPr>
            </w:pPr>
          </w:p>
          <w:p w:rsidR="00B81DCB" w:rsidRPr="00FB0019" w:rsidRDefault="000957F3" w:rsidP="00567AC9">
            <w:pPr>
              <w:shd w:val="clear" w:color="auto" w:fill="FFFFFF"/>
              <w:jc w:val="both"/>
              <w:rPr>
                <w:color w:val="000000"/>
                <w:sz w:val="24"/>
                <w:szCs w:val="24"/>
              </w:rPr>
            </w:pPr>
            <w:r>
              <w:rPr>
                <w:color w:val="000000"/>
                <w:sz w:val="22"/>
                <w:szCs w:val="22"/>
              </w:rPr>
              <w:t>Správa pohľadávky štátu vzniknutá podľa § 24i zákona. V súčasnosti platí, že h</w:t>
            </w:r>
            <w:r w:rsidRPr="000957F3">
              <w:rPr>
                <w:color w:val="000000"/>
                <w:sz w:val="22"/>
                <w:szCs w:val="22"/>
              </w:rPr>
              <w:t>odnotu poskytnutého preddavku na úhradu paušálnej odmeny správcu v konaní o oddlžení je dlžník povinný vrátiť centru v mesačných splátkach do troch rokov od jeho poskytnutia; výška mesačných splátok sa určí v dohode o splátkach, ktorú uzatvára centrum a dlžník.</w:t>
            </w:r>
            <w:r>
              <w:rPr>
                <w:color w:val="000000"/>
                <w:sz w:val="22"/>
                <w:szCs w:val="22"/>
              </w:rPr>
              <w:t xml:space="preserve"> </w:t>
            </w:r>
            <w:r w:rsidR="000D39B9" w:rsidRPr="00B23511">
              <w:rPr>
                <w:sz w:val="22"/>
                <w:szCs w:val="22"/>
              </w:rPr>
              <w:t xml:space="preserve">Cieľom novej úpravy je odbremeniť centrum od </w:t>
            </w:r>
            <w:r w:rsidR="007F17F1" w:rsidRPr="00B23511">
              <w:rPr>
                <w:sz w:val="22"/>
                <w:szCs w:val="22"/>
              </w:rPr>
              <w:t xml:space="preserve">neúmernej záťaže </w:t>
            </w:r>
            <w:r w:rsidR="000D39B9" w:rsidRPr="00B23511">
              <w:rPr>
                <w:sz w:val="22"/>
                <w:szCs w:val="22"/>
              </w:rPr>
              <w:t>a preniesť bremeno zodpovednosti na dlžníka.</w:t>
            </w:r>
            <w:r w:rsidR="000D39B9">
              <w:rPr>
                <w:sz w:val="24"/>
                <w:szCs w:val="24"/>
              </w:rPr>
              <w:t xml:space="preserve"> Táto úprava bude pozitívne vplývať aj na finančnú disciplínu dlžníkov, </w:t>
            </w:r>
            <w:r w:rsidR="005D09F3" w:rsidRPr="004F611A">
              <w:rPr>
                <w:color w:val="000000"/>
                <w:sz w:val="22"/>
                <w:szCs w:val="22"/>
              </w:rPr>
              <w:t>ktorí si budú musieť nastaviť svoje finančné hospodárenie tak, aby vedeli splatiť poskytnutý preddavok na úhradu paušálnej odmeny správcu v konaní o oddlžení v kratšom časovom období</w:t>
            </w:r>
            <w:r w:rsidR="00E976BB" w:rsidRPr="004F611A">
              <w:rPr>
                <w:color w:val="000000"/>
                <w:sz w:val="22"/>
                <w:szCs w:val="22"/>
              </w:rPr>
              <w:t xml:space="preserve"> a to v lehote dvoch rokov od jeho poskytnutia</w:t>
            </w:r>
            <w:r w:rsidR="005D09F3" w:rsidRPr="004F611A">
              <w:rPr>
                <w:color w:val="000000"/>
                <w:sz w:val="22"/>
                <w:szCs w:val="22"/>
              </w:rPr>
              <w:t>.</w:t>
            </w:r>
            <w:r w:rsidR="000D39B9" w:rsidRPr="004F611A">
              <w:rPr>
                <w:color w:val="000000"/>
                <w:sz w:val="22"/>
                <w:szCs w:val="22"/>
              </w:rPr>
              <w:t xml:space="preserve"> </w:t>
            </w:r>
            <w:r w:rsidR="000D39B9" w:rsidRPr="004F611A">
              <w:rPr>
                <w:sz w:val="22"/>
                <w:szCs w:val="22"/>
              </w:rPr>
              <w:t>Nové ustanovenie má za cieľ aj nastavenie zreteľných procesných postupov pri vymáhaní pohľadávky centra z titulu zmluvy o pôžičke špecifikujúc jej charakter a zároveň upravujúc nároky z titulu príslušenstva. Ďalej sa upravuje vracanie preplatkov tak, že z dôvodu administratívnej záťaže a celkových nákladov na vrátenie peňažných plnení, sa budú vracať preplatky dlžníka len v sume prevyšujúcej hodnotu 5 eur.</w:t>
            </w:r>
          </w:p>
          <w:p w:rsidR="00DE0E1B" w:rsidRPr="006C7CFF" w:rsidRDefault="00DE0E1B" w:rsidP="00B81DCB">
            <w:pPr>
              <w:widowControl w:val="0"/>
              <w:pBdr>
                <w:top w:val="nil"/>
                <w:left w:val="nil"/>
                <w:bottom w:val="nil"/>
                <w:right w:val="nil"/>
                <w:between w:val="nil"/>
              </w:pBdr>
              <w:jc w:val="both"/>
              <w:rPr>
                <w:color w:val="000000"/>
                <w:sz w:val="22"/>
                <w:szCs w:val="22"/>
                <w:highlight w:val="yellow"/>
              </w:rPr>
            </w:pP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2"/>
                <w:szCs w:val="22"/>
              </w:rPr>
            </w:pPr>
            <w:r>
              <w:rPr>
                <w:i/>
                <w:color w:val="000000"/>
                <w:sz w:val="22"/>
                <w:szCs w:val="22"/>
              </w:rPr>
              <w:lastRenderedPageBreak/>
              <w:t xml:space="preserve">Nepriamy vplyv (popíšte) </w:t>
            </w:r>
          </w:p>
        </w:tc>
      </w:tr>
      <w:tr w:rsidR="00DE0E1B">
        <w:trPr>
          <w:trHeight w:val="616"/>
        </w:trPr>
        <w:tc>
          <w:tcPr>
            <w:tcW w:w="9371" w:type="dxa"/>
          </w:tcPr>
          <w:p w:rsidR="00DE0E1B" w:rsidRDefault="00DE0E1B">
            <w:pPr>
              <w:widowControl w:val="0"/>
              <w:pBdr>
                <w:top w:val="nil"/>
                <w:left w:val="nil"/>
                <w:bottom w:val="nil"/>
                <w:right w:val="nil"/>
                <w:between w:val="nil"/>
              </w:pBdr>
              <w:jc w:val="both"/>
              <w:rPr>
                <w:color w:val="000000"/>
                <w:sz w:val="22"/>
                <w:szCs w:val="22"/>
              </w:rPr>
            </w:pPr>
          </w:p>
        </w:tc>
      </w:tr>
      <w:tr w:rsidR="00DE0E1B">
        <w:trPr>
          <w:trHeight w:val="20"/>
        </w:trPr>
        <w:tc>
          <w:tcPr>
            <w:tcW w:w="9371" w:type="dxa"/>
            <w:shd w:val="clear" w:color="auto" w:fill="C0C0C0"/>
            <w:vAlign w:val="center"/>
          </w:tcPr>
          <w:p w:rsidR="00DE0E1B" w:rsidRDefault="00E6488E">
            <w:pPr>
              <w:widowControl w:val="0"/>
              <w:pBdr>
                <w:top w:val="nil"/>
                <w:left w:val="nil"/>
                <w:bottom w:val="nil"/>
                <w:right w:val="nil"/>
                <w:between w:val="nil"/>
              </w:pBdr>
              <w:jc w:val="center"/>
              <w:rPr>
                <w:color w:val="000000"/>
                <w:sz w:val="28"/>
                <w:szCs w:val="28"/>
              </w:rPr>
            </w:pPr>
            <w:r>
              <w:rPr>
                <w:b/>
                <w:color w:val="000000"/>
                <w:sz w:val="28"/>
                <w:szCs w:val="28"/>
              </w:rPr>
              <w:t>7.2 Vplyv služieb verejnej správy na občana</w:t>
            </w:r>
          </w:p>
        </w:tc>
      </w:tr>
      <w:tr w:rsidR="00DE0E1B">
        <w:trPr>
          <w:trHeight w:val="388"/>
        </w:trPr>
        <w:tc>
          <w:tcPr>
            <w:tcW w:w="9371" w:type="dxa"/>
          </w:tcPr>
          <w:p w:rsidR="00DE0E1B" w:rsidRDefault="00E6488E">
            <w:pPr>
              <w:widowControl w:val="0"/>
              <w:pBdr>
                <w:top w:val="nil"/>
                <w:left w:val="nil"/>
                <w:bottom w:val="nil"/>
                <w:right w:val="nil"/>
                <w:between w:val="nil"/>
              </w:pBdr>
              <w:jc w:val="both"/>
              <w:rPr>
                <w:color w:val="000000"/>
                <w:sz w:val="24"/>
                <w:szCs w:val="24"/>
              </w:rPr>
            </w:pPr>
            <w:r>
              <w:rPr>
                <w:b/>
                <w:color w:val="000000"/>
                <w:sz w:val="24"/>
                <w:szCs w:val="24"/>
              </w:rPr>
              <w:t xml:space="preserve">7.2.1 Náklady </w:t>
            </w:r>
          </w:p>
        </w:tc>
      </w:tr>
      <w:tr w:rsidR="00DE0E1B">
        <w:trPr>
          <w:trHeight w:val="226"/>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 xml:space="preserve">Zníženie priamych finančných nákladov </w:t>
            </w:r>
          </w:p>
        </w:tc>
      </w:tr>
      <w:tr w:rsidR="00DE0E1B">
        <w:trPr>
          <w:trHeight w:val="599"/>
        </w:trPr>
        <w:tc>
          <w:tcPr>
            <w:tcW w:w="9371" w:type="dxa"/>
          </w:tcPr>
          <w:p w:rsidR="00DE0E1B" w:rsidRPr="004F611A" w:rsidRDefault="00FB0019">
            <w:pPr>
              <w:widowControl w:val="0"/>
              <w:pBdr>
                <w:top w:val="nil"/>
                <w:left w:val="nil"/>
                <w:bottom w:val="nil"/>
                <w:right w:val="nil"/>
                <w:between w:val="nil"/>
              </w:pBdr>
              <w:jc w:val="both"/>
              <w:rPr>
                <w:color w:val="000000"/>
                <w:sz w:val="22"/>
                <w:szCs w:val="22"/>
              </w:rPr>
            </w:pPr>
            <w:r w:rsidRPr="004F611A">
              <w:rPr>
                <w:color w:val="000000"/>
                <w:sz w:val="22"/>
                <w:szCs w:val="22"/>
              </w:rPr>
              <w:t xml:space="preserve">Zavedenie možnosti </w:t>
            </w:r>
            <w:r w:rsidR="00A53EB4" w:rsidRPr="004F611A">
              <w:rPr>
                <w:color w:val="000000"/>
                <w:sz w:val="22"/>
                <w:szCs w:val="22"/>
              </w:rPr>
              <w:t>odpustiť poplatok za predbežnú konzultáciu</w:t>
            </w:r>
            <w:r w:rsidR="000D39B9" w:rsidRPr="004F611A">
              <w:rPr>
                <w:color w:val="000000"/>
                <w:sz w:val="22"/>
                <w:szCs w:val="22"/>
              </w:rPr>
              <w:t>.</w:t>
            </w:r>
          </w:p>
        </w:tc>
      </w:tr>
      <w:tr w:rsidR="00DE0E1B">
        <w:trPr>
          <w:trHeight w:val="294"/>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Zvýšenie priamych finančných nákladov</w:t>
            </w:r>
          </w:p>
        </w:tc>
      </w:tr>
      <w:tr w:rsidR="00DE0E1B">
        <w:trPr>
          <w:trHeight w:val="572"/>
        </w:trPr>
        <w:tc>
          <w:tcPr>
            <w:tcW w:w="9371" w:type="dxa"/>
          </w:tcPr>
          <w:p w:rsidR="00DE0E1B" w:rsidRPr="004F611A" w:rsidRDefault="003B2729">
            <w:pPr>
              <w:widowControl w:val="0"/>
              <w:pBdr>
                <w:top w:val="nil"/>
                <w:left w:val="nil"/>
                <w:bottom w:val="nil"/>
                <w:right w:val="nil"/>
                <w:between w:val="nil"/>
              </w:pBdr>
              <w:jc w:val="both"/>
              <w:rPr>
                <w:color w:val="000000"/>
                <w:sz w:val="22"/>
                <w:szCs w:val="22"/>
              </w:rPr>
            </w:pPr>
            <w:r w:rsidRPr="004F611A">
              <w:rPr>
                <w:color w:val="000000"/>
                <w:sz w:val="22"/>
                <w:szCs w:val="22"/>
              </w:rPr>
              <w:t>Zvyšuje sa poplatok  za poskytnutie predbežnej konzultácie o </w:t>
            </w:r>
            <w:r w:rsidR="003F22D5">
              <w:rPr>
                <w:color w:val="000000"/>
                <w:sz w:val="22"/>
                <w:szCs w:val="22"/>
              </w:rPr>
              <w:t>1</w:t>
            </w:r>
            <w:r w:rsidRPr="004F611A">
              <w:rPr>
                <w:color w:val="000000"/>
                <w:sz w:val="22"/>
                <w:szCs w:val="22"/>
              </w:rPr>
              <w:t xml:space="preserve">,50 </w:t>
            </w:r>
            <w:r w:rsidR="00EB13BF" w:rsidRPr="004F611A">
              <w:rPr>
                <w:color w:val="000000"/>
                <w:sz w:val="22"/>
                <w:szCs w:val="22"/>
              </w:rPr>
              <w:t xml:space="preserve">eur na </w:t>
            </w:r>
            <w:r w:rsidR="003F22D5">
              <w:rPr>
                <w:color w:val="000000"/>
                <w:sz w:val="22"/>
                <w:szCs w:val="22"/>
              </w:rPr>
              <w:t>6</w:t>
            </w:r>
            <w:r w:rsidR="00EB13BF" w:rsidRPr="004F611A">
              <w:rPr>
                <w:color w:val="000000"/>
                <w:sz w:val="22"/>
                <w:szCs w:val="22"/>
              </w:rPr>
              <w:t xml:space="preserve"> eur.</w:t>
            </w:r>
          </w:p>
          <w:p w:rsidR="003B2729" w:rsidRDefault="003B2729" w:rsidP="00EB13BF">
            <w:pPr>
              <w:widowControl w:val="0"/>
              <w:pBdr>
                <w:top w:val="nil"/>
                <w:left w:val="nil"/>
                <w:bottom w:val="nil"/>
                <w:right w:val="nil"/>
                <w:between w:val="nil"/>
              </w:pBdr>
              <w:jc w:val="both"/>
              <w:rPr>
                <w:color w:val="000000"/>
                <w:sz w:val="22"/>
                <w:szCs w:val="22"/>
              </w:rPr>
            </w:pPr>
            <w:r w:rsidRPr="004F611A">
              <w:rPr>
                <w:color w:val="000000"/>
                <w:sz w:val="22"/>
                <w:szCs w:val="22"/>
              </w:rPr>
              <w:t xml:space="preserve">Zavádza sa poplatok za </w:t>
            </w:r>
            <w:r w:rsidR="00EB13BF" w:rsidRPr="004F611A">
              <w:rPr>
                <w:color w:val="000000"/>
                <w:sz w:val="22"/>
                <w:szCs w:val="22"/>
              </w:rPr>
              <w:t xml:space="preserve">poskytnutie predbežnej konzultácie vo veci oddlženia v sume </w:t>
            </w:r>
            <w:r w:rsidR="003F22D5">
              <w:rPr>
                <w:color w:val="000000"/>
                <w:sz w:val="22"/>
                <w:szCs w:val="22"/>
              </w:rPr>
              <w:t>6</w:t>
            </w:r>
            <w:r w:rsidR="00EB13BF" w:rsidRPr="004F611A">
              <w:rPr>
                <w:color w:val="000000"/>
                <w:sz w:val="22"/>
                <w:szCs w:val="22"/>
              </w:rPr>
              <w:t xml:space="preserve"> </w:t>
            </w:r>
            <w:r w:rsidR="00523E5D">
              <w:rPr>
                <w:color w:val="000000"/>
                <w:sz w:val="22"/>
                <w:szCs w:val="22"/>
              </w:rPr>
              <w:t>eur</w:t>
            </w:r>
            <w:r w:rsidR="00EB13BF" w:rsidRPr="004F611A">
              <w:rPr>
                <w:color w:val="000000"/>
                <w:sz w:val="22"/>
                <w:szCs w:val="22"/>
              </w:rPr>
              <w:t xml:space="preserve">. </w:t>
            </w:r>
          </w:p>
          <w:p w:rsidR="00523E5D" w:rsidRPr="004F611A" w:rsidRDefault="00523E5D" w:rsidP="00EB13BF">
            <w:pPr>
              <w:widowControl w:val="0"/>
              <w:pBdr>
                <w:top w:val="nil"/>
                <w:left w:val="nil"/>
                <w:bottom w:val="nil"/>
                <w:right w:val="nil"/>
                <w:between w:val="nil"/>
              </w:pBdr>
              <w:jc w:val="both"/>
              <w:rPr>
                <w:color w:val="000000"/>
                <w:sz w:val="22"/>
                <w:szCs w:val="22"/>
              </w:rPr>
            </w:pPr>
            <w:r w:rsidRPr="004F611A">
              <w:rPr>
                <w:color w:val="000000"/>
                <w:sz w:val="22"/>
                <w:szCs w:val="22"/>
              </w:rPr>
              <w:t xml:space="preserve">Zavádza sa poplatok za </w:t>
            </w:r>
            <w:r w:rsidRPr="00523E5D">
              <w:rPr>
                <w:color w:val="000000"/>
                <w:sz w:val="22"/>
                <w:szCs w:val="22"/>
              </w:rPr>
              <w:t>žiados</w:t>
            </w:r>
            <w:r>
              <w:rPr>
                <w:color w:val="000000"/>
                <w:sz w:val="22"/>
                <w:szCs w:val="22"/>
              </w:rPr>
              <w:t>ť</w:t>
            </w:r>
            <w:r w:rsidRPr="00523E5D">
              <w:rPr>
                <w:color w:val="000000"/>
                <w:sz w:val="22"/>
                <w:szCs w:val="22"/>
              </w:rPr>
              <w:t xml:space="preserve"> o poskytnutie právne pomoci v konaní o oddlžení</w:t>
            </w:r>
            <w:r w:rsidRPr="004F611A">
              <w:rPr>
                <w:color w:val="000000"/>
                <w:sz w:val="22"/>
                <w:szCs w:val="22"/>
              </w:rPr>
              <w:t xml:space="preserve"> v sume 5</w:t>
            </w:r>
            <w:r>
              <w:rPr>
                <w:color w:val="000000"/>
                <w:sz w:val="22"/>
                <w:szCs w:val="22"/>
              </w:rPr>
              <w:t>0</w:t>
            </w:r>
            <w:r w:rsidRPr="004F611A">
              <w:rPr>
                <w:color w:val="000000"/>
                <w:sz w:val="22"/>
                <w:szCs w:val="22"/>
              </w:rPr>
              <w:t xml:space="preserve"> </w:t>
            </w:r>
            <w:r>
              <w:rPr>
                <w:color w:val="000000"/>
                <w:sz w:val="22"/>
                <w:szCs w:val="22"/>
              </w:rPr>
              <w:t>eur.</w:t>
            </w:r>
          </w:p>
          <w:p w:rsidR="000D39B9" w:rsidRDefault="000D39B9" w:rsidP="00EB13BF">
            <w:pPr>
              <w:widowControl w:val="0"/>
              <w:pBdr>
                <w:top w:val="nil"/>
                <w:left w:val="nil"/>
                <w:bottom w:val="nil"/>
                <w:right w:val="nil"/>
                <w:between w:val="nil"/>
              </w:pBdr>
              <w:jc w:val="both"/>
              <w:rPr>
                <w:color w:val="000000"/>
                <w:sz w:val="24"/>
                <w:szCs w:val="24"/>
              </w:rPr>
            </w:pPr>
            <w:r w:rsidRPr="004F611A">
              <w:rPr>
                <w:color w:val="000000"/>
                <w:sz w:val="22"/>
                <w:szCs w:val="22"/>
              </w:rPr>
              <w:t>Zavádza sa, že Centrum nie je povinné vrátiť preplatok do sumy 5 eur.</w:t>
            </w:r>
            <w:r>
              <w:rPr>
                <w:color w:val="000000"/>
                <w:sz w:val="24"/>
                <w:szCs w:val="24"/>
              </w:rPr>
              <w:t xml:space="preserve"> </w:t>
            </w:r>
          </w:p>
        </w:tc>
      </w:tr>
      <w:tr w:rsidR="00DE0E1B">
        <w:trPr>
          <w:trHeight w:val="214"/>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Zníženie nepriamych finančných nákladov</w:t>
            </w:r>
          </w:p>
        </w:tc>
      </w:tr>
      <w:tr w:rsidR="00DE0E1B">
        <w:trPr>
          <w:trHeight w:val="707"/>
        </w:trPr>
        <w:tc>
          <w:tcPr>
            <w:tcW w:w="9371" w:type="dxa"/>
          </w:tcPr>
          <w:p w:rsidR="00DE0E1B" w:rsidRDefault="00DE0E1B">
            <w:pPr>
              <w:widowControl w:val="0"/>
              <w:pBdr>
                <w:top w:val="nil"/>
                <w:left w:val="nil"/>
                <w:bottom w:val="nil"/>
                <w:right w:val="nil"/>
                <w:between w:val="nil"/>
              </w:pBdr>
              <w:jc w:val="both"/>
              <w:rPr>
                <w:color w:val="000000"/>
                <w:sz w:val="24"/>
                <w:szCs w:val="24"/>
              </w:rPr>
            </w:pPr>
          </w:p>
        </w:tc>
      </w:tr>
      <w:tr w:rsidR="00DE0E1B">
        <w:trPr>
          <w:trHeight w:val="388"/>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lastRenderedPageBreak/>
              <w:t>Zvýšenie nepriamych finančných nákladov</w:t>
            </w:r>
          </w:p>
        </w:tc>
      </w:tr>
      <w:tr w:rsidR="00DE0E1B">
        <w:trPr>
          <w:trHeight w:val="800"/>
        </w:trPr>
        <w:tc>
          <w:tcPr>
            <w:tcW w:w="9371" w:type="dxa"/>
          </w:tcPr>
          <w:p w:rsidR="00DE0E1B" w:rsidRDefault="00DE0E1B">
            <w:pPr>
              <w:widowControl w:val="0"/>
              <w:pBdr>
                <w:top w:val="nil"/>
                <w:left w:val="nil"/>
                <w:bottom w:val="nil"/>
                <w:right w:val="nil"/>
                <w:between w:val="nil"/>
              </w:pBdr>
              <w:jc w:val="both"/>
              <w:rPr>
                <w:color w:val="000000"/>
                <w:sz w:val="24"/>
                <w:szCs w:val="24"/>
              </w:rPr>
            </w:pPr>
          </w:p>
        </w:tc>
      </w:tr>
      <w:tr w:rsidR="00DE0E1B">
        <w:trPr>
          <w:trHeight w:val="388"/>
        </w:trPr>
        <w:tc>
          <w:tcPr>
            <w:tcW w:w="9371" w:type="dxa"/>
          </w:tcPr>
          <w:p w:rsidR="00DE0E1B" w:rsidRDefault="00E6488E">
            <w:pPr>
              <w:widowControl w:val="0"/>
              <w:pBdr>
                <w:top w:val="nil"/>
                <w:left w:val="nil"/>
                <w:bottom w:val="nil"/>
                <w:right w:val="nil"/>
                <w:between w:val="nil"/>
              </w:pBdr>
              <w:jc w:val="both"/>
              <w:rPr>
                <w:color w:val="000000"/>
                <w:sz w:val="24"/>
                <w:szCs w:val="24"/>
              </w:rPr>
            </w:pPr>
            <w:r>
              <w:rPr>
                <w:b/>
                <w:color w:val="000000"/>
                <w:sz w:val="24"/>
                <w:szCs w:val="24"/>
              </w:rPr>
              <w:t xml:space="preserve">7.2.2 Časový vplyv </w:t>
            </w: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Zvýšenie času vybavenia požiadavky (popíšte)</w:t>
            </w:r>
          </w:p>
        </w:tc>
      </w:tr>
      <w:tr w:rsidR="00DE0E1B">
        <w:trPr>
          <w:trHeight w:val="703"/>
        </w:trPr>
        <w:tc>
          <w:tcPr>
            <w:tcW w:w="9371" w:type="dxa"/>
          </w:tcPr>
          <w:p w:rsidR="00DE0E1B" w:rsidRDefault="00DE0E1B">
            <w:pPr>
              <w:widowControl w:val="0"/>
              <w:pBdr>
                <w:top w:val="nil"/>
                <w:left w:val="nil"/>
                <w:bottom w:val="nil"/>
                <w:right w:val="nil"/>
                <w:between w:val="nil"/>
              </w:pBdr>
              <w:jc w:val="both"/>
              <w:rPr>
                <w:color w:val="000000"/>
                <w:sz w:val="24"/>
                <w:szCs w:val="24"/>
              </w:rPr>
            </w:pP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Zníženie času  vybavenia požiadavky (popíšte)</w:t>
            </w:r>
          </w:p>
        </w:tc>
      </w:tr>
      <w:tr w:rsidR="00DE0E1B">
        <w:trPr>
          <w:trHeight w:val="729"/>
        </w:trPr>
        <w:tc>
          <w:tcPr>
            <w:tcW w:w="9371" w:type="dxa"/>
          </w:tcPr>
          <w:p w:rsidR="00460F64" w:rsidRPr="004F611A" w:rsidRDefault="00460F64" w:rsidP="00460F64">
            <w:pPr>
              <w:widowControl w:val="0"/>
              <w:pBdr>
                <w:top w:val="nil"/>
                <w:left w:val="nil"/>
                <w:bottom w:val="nil"/>
                <w:right w:val="nil"/>
                <w:between w:val="nil"/>
              </w:pBdr>
              <w:jc w:val="both"/>
              <w:rPr>
                <w:sz w:val="22"/>
                <w:szCs w:val="22"/>
              </w:rPr>
            </w:pPr>
            <w:r w:rsidRPr="004F611A">
              <w:rPr>
                <w:sz w:val="22"/>
                <w:szCs w:val="22"/>
              </w:rPr>
              <w:t xml:space="preserve">Integráciou na CSRÚ Centru odbremení žiadateľov o poskytnutie právnej pomoci o povinnosť predkladať doklady o svojej príjmovej a majetkovej situácii najmä čo sa týka poberania dávok a príspevkov, ktoré sú poskytované štátom – Sociálna poisťovňa, Úrad práce, sociálnych vecí a rodiny. </w:t>
            </w:r>
          </w:p>
          <w:p w:rsidR="007E3485" w:rsidRPr="004F611A" w:rsidRDefault="00460F64" w:rsidP="00460F64">
            <w:pPr>
              <w:widowControl w:val="0"/>
              <w:pBdr>
                <w:top w:val="nil"/>
                <w:left w:val="nil"/>
                <w:bottom w:val="nil"/>
                <w:right w:val="nil"/>
                <w:between w:val="nil"/>
              </w:pBdr>
              <w:jc w:val="both"/>
              <w:rPr>
                <w:sz w:val="22"/>
                <w:szCs w:val="22"/>
              </w:rPr>
            </w:pPr>
            <w:r w:rsidRPr="004F611A">
              <w:rPr>
                <w:sz w:val="22"/>
                <w:szCs w:val="22"/>
              </w:rPr>
              <w:t xml:space="preserve">V súčasnosti Centrum konzumuje dáta cez  portál </w:t>
            </w:r>
            <w:proofErr w:type="spellStart"/>
            <w:r w:rsidRPr="004F611A">
              <w:rPr>
                <w:sz w:val="22"/>
                <w:szCs w:val="22"/>
              </w:rPr>
              <w:t>OverSi</w:t>
            </w:r>
            <w:proofErr w:type="spellEnd"/>
            <w:r w:rsidRPr="004F611A">
              <w:rPr>
                <w:sz w:val="22"/>
                <w:szCs w:val="22"/>
              </w:rPr>
              <w:t xml:space="preserve">, pričom takmer 70% požadovaných dokladov si vie zabezpečiť práve cez tento prístup. </w:t>
            </w:r>
            <w:r w:rsidR="007E3485" w:rsidRPr="004F611A">
              <w:rPr>
                <w:sz w:val="22"/>
                <w:szCs w:val="22"/>
              </w:rPr>
              <w:t xml:space="preserve"> Najčastejšie potvrdenia, ktoré sú dožadované predstavujú: potvrdenia o</w:t>
            </w:r>
            <w:r w:rsidR="004F611A">
              <w:rPr>
                <w:sz w:val="22"/>
                <w:szCs w:val="22"/>
              </w:rPr>
              <w:t xml:space="preserve"> </w:t>
            </w:r>
            <w:r w:rsidR="007E3485" w:rsidRPr="004F611A">
              <w:rPr>
                <w:sz w:val="22"/>
                <w:szCs w:val="22"/>
              </w:rPr>
              <w:t>poberaní dávky a</w:t>
            </w:r>
            <w:r w:rsidR="004F611A">
              <w:rPr>
                <w:sz w:val="22"/>
                <w:szCs w:val="22"/>
              </w:rPr>
              <w:t xml:space="preserve"> </w:t>
            </w:r>
            <w:r w:rsidR="007E3485" w:rsidRPr="004F611A">
              <w:rPr>
                <w:sz w:val="22"/>
                <w:szCs w:val="22"/>
              </w:rPr>
              <w:t>príspevkov v hmotnej núdzi, potvrdenie o</w:t>
            </w:r>
            <w:r w:rsidR="004F611A">
              <w:rPr>
                <w:sz w:val="22"/>
                <w:szCs w:val="22"/>
              </w:rPr>
              <w:t xml:space="preserve"> </w:t>
            </w:r>
            <w:r w:rsidR="007E3485" w:rsidRPr="004F611A">
              <w:rPr>
                <w:sz w:val="22"/>
                <w:szCs w:val="22"/>
              </w:rPr>
              <w:t xml:space="preserve">výplate dôchodkových/nemocenských dávok. Nielen na posúdenie príjmovej situácie, ale aj pre posúdenie právnej stránky veci sú potrebné potvrdenia o narodení či  potvrdenie o uzavretí manželstva.  </w:t>
            </w:r>
          </w:p>
          <w:p w:rsidR="00DE0E1B" w:rsidRPr="004F611A" w:rsidRDefault="00460F64" w:rsidP="00460F64">
            <w:pPr>
              <w:widowControl w:val="0"/>
              <w:pBdr>
                <w:top w:val="nil"/>
                <w:left w:val="nil"/>
                <w:bottom w:val="nil"/>
                <w:right w:val="nil"/>
                <w:between w:val="nil"/>
              </w:pBdr>
              <w:jc w:val="both"/>
              <w:rPr>
                <w:sz w:val="22"/>
                <w:szCs w:val="22"/>
              </w:rPr>
            </w:pPr>
            <w:r w:rsidRPr="004F611A">
              <w:rPr>
                <w:sz w:val="22"/>
                <w:szCs w:val="22"/>
              </w:rPr>
              <w:t xml:space="preserve">Potvrdenia, ktoré nie sú sprístupnené cez </w:t>
            </w:r>
            <w:proofErr w:type="spellStart"/>
            <w:r w:rsidRPr="004F611A">
              <w:rPr>
                <w:sz w:val="22"/>
                <w:szCs w:val="22"/>
              </w:rPr>
              <w:t>OverSi</w:t>
            </w:r>
            <w:proofErr w:type="spellEnd"/>
            <w:r w:rsidRPr="004F611A">
              <w:rPr>
                <w:sz w:val="22"/>
                <w:szCs w:val="22"/>
              </w:rPr>
              <w:t xml:space="preserve"> zamestnanci dožiadajú prostredníctvom žiadostí o súčinnosť na konkrétne štátne inštitúcie.  Doba odozvy na žiadosť o súčinnosť je rôzna, v závislosti od pracoviska, ktorému je žiadosť adresovaná – cca od 7 do 30 dní. </w:t>
            </w:r>
          </w:p>
          <w:p w:rsidR="000D39B9" w:rsidRPr="004F611A" w:rsidRDefault="000D39B9" w:rsidP="00460F64">
            <w:pPr>
              <w:widowControl w:val="0"/>
              <w:pBdr>
                <w:top w:val="nil"/>
                <w:left w:val="nil"/>
                <w:bottom w:val="nil"/>
                <w:right w:val="nil"/>
                <w:between w:val="nil"/>
              </w:pBdr>
              <w:jc w:val="both"/>
              <w:rPr>
                <w:sz w:val="22"/>
                <w:szCs w:val="22"/>
              </w:rPr>
            </w:pPr>
            <w:r w:rsidRPr="004F611A">
              <w:rPr>
                <w:sz w:val="22"/>
                <w:szCs w:val="22"/>
              </w:rPr>
              <w:t xml:space="preserve">Zavedením </w:t>
            </w:r>
            <w:r w:rsidR="007E3485" w:rsidRPr="004F611A">
              <w:rPr>
                <w:sz w:val="22"/>
                <w:szCs w:val="22"/>
              </w:rPr>
              <w:t xml:space="preserve">IS CPP </w:t>
            </w:r>
            <w:r w:rsidRPr="004F611A">
              <w:rPr>
                <w:sz w:val="22"/>
                <w:szCs w:val="22"/>
              </w:rPr>
              <w:t xml:space="preserve">sa zrýchli proces spracovania žiadosti o priznanie nároku na právnu pomoc. </w:t>
            </w:r>
          </w:p>
          <w:p w:rsidR="000D39B9" w:rsidRPr="004F611A" w:rsidRDefault="000D39B9" w:rsidP="00460F64">
            <w:pPr>
              <w:widowControl w:val="0"/>
              <w:pBdr>
                <w:top w:val="nil"/>
                <w:left w:val="nil"/>
                <w:bottom w:val="nil"/>
                <w:right w:val="nil"/>
                <w:between w:val="nil"/>
              </w:pBdr>
              <w:jc w:val="both"/>
              <w:rPr>
                <w:sz w:val="22"/>
                <w:szCs w:val="22"/>
              </w:rPr>
            </w:pPr>
          </w:p>
          <w:p w:rsidR="007E3485" w:rsidRPr="004F611A" w:rsidRDefault="000D39B9" w:rsidP="00460F64">
            <w:pPr>
              <w:widowControl w:val="0"/>
              <w:pBdr>
                <w:top w:val="nil"/>
                <w:left w:val="nil"/>
                <w:bottom w:val="nil"/>
                <w:right w:val="nil"/>
                <w:between w:val="nil"/>
              </w:pBdr>
              <w:jc w:val="both"/>
              <w:rPr>
                <w:sz w:val="22"/>
                <w:szCs w:val="22"/>
              </w:rPr>
            </w:pPr>
            <w:r w:rsidRPr="004F611A">
              <w:rPr>
                <w:sz w:val="22"/>
                <w:szCs w:val="22"/>
              </w:rPr>
              <w:t>Vo vzťahu k advokátom a </w:t>
            </w:r>
            <w:proofErr w:type="spellStart"/>
            <w:r w:rsidRPr="004F611A">
              <w:rPr>
                <w:sz w:val="22"/>
                <w:szCs w:val="22"/>
              </w:rPr>
              <w:t>mediátorom</w:t>
            </w:r>
            <w:proofErr w:type="spellEnd"/>
            <w:r w:rsidRPr="004F611A">
              <w:rPr>
                <w:sz w:val="22"/>
                <w:szCs w:val="22"/>
              </w:rPr>
              <w:t xml:space="preserve"> dôjde k zefektívneniu procesu vyúčtovania odmeny za právne zastúpenie, pretože advokáti a </w:t>
            </w:r>
            <w:proofErr w:type="spellStart"/>
            <w:r w:rsidRPr="004F611A">
              <w:rPr>
                <w:sz w:val="22"/>
                <w:szCs w:val="22"/>
              </w:rPr>
              <w:t>mediátori</w:t>
            </w:r>
            <w:proofErr w:type="spellEnd"/>
            <w:r w:rsidRPr="004F611A">
              <w:rPr>
                <w:sz w:val="22"/>
                <w:szCs w:val="22"/>
              </w:rPr>
              <w:t xml:space="preserve"> budú mať k dispozícii externý portál, v rámci ktorého bude </w:t>
            </w:r>
            <w:proofErr w:type="spellStart"/>
            <w:r w:rsidRPr="004F611A">
              <w:rPr>
                <w:sz w:val="22"/>
                <w:szCs w:val="22"/>
              </w:rPr>
              <w:t>naintegrovaný</w:t>
            </w:r>
            <w:proofErr w:type="spellEnd"/>
            <w:r w:rsidRPr="004F611A">
              <w:rPr>
                <w:sz w:val="22"/>
                <w:szCs w:val="22"/>
              </w:rPr>
              <w:t xml:space="preserve"> formulár na podanie vyúčtovania, ktoré podajú priamo v rámci systému. Okrem toho si v systéme budú môcť overiť stav vecí, v ktorých sú určení centrom a v ktorých žiadajú o úhradu odmeny. </w:t>
            </w:r>
            <w:r w:rsidR="007E3485" w:rsidRPr="004F611A">
              <w:rPr>
                <w:sz w:val="22"/>
                <w:szCs w:val="22"/>
              </w:rPr>
              <w:t xml:space="preserve"> </w:t>
            </w:r>
          </w:p>
          <w:p w:rsidR="00460F64" w:rsidRPr="004F611A" w:rsidRDefault="00460F64" w:rsidP="00460F64">
            <w:pPr>
              <w:widowControl w:val="0"/>
              <w:pBdr>
                <w:top w:val="nil"/>
                <w:left w:val="nil"/>
                <w:bottom w:val="nil"/>
                <w:right w:val="nil"/>
                <w:between w:val="nil"/>
              </w:pBdr>
              <w:jc w:val="both"/>
              <w:rPr>
                <w:color w:val="000000"/>
                <w:sz w:val="22"/>
                <w:szCs w:val="22"/>
              </w:rPr>
            </w:pPr>
          </w:p>
        </w:tc>
      </w:tr>
      <w:tr w:rsidR="00DE0E1B">
        <w:trPr>
          <w:trHeight w:val="424"/>
        </w:trPr>
        <w:tc>
          <w:tcPr>
            <w:tcW w:w="9371" w:type="dxa"/>
          </w:tcPr>
          <w:p w:rsidR="00DE0E1B" w:rsidRDefault="00E6488E">
            <w:pPr>
              <w:widowControl w:val="0"/>
              <w:pBdr>
                <w:top w:val="nil"/>
                <w:left w:val="nil"/>
                <w:bottom w:val="nil"/>
                <w:right w:val="nil"/>
                <w:between w:val="nil"/>
              </w:pBdr>
              <w:jc w:val="both"/>
              <w:rPr>
                <w:color w:val="000000"/>
                <w:sz w:val="24"/>
                <w:szCs w:val="24"/>
              </w:rPr>
            </w:pPr>
            <w:r>
              <w:rPr>
                <w:b/>
                <w:color w:val="000000"/>
                <w:sz w:val="24"/>
                <w:szCs w:val="24"/>
              </w:rPr>
              <w:t xml:space="preserve">7.2.3 Ktorá skupina občanov bude predloženým návrhom ovplyvnená? </w:t>
            </w:r>
          </w:p>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Špecifikujte skupinu občanov, ktorá bude návrhom ovplyvnená (napr. držitelia vodičských oprávnení). Aká je  veľkosť tejto skupiny?</w:t>
            </w:r>
          </w:p>
        </w:tc>
      </w:tr>
      <w:tr w:rsidR="00DE0E1B">
        <w:trPr>
          <w:trHeight w:val="734"/>
        </w:trPr>
        <w:tc>
          <w:tcPr>
            <w:tcW w:w="9371" w:type="dxa"/>
          </w:tcPr>
          <w:p w:rsidR="00DE0E1B" w:rsidRPr="004F611A" w:rsidRDefault="003B2729">
            <w:pPr>
              <w:widowControl w:val="0"/>
              <w:pBdr>
                <w:top w:val="nil"/>
                <w:left w:val="nil"/>
                <w:bottom w:val="nil"/>
                <w:right w:val="nil"/>
                <w:between w:val="nil"/>
              </w:pBdr>
              <w:jc w:val="both"/>
              <w:rPr>
                <w:color w:val="000000"/>
                <w:sz w:val="22"/>
                <w:szCs w:val="22"/>
              </w:rPr>
            </w:pPr>
            <w:r w:rsidRPr="004F611A">
              <w:rPr>
                <w:color w:val="000000"/>
                <w:sz w:val="22"/>
                <w:szCs w:val="22"/>
              </w:rPr>
              <w:t>Oprávnené osoby, ktorým je priznan</w:t>
            </w:r>
            <w:r w:rsidR="00617DC5" w:rsidRPr="004F611A">
              <w:rPr>
                <w:color w:val="000000"/>
                <w:sz w:val="22"/>
                <w:szCs w:val="22"/>
              </w:rPr>
              <w:t>ý</w:t>
            </w:r>
            <w:r w:rsidRPr="004F611A">
              <w:rPr>
                <w:color w:val="000000"/>
                <w:sz w:val="22"/>
                <w:szCs w:val="22"/>
              </w:rPr>
              <w:t xml:space="preserve"> nárok na poskytnutie právnej pomoci </w:t>
            </w:r>
            <w:r w:rsidR="000957F3" w:rsidRPr="004F611A">
              <w:rPr>
                <w:color w:val="000000"/>
                <w:sz w:val="22"/>
                <w:szCs w:val="22"/>
              </w:rPr>
              <w:t xml:space="preserve">podľa zákona č. 327/2005 </w:t>
            </w:r>
            <w:r w:rsidR="004E74EC">
              <w:rPr>
                <w:color w:val="000000"/>
                <w:sz w:val="22"/>
                <w:szCs w:val="22"/>
              </w:rPr>
              <w:t xml:space="preserve">      </w:t>
            </w:r>
            <w:r w:rsidR="000957F3" w:rsidRPr="004F611A">
              <w:rPr>
                <w:color w:val="000000"/>
                <w:sz w:val="22"/>
                <w:szCs w:val="22"/>
              </w:rPr>
              <w:t>Z.</w:t>
            </w:r>
            <w:r w:rsidR="004E74EC">
              <w:rPr>
                <w:color w:val="000000"/>
                <w:sz w:val="22"/>
                <w:szCs w:val="22"/>
              </w:rPr>
              <w:t xml:space="preserve"> </w:t>
            </w:r>
            <w:r w:rsidR="000957F3" w:rsidRPr="004F611A">
              <w:rPr>
                <w:color w:val="000000"/>
                <w:sz w:val="22"/>
                <w:szCs w:val="22"/>
              </w:rPr>
              <w:t>z.</w:t>
            </w:r>
          </w:p>
          <w:p w:rsidR="000957F3" w:rsidRPr="004F611A" w:rsidRDefault="000957F3">
            <w:pPr>
              <w:widowControl w:val="0"/>
              <w:pBdr>
                <w:top w:val="nil"/>
                <w:left w:val="nil"/>
                <w:bottom w:val="nil"/>
                <w:right w:val="nil"/>
                <w:between w:val="nil"/>
              </w:pBdr>
              <w:jc w:val="both"/>
              <w:rPr>
                <w:color w:val="000000"/>
                <w:sz w:val="22"/>
                <w:szCs w:val="22"/>
              </w:rPr>
            </w:pPr>
          </w:p>
          <w:p w:rsidR="000957F3" w:rsidRPr="004F611A" w:rsidRDefault="000957F3" w:rsidP="000957F3">
            <w:pPr>
              <w:widowControl w:val="0"/>
              <w:pBdr>
                <w:top w:val="nil"/>
                <w:left w:val="nil"/>
                <w:bottom w:val="nil"/>
                <w:right w:val="nil"/>
                <w:between w:val="nil"/>
              </w:pBdr>
              <w:jc w:val="both"/>
              <w:rPr>
                <w:color w:val="000000"/>
                <w:sz w:val="22"/>
                <w:szCs w:val="22"/>
              </w:rPr>
            </w:pPr>
            <w:r w:rsidRPr="004F611A">
              <w:rPr>
                <w:color w:val="000000"/>
                <w:sz w:val="22"/>
                <w:szCs w:val="22"/>
              </w:rPr>
              <w:t>Oprávnené osoby, ktorým je priznaný nárok na poskytnutie právnej pomoci vo veci oddlženia podľa zákona č. 327/2005 Z.</w:t>
            </w:r>
            <w:r w:rsidR="004E74EC">
              <w:rPr>
                <w:color w:val="000000"/>
                <w:sz w:val="22"/>
                <w:szCs w:val="22"/>
              </w:rPr>
              <w:t xml:space="preserve"> </w:t>
            </w:r>
            <w:r w:rsidRPr="004F611A">
              <w:rPr>
                <w:color w:val="000000"/>
                <w:sz w:val="22"/>
                <w:szCs w:val="22"/>
              </w:rPr>
              <w:t>z.</w:t>
            </w:r>
          </w:p>
          <w:p w:rsidR="000957F3" w:rsidRPr="004F611A" w:rsidRDefault="000957F3" w:rsidP="000957F3">
            <w:pPr>
              <w:widowControl w:val="0"/>
              <w:pBdr>
                <w:top w:val="nil"/>
                <w:left w:val="nil"/>
                <w:bottom w:val="nil"/>
                <w:right w:val="nil"/>
                <w:between w:val="nil"/>
              </w:pBdr>
              <w:jc w:val="both"/>
              <w:rPr>
                <w:color w:val="000000"/>
                <w:sz w:val="22"/>
                <w:szCs w:val="22"/>
              </w:rPr>
            </w:pPr>
          </w:p>
          <w:p w:rsidR="000957F3" w:rsidRPr="004F611A" w:rsidRDefault="000957F3" w:rsidP="000957F3">
            <w:pPr>
              <w:widowControl w:val="0"/>
              <w:pBdr>
                <w:top w:val="nil"/>
                <w:left w:val="nil"/>
                <w:bottom w:val="nil"/>
                <w:right w:val="nil"/>
                <w:between w:val="nil"/>
              </w:pBdr>
              <w:jc w:val="both"/>
              <w:rPr>
                <w:color w:val="000000"/>
                <w:sz w:val="22"/>
                <w:szCs w:val="22"/>
              </w:rPr>
            </w:pPr>
            <w:r w:rsidRPr="004F611A">
              <w:rPr>
                <w:color w:val="000000"/>
                <w:sz w:val="22"/>
                <w:szCs w:val="22"/>
              </w:rPr>
              <w:t>Úpadcovia (dlžníci), ktorým vznikla pohľadávka podľa § 24i zákona č. 327/2005 Z.</w:t>
            </w:r>
            <w:r w:rsidR="004E74EC">
              <w:rPr>
                <w:color w:val="000000"/>
                <w:sz w:val="22"/>
                <w:szCs w:val="22"/>
              </w:rPr>
              <w:t xml:space="preserve"> </w:t>
            </w:r>
            <w:r w:rsidRPr="004F611A">
              <w:rPr>
                <w:color w:val="000000"/>
                <w:sz w:val="22"/>
                <w:szCs w:val="22"/>
              </w:rPr>
              <w:t>z.</w:t>
            </w:r>
          </w:p>
          <w:p w:rsidR="000957F3" w:rsidRPr="004F611A" w:rsidRDefault="000957F3">
            <w:pPr>
              <w:widowControl w:val="0"/>
              <w:pBdr>
                <w:top w:val="nil"/>
                <w:left w:val="nil"/>
                <w:bottom w:val="nil"/>
                <w:right w:val="nil"/>
                <w:between w:val="nil"/>
              </w:pBdr>
              <w:jc w:val="both"/>
              <w:rPr>
                <w:color w:val="000000"/>
                <w:sz w:val="22"/>
                <w:szCs w:val="22"/>
              </w:rPr>
            </w:pPr>
          </w:p>
          <w:p w:rsidR="000957F3" w:rsidRPr="004F611A" w:rsidRDefault="000957F3">
            <w:pPr>
              <w:widowControl w:val="0"/>
              <w:pBdr>
                <w:top w:val="nil"/>
                <w:left w:val="nil"/>
                <w:bottom w:val="nil"/>
                <w:right w:val="nil"/>
                <w:between w:val="nil"/>
              </w:pBdr>
              <w:jc w:val="both"/>
              <w:rPr>
                <w:color w:val="000000"/>
                <w:sz w:val="22"/>
                <w:szCs w:val="22"/>
              </w:rPr>
            </w:pPr>
            <w:r w:rsidRPr="004F611A">
              <w:rPr>
                <w:color w:val="000000"/>
                <w:sz w:val="22"/>
                <w:szCs w:val="22"/>
              </w:rPr>
              <w:t>Advokáti a </w:t>
            </w:r>
            <w:proofErr w:type="spellStart"/>
            <w:r w:rsidRPr="004F611A">
              <w:rPr>
                <w:color w:val="000000"/>
                <w:sz w:val="22"/>
                <w:szCs w:val="22"/>
              </w:rPr>
              <w:t>mediátori</w:t>
            </w:r>
            <w:proofErr w:type="spellEnd"/>
            <w:r w:rsidRPr="004F611A">
              <w:rPr>
                <w:color w:val="000000"/>
                <w:sz w:val="22"/>
                <w:szCs w:val="22"/>
              </w:rPr>
              <w:t xml:space="preserve">, ktorí sú ustanovení centrom pri priznaní nároku na poskytnutie právnej pomoci. </w:t>
            </w:r>
          </w:p>
          <w:p w:rsidR="003B2729" w:rsidRDefault="003B2729">
            <w:pPr>
              <w:widowControl w:val="0"/>
              <w:pBdr>
                <w:top w:val="nil"/>
                <w:left w:val="nil"/>
                <w:bottom w:val="nil"/>
                <w:right w:val="nil"/>
                <w:between w:val="nil"/>
              </w:pBdr>
              <w:jc w:val="both"/>
              <w:rPr>
                <w:color w:val="000000"/>
                <w:sz w:val="24"/>
                <w:szCs w:val="24"/>
              </w:rPr>
            </w:pP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b/>
                <w:color w:val="000000"/>
                <w:sz w:val="24"/>
                <w:szCs w:val="24"/>
              </w:rPr>
              <w:t xml:space="preserve">7.2.4 Vyplývajú z návrhu pre občana pri vybavení svojej požiadavky nové povinnosti alebo zanikajú už existujúce povinnosti?  </w:t>
            </w: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 xml:space="preserve">Nové povinnosti (identifikujte) </w:t>
            </w:r>
          </w:p>
        </w:tc>
      </w:tr>
      <w:tr w:rsidR="00DE0E1B">
        <w:trPr>
          <w:trHeight w:val="726"/>
        </w:trPr>
        <w:tc>
          <w:tcPr>
            <w:tcW w:w="9371" w:type="dxa"/>
          </w:tcPr>
          <w:p w:rsidR="00DE0E1B" w:rsidRPr="004F611A" w:rsidRDefault="003B2729" w:rsidP="000957F3">
            <w:pPr>
              <w:widowControl w:val="0"/>
              <w:pBdr>
                <w:top w:val="nil"/>
                <w:left w:val="nil"/>
                <w:bottom w:val="nil"/>
                <w:right w:val="nil"/>
                <w:between w:val="nil"/>
              </w:pBdr>
              <w:jc w:val="both"/>
              <w:rPr>
                <w:color w:val="000000"/>
                <w:sz w:val="22"/>
                <w:szCs w:val="22"/>
              </w:rPr>
            </w:pPr>
            <w:r w:rsidRPr="004F611A">
              <w:rPr>
                <w:color w:val="000000"/>
                <w:sz w:val="22"/>
                <w:szCs w:val="22"/>
              </w:rPr>
              <w:t xml:space="preserve">Úhrada poplatku za </w:t>
            </w:r>
            <w:r w:rsidR="000957F3" w:rsidRPr="004F611A">
              <w:rPr>
                <w:color w:val="000000"/>
                <w:sz w:val="22"/>
                <w:szCs w:val="22"/>
              </w:rPr>
              <w:t xml:space="preserve">predbežnú konzultáciu vo veci oddlženia. </w:t>
            </w:r>
          </w:p>
          <w:p w:rsidR="000957F3" w:rsidRPr="004F611A" w:rsidRDefault="000957F3" w:rsidP="000957F3">
            <w:pPr>
              <w:widowControl w:val="0"/>
              <w:pBdr>
                <w:top w:val="nil"/>
                <w:left w:val="nil"/>
                <w:bottom w:val="nil"/>
                <w:right w:val="nil"/>
                <w:between w:val="nil"/>
              </w:pBdr>
              <w:jc w:val="both"/>
              <w:rPr>
                <w:color w:val="000000"/>
                <w:sz w:val="22"/>
                <w:szCs w:val="22"/>
              </w:rPr>
            </w:pPr>
          </w:p>
          <w:p w:rsidR="000957F3" w:rsidRDefault="000957F3" w:rsidP="00CC52B9">
            <w:pPr>
              <w:widowControl w:val="0"/>
              <w:pBdr>
                <w:top w:val="nil"/>
                <w:left w:val="nil"/>
                <w:bottom w:val="nil"/>
                <w:right w:val="nil"/>
                <w:between w:val="nil"/>
              </w:pBdr>
              <w:jc w:val="both"/>
              <w:rPr>
                <w:color w:val="000000"/>
                <w:sz w:val="24"/>
                <w:szCs w:val="24"/>
              </w:rPr>
            </w:pPr>
            <w:r w:rsidRPr="004F611A">
              <w:rPr>
                <w:color w:val="000000"/>
                <w:sz w:val="22"/>
                <w:szCs w:val="22"/>
              </w:rPr>
              <w:t>Povinnosť predkladať vyúčtovanie odmeny advokáta/</w:t>
            </w:r>
            <w:proofErr w:type="spellStart"/>
            <w:r w:rsidRPr="004F611A">
              <w:rPr>
                <w:color w:val="000000"/>
                <w:sz w:val="22"/>
                <w:szCs w:val="22"/>
              </w:rPr>
              <w:t>mediátora</w:t>
            </w:r>
            <w:proofErr w:type="spellEnd"/>
            <w:r w:rsidRPr="004F611A">
              <w:rPr>
                <w:color w:val="000000"/>
                <w:sz w:val="22"/>
                <w:szCs w:val="22"/>
              </w:rPr>
              <w:t xml:space="preserve"> cez externý portál Informačného systému Centra právnej pomoci</w:t>
            </w:r>
            <w:r w:rsidR="00CC52B9" w:rsidRPr="004F611A">
              <w:rPr>
                <w:color w:val="000000"/>
                <w:sz w:val="22"/>
                <w:szCs w:val="22"/>
              </w:rPr>
              <w:t>, čím zároveň zaniká povinnosť podávať vyúčtovanie listinne, alebo cez ÚPVS, čím sa vyúčtovanie zjednoduší.</w:t>
            </w:r>
            <w:r w:rsidR="00CC52B9">
              <w:rPr>
                <w:color w:val="000000"/>
                <w:sz w:val="24"/>
                <w:szCs w:val="24"/>
              </w:rPr>
              <w:t xml:space="preserve"> </w:t>
            </w:r>
            <w:r>
              <w:rPr>
                <w:color w:val="000000"/>
                <w:sz w:val="24"/>
                <w:szCs w:val="24"/>
              </w:rPr>
              <w:t xml:space="preserve"> </w:t>
            </w: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Zanikajúce povinnosti (identifikujte)</w:t>
            </w:r>
          </w:p>
        </w:tc>
      </w:tr>
      <w:tr w:rsidR="00DE0E1B">
        <w:trPr>
          <w:trHeight w:val="609"/>
        </w:trPr>
        <w:tc>
          <w:tcPr>
            <w:tcW w:w="9371" w:type="dxa"/>
          </w:tcPr>
          <w:p w:rsidR="00DE0E1B" w:rsidRPr="004F611A" w:rsidRDefault="00144954">
            <w:pPr>
              <w:widowControl w:val="0"/>
              <w:pBdr>
                <w:top w:val="nil"/>
                <w:left w:val="nil"/>
                <w:bottom w:val="nil"/>
                <w:right w:val="nil"/>
                <w:between w:val="nil"/>
              </w:pBdr>
              <w:jc w:val="both"/>
              <w:rPr>
                <w:color w:val="000000"/>
                <w:sz w:val="22"/>
                <w:szCs w:val="22"/>
              </w:rPr>
            </w:pPr>
            <w:r w:rsidRPr="004F611A">
              <w:rPr>
                <w:color w:val="000000"/>
                <w:sz w:val="22"/>
                <w:szCs w:val="22"/>
              </w:rPr>
              <w:lastRenderedPageBreak/>
              <w:t>Osoby žiadajúce o poskytnutie právnej pomoci nebudú musieť predkladať centru podklady</w:t>
            </w:r>
            <w:r w:rsidR="00CC52B9" w:rsidRPr="004F611A">
              <w:rPr>
                <w:color w:val="000000"/>
                <w:sz w:val="22"/>
                <w:szCs w:val="22"/>
              </w:rPr>
              <w:t xml:space="preserve"> pre posúdenie nároku</w:t>
            </w:r>
            <w:r w:rsidRPr="004F611A">
              <w:rPr>
                <w:color w:val="000000"/>
                <w:sz w:val="22"/>
                <w:szCs w:val="22"/>
              </w:rPr>
              <w:t xml:space="preserve">, ktoré si </w:t>
            </w:r>
            <w:r w:rsidR="00CC52B9" w:rsidRPr="004F611A">
              <w:rPr>
                <w:color w:val="000000"/>
                <w:sz w:val="22"/>
                <w:szCs w:val="22"/>
              </w:rPr>
              <w:t xml:space="preserve">centrum </w:t>
            </w:r>
            <w:r w:rsidRPr="004F611A">
              <w:rPr>
                <w:color w:val="000000"/>
                <w:sz w:val="22"/>
                <w:szCs w:val="22"/>
              </w:rPr>
              <w:t xml:space="preserve">bude môcť získať cez Informačný systém Centra právnej pomoci </w:t>
            </w:r>
            <w:r w:rsidR="00CC52B9" w:rsidRPr="004F611A">
              <w:rPr>
                <w:color w:val="000000"/>
                <w:sz w:val="22"/>
                <w:szCs w:val="22"/>
              </w:rPr>
              <w:t xml:space="preserve">integráciou na CSRÚ. </w:t>
            </w:r>
          </w:p>
          <w:p w:rsidR="00DE0E1B" w:rsidRDefault="00DE0E1B">
            <w:pPr>
              <w:widowControl w:val="0"/>
              <w:pBdr>
                <w:top w:val="nil"/>
                <w:left w:val="nil"/>
                <w:bottom w:val="nil"/>
                <w:right w:val="nil"/>
                <w:between w:val="nil"/>
              </w:pBdr>
              <w:jc w:val="both"/>
              <w:rPr>
                <w:color w:val="000000"/>
                <w:sz w:val="24"/>
                <w:szCs w:val="24"/>
              </w:rPr>
            </w:pPr>
          </w:p>
          <w:p w:rsidR="00DE0E1B" w:rsidRDefault="00DE0E1B">
            <w:pPr>
              <w:widowControl w:val="0"/>
              <w:pBdr>
                <w:top w:val="nil"/>
                <w:left w:val="nil"/>
                <w:bottom w:val="nil"/>
                <w:right w:val="nil"/>
                <w:between w:val="nil"/>
              </w:pBdr>
              <w:jc w:val="both"/>
              <w:rPr>
                <w:color w:val="000000"/>
                <w:sz w:val="24"/>
                <w:szCs w:val="24"/>
              </w:rPr>
            </w:pPr>
          </w:p>
          <w:p w:rsidR="00DE0E1B" w:rsidRDefault="00DE0E1B">
            <w:pPr>
              <w:widowControl w:val="0"/>
              <w:pBdr>
                <w:top w:val="nil"/>
                <w:left w:val="nil"/>
                <w:bottom w:val="nil"/>
                <w:right w:val="nil"/>
                <w:between w:val="nil"/>
              </w:pBdr>
              <w:jc w:val="both"/>
              <w:rPr>
                <w:color w:val="000000"/>
                <w:sz w:val="24"/>
                <w:szCs w:val="24"/>
              </w:rPr>
            </w:pPr>
          </w:p>
        </w:tc>
      </w:tr>
      <w:tr w:rsidR="00DE0E1B">
        <w:trPr>
          <w:trHeight w:val="20"/>
        </w:trPr>
        <w:tc>
          <w:tcPr>
            <w:tcW w:w="9371" w:type="dxa"/>
            <w:shd w:val="clear" w:color="auto" w:fill="BFBFBF"/>
            <w:vAlign w:val="center"/>
          </w:tcPr>
          <w:p w:rsidR="00DE0E1B" w:rsidRDefault="00E6488E">
            <w:pPr>
              <w:widowControl w:val="0"/>
              <w:pBdr>
                <w:top w:val="nil"/>
                <w:left w:val="nil"/>
                <w:bottom w:val="nil"/>
                <w:right w:val="nil"/>
                <w:between w:val="nil"/>
              </w:pBdr>
              <w:jc w:val="center"/>
              <w:rPr>
                <w:color w:val="000000"/>
                <w:sz w:val="28"/>
                <w:szCs w:val="28"/>
              </w:rPr>
            </w:pPr>
            <w:r>
              <w:rPr>
                <w:b/>
                <w:color w:val="000000"/>
                <w:sz w:val="28"/>
                <w:szCs w:val="28"/>
              </w:rPr>
              <w:t>7.3 Vplyv na procesy služieb vo verejnej správe</w:t>
            </w:r>
          </w:p>
        </w:tc>
      </w:tr>
      <w:tr w:rsidR="00DE0E1B">
        <w:trPr>
          <w:trHeight w:val="390"/>
        </w:trPr>
        <w:tc>
          <w:tcPr>
            <w:tcW w:w="9371" w:type="dxa"/>
          </w:tcPr>
          <w:p w:rsidR="00DE0E1B" w:rsidRDefault="00E6488E">
            <w:pPr>
              <w:widowControl w:val="0"/>
              <w:pBdr>
                <w:top w:val="nil"/>
                <w:left w:val="nil"/>
                <w:bottom w:val="nil"/>
                <w:right w:val="nil"/>
                <w:between w:val="nil"/>
              </w:pBdr>
              <w:jc w:val="both"/>
              <w:rPr>
                <w:color w:val="000000"/>
                <w:sz w:val="24"/>
                <w:szCs w:val="24"/>
              </w:rPr>
            </w:pPr>
            <w:r>
              <w:rPr>
                <w:b/>
                <w:color w:val="000000"/>
                <w:sz w:val="24"/>
                <w:szCs w:val="24"/>
              </w:rPr>
              <w:t xml:space="preserve">7.3.1 Ktoré sú dotknuté subjekty verejnej správy? </w:t>
            </w:r>
          </w:p>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 xml:space="preserve">Ktoré subjekty verejnej správy sú účastné procesu poskytnutia služby? </w:t>
            </w:r>
          </w:p>
        </w:tc>
      </w:tr>
      <w:tr w:rsidR="00DE0E1B">
        <w:trPr>
          <w:trHeight w:val="733"/>
        </w:trPr>
        <w:tc>
          <w:tcPr>
            <w:tcW w:w="9371" w:type="dxa"/>
          </w:tcPr>
          <w:p w:rsidR="00DE0E1B" w:rsidRPr="004F611A" w:rsidRDefault="006C7CFF">
            <w:pPr>
              <w:widowControl w:val="0"/>
              <w:pBdr>
                <w:top w:val="nil"/>
                <w:left w:val="nil"/>
                <w:bottom w:val="nil"/>
                <w:right w:val="nil"/>
                <w:between w:val="nil"/>
              </w:pBdr>
              <w:jc w:val="both"/>
              <w:rPr>
                <w:color w:val="000000"/>
                <w:sz w:val="22"/>
                <w:szCs w:val="22"/>
              </w:rPr>
            </w:pPr>
            <w:r w:rsidRPr="004F611A">
              <w:rPr>
                <w:color w:val="000000"/>
                <w:sz w:val="22"/>
                <w:szCs w:val="22"/>
              </w:rPr>
              <w:t>Centrum právnej pomoci</w:t>
            </w:r>
            <w:r w:rsidR="004E74EC">
              <w:rPr>
                <w:color w:val="000000"/>
                <w:sz w:val="22"/>
                <w:szCs w:val="22"/>
              </w:rPr>
              <w:t>.</w:t>
            </w: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b/>
                <w:color w:val="000000"/>
                <w:sz w:val="24"/>
                <w:szCs w:val="24"/>
              </w:rPr>
              <w:t xml:space="preserve">7.3.2 Vyplývajú z návrhu pre orgán verejnej správy pri vybavení požiadavky nové povinnosti alebo zanikajú už existujúce povinnosti?  </w:t>
            </w:r>
            <w:r>
              <w:rPr>
                <w:color w:val="000000"/>
                <w:sz w:val="24"/>
                <w:szCs w:val="24"/>
              </w:rPr>
              <w:t xml:space="preserve"> </w:t>
            </w: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Nové povinnosti (identifikujte)</w:t>
            </w:r>
          </w:p>
        </w:tc>
      </w:tr>
      <w:tr w:rsidR="00DE0E1B">
        <w:trPr>
          <w:trHeight w:val="674"/>
        </w:trPr>
        <w:tc>
          <w:tcPr>
            <w:tcW w:w="9371" w:type="dxa"/>
          </w:tcPr>
          <w:p w:rsidR="00144954" w:rsidRPr="004F611A" w:rsidRDefault="006C7CFF" w:rsidP="00144954">
            <w:pPr>
              <w:widowControl w:val="0"/>
              <w:pBdr>
                <w:top w:val="nil"/>
                <w:left w:val="nil"/>
                <w:bottom w:val="nil"/>
                <w:right w:val="nil"/>
                <w:between w:val="nil"/>
              </w:pBdr>
              <w:jc w:val="both"/>
              <w:rPr>
                <w:color w:val="000000"/>
                <w:sz w:val="22"/>
                <w:szCs w:val="22"/>
              </w:rPr>
            </w:pPr>
            <w:r w:rsidRPr="004F611A">
              <w:rPr>
                <w:color w:val="000000"/>
                <w:sz w:val="22"/>
                <w:szCs w:val="22"/>
              </w:rPr>
              <w:t xml:space="preserve">Výber poplatku </w:t>
            </w:r>
            <w:r w:rsidR="000957F3" w:rsidRPr="004F611A">
              <w:rPr>
                <w:color w:val="000000"/>
                <w:sz w:val="22"/>
                <w:szCs w:val="22"/>
              </w:rPr>
              <w:t xml:space="preserve">za predbežnú konzultáciu vo veci oddlženia. </w:t>
            </w:r>
          </w:p>
          <w:p w:rsidR="00CC52B9" w:rsidRPr="004F611A" w:rsidRDefault="00CC52B9" w:rsidP="00144954">
            <w:pPr>
              <w:widowControl w:val="0"/>
              <w:pBdr>
                <w:top w:val="nil"/>
                <w:left w:val="nil"/>
                <w:bottom w:val="nil"/>
                <w:right w:val="nil"/>
                <w:between w:val="nil"/>
              </w:pBdr>
              <w:jc w:val="both"/>
              <w:rPr>
                <w:color w:val="000000"/>
                <w:sz w:val="22"/>
                <w:szCs w:val="22"/>
              </w:rPr>
            </w:pPr>
          </w:p>
          <w:p w:rsidR="00CC52B9" w:rsidRPr="004F611A" w:rsidRDefault="00CC52B9" w:rsidP="00144954">
            <w:pPr>
              <w:widowControl w:val="0"/>
              <w:pBdr>
                <w:top w:val="nil"/>
                <w:left w:val="nil"/>
                <w:bottom w:val="nil"/>
                <w:right w:val="nil"/>
                <w:between w:val="nil"/>
              </w:pBdr>
              <w:jc w:val="both"/>
              <w:rPr>
                <w:color w:val="000000"/>
                <w:sz w:val="22"/>
                <w:szCs w:val="22"/>
              </w:rPr>
            </w:pPr>
            <w:r w:rsidRPr="004F611A">
              <w:rPr>
                <w:color w:val="000000"/>
                <w:sz w:val="22"/>
                <w:szCs w:val="22"/>
              </w:rPr>
              <w:t xml:space="preserve">Upravuje sa lehota na vrátenie preplatku vzniknutého v rámci správy pohľadávky vzniknutej podľa § 24i. </w:t>
            </w:r>
          </w:p>
          <w:p w:rsidR="006C7CFF" w:rsidRPr="00A53EB4" w:rsidRDefault="006C7CFF" w:rsidP="00CC52B9">
            <w:pPr>
              <w:widowControl w:val="0"/>
              <w:pBdr>
                <w:top w:val="nil"/>
                <w:left w:val="nil"/>
                <w:bottom w:val="nil"/>
                <w:right w:val="nil"/>
                <w:between w:val="nil"/>
              </w:pBdr>
              <w:jc w:val="both"/>
              <w:rPr>
                <w:color w:val="000000"/>
                <w:sz w:val="22"/>
                <w:szCs w:val="22"/>
              </w:rPr>
            </w:pPr>
          </w:p>
        </w:tc>
      </w:tr>
      <w:tr w:rsidR="00DE0E1B">
        <w:trPr>
          <w:trHeight w:val="20"/>
        </w:trPr>
        <w:tc>
          <w:tcPr>
            <w:tcW w:w="9371" w:type="dxa"/>
          </w:tcPr>
          <w:p w:rsidR="00DE0E1B" w:rsidRDefault="00E6488E">
            <w:pPr>
              <w:widowControl w:val="0"/>
              <w:pBdr>
                <w:top w:val="nil"/>
                <w:left w:val="nil"/>
                <w:bottom w:val="nil"/>
                <w:right w:val="nil"/>
                <w:between w:val="nil"/>
              </w:pBdr>
              <w:jc w:val="both"/>
              <w:rPr>
                <w:color w:val="000000"/>
                <w:sz w:val="24"/>
                <w:szCs w:val="24"/>
              </w:rPr>
            </w:pPr>
            <w:r>
              <w:rPr>
                <w:i/>
                <w:color w:val="000000"/>
                <w:sz w:val="24"/>
                <w:szCs w:val="24"/>
              </w:rPr>
              <w:t>Zanikajúce povinnosti (identifikujte)</w:t>
            </w:r>
          </w:p>
        </w:tc>
      </w:tr>
      <w:tr w:rsidR="00DE0E1B">
        <w:trPr>
          <w:trHeight w:val="859"/>
        </w:trPr>
        <w:tc>
          <w:tcPr>
            <w:tcW w:w="9371" w:type="dxa"/>
          </w:tcPr>
          <w:p w:rsidR="00DE0E1B" w:rsidRPr="004F611A" w:rsidRDefault="00144954">
            <w:pPr>
              <w:widowControl w:val="0"/>
              <w:pBdr>
                <w:top w:val="nil"/>
                <w:left w:val="nil"/>
                <w:bottom w:val="nil"/>
                <w:right w:val="nil"/>
                <w:between w:val="nil"/>
              </w:pBdr>
              <w:jc w:val="both"/>
              <w:rPr>
                <w:color w:val="000000"/>
                <w:sz w:val="22"/>
                <w:szCs w:val="22"/>
              </w:rPr>
            </w:pPr>
            <w:r w:rsidRPr="004F611A">
              <w:rPr>
                <w:color w:val="000000"/>
                <w:sz w:val="22"/>
                <w:szCs w:val="22"/>
              </w:rPr>
              <w:t xml:space="preserve">Centrum právnej pomoci nebude musieť vracať preplatky dlžníkov podľa § 24i do sumy 5 eur. </w:t>
            </w:r>
          </w:p>
        </w:tc>
      </w:tr>
    </w:tbl>
    <w:p w:rsidR="00DE0E1B" w:rsidRDefault="00DE0E1B">
      <w:pPr>
        <w:widowControl w:val="0"/>
        <w:pBdr>
          <w:top w:val="nil"/>
          <w:left w:val="nil"/>
          <w:bottom w:val="nil"/>
          <w:right w:val="nil"/>
          <w:between w:val="nil"/>
        </w:pBdr>
        <w:jc w:val="center"/>
        <w:rPr>
          <w:color w:val="000000"/>
          <w:sz w:val="36"/>
          <w:szCs w:val="36"/>
        </w:rPr>
      </w:pPr>
    </w:p>
    <w:p w:rsidR="00DE0E1B" w:rsidRDefault="00DE0E1B">
      <w:pPr>
        <w:widowControl w:val="0"/>
        <w:pBdr>
          <w:top w:val="nil"/>
          <w:left w:val="nil"/>
          <w:bottom w:val="nil"/>
          <w:right w:val="nil"/>
          <w:between w:val="nil"/>
        </w:pBdr>
        <w:ind w:left="720"/>
        <w:jc w:val="both"/>
        <w:rPr>
          <w:color w:val="000000"/>
          <w:sz w:val="24"/>
          <w:szCs w:val="24"/>
        </w:rPr>
      </w:pPr>
    </w:p>
    <w:p w:rsidR="00DE0E1B" w:rsidRDefault="00DE0E1B">
      <w:pPr>
        <w:widowControl w:val="0"/>
        <w:pBdr>
          <w:top w:val="nil"/>
          <w:left w:val="nil"/>
          <w:bottom w:val="nil"/>
          <w:right w:val="nil"/>
          <w:between w:val="nil"/>
        </w:pBdr>
        <w:ind w:left="720"/>
        <w:jc w:val="both"/>
        <w:rPr>
          <w:color w:val="000000"/>
          <w:sz w:val="24"/>
          <w:szCs w:val="24"/>
        </w:rPr>
      </w:pPr>
    </w:p>
    <w:sectPr w:rsidR="00DE0E1B">
      <w:headerReference w:type="default" r:id="rId9"/>
      <w:footerReference w:type="default" r:id="rId10"/>
      <w:pgSz w:w="11906" w:h="16838"/>
      <w:pgMar w:top="1178" w:right="1418" w:bottom="96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7DA" w:rsidRDefault="006947DA">
      <w:r>
        <w:separator/>
      </w:r>
    </w:p>
  </w:endnote>
  <w:endnote w:type="continuationSeparator" w:id="0">
    <w:p w:rsidR="006947DA" w:rsidRDefault="0069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1B" w:rsidRDefault="00E6488E">
    <w:pPr>
      <w:widowControl w:val="0"/>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B2BEE">
      <w:rPr>
        <w:noProof/>
        <w:color w:val="000000"/>
        <w:sz w:val="24"/>
        <w:szCs w:val="24"/>
      </w:rPr>
      <w:t>2</w:t>
    </w:r>
    <w:r>
      <w:rPr>
        <w:color w:val="000000"/>
        <w:sz w:val="24"/>
        <w:szCs w:val="24"/>
      </w:rPr>
      <w:fldChar w:fldCharType="end"/>
    </w:r>
  </w:p>
  <w:p w:rsidR="00DE0E1B" w:rsidRDefault="00DE0E1B">
    <w:pPr>
      <w:widowControl w:val="0"/>
      <w:pBdr>
        <w:top w:val="nil"/>
        <w:left w:val="nil"/>
        <w:bottom w:val="nil"/>
        <w:right w:val="nil"/>
        <w:between w:val="nil"/>
      </w:pBdr>
      <w:tabs>
        <w:tab w:val="center" w:pos="4536"/>
        <w:tab w:val="right" w:pos="9072"/>
      </w:tabs>
      <w:ind w:right="360"/>
      <w:jc w:val="both"/>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7DA" w:rsidRDefault="006947DA">
      <w:r>
        <w:separator/>
      </w:r>
    </w:p>
  </w:footnote>
  <w:footnote w:type="continuationSeparator" w:id="0">
    <w:p w:rsidR="006947DA" w:rsidRDefault="0069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E1B" w:rsidRDefault="00E6488E">
    <w:pPr>
      <w:widowControl w:val="0"/>
      <w:pBdr>
        <w:top w:val="nil"/>
        <w:left w:val="nil"/>
        <w:bottom w:val="nil"/>
        <w:right w:val="nil"/>
        <w:between w:val="nil"/>
      </w:pBdr>
      <w:tabs>
        <w:tab w:val="center" w:pos="4536"/>
        <w:tab w:val="right" w:pos="9072"/>
      </w:tabs>
      <w:jc w:val="right"/>
      <w:rPr>
        <w:color w:val="000000"/>
        <w:sz w:val="24"/>
        <w:szCs w:val="24"/>
      </w:rPr>
    </w:pPr>
    <w:r>
      <w:rPr>
        <w:color w:val="000000"/>
        <w:sz w:val="24"/>
        <w:szCs w:val="24"/>
      </w:rPr>
      <w:t>Príloha č.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7D1"/>
    <w:multiLevelType w:val="multilevel"/>
    <w:tmpl w:val="639011CC"/>
    <w:lvl w:ilvl="0">
      <w:start w:val="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2A241B4"/>
    <w:multiLevelType w:val="hybridMultilevel"/>
    <w:tmpl w:val="9620CE48"/>
    <w:lvl w:ilvl="0" w:tplc="318C1514">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4817D8"/>
    <w:multiLevelType w:val="multilevel"/>
    <w:tmpl w:val="F966713E"/>
    <w:lvl w:ilvl="0">
      <w:start w:val="1"/>
      <w:numFmt w:val="lowerLetter"/>
      <w:lvlText w:val="%1)"/>
      <w:lvlJc w:val="left"/>
      <w:pPr>
        <w:ind w:left="420" w:hanging="360"/>
      </w:pPr>
      <w:rPr>
        <w:color w:val="00000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3" w15:restartNumberingAfterBreak="0">
    <w:nsid w:val="3AE105F7"/>
    <w:multiLevelType w:val="hybridMultilevel"/>
    <w:tmpl w:val="9620CE48"/>
    <w:lvl w:ilvl="0" w:tplc="318C1514">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EE76C25"/>
    <w:multiLevelType w:val="multilevel"/>
    <w:tmpl w:val="27EABE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F44546E"/>
    <w:multiLevelType w:val="multilevel"/>
    <w:tmpl w:val="81588B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58302C3"/>
    <w:multiLevelType w:val="multilevel"/>
    <w:tmpl w:val="2E9C69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6A4340F"/>
    <w:multiLevelType w:val="multilevel"/>
    <w:tmpl w:val="D2F456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D6C70B3"/>
    <w:multiLevelType w:val="hybridMultilevel"/>
    <w:tmpl w:val="9620CE48"/>
    <w:lvl w:ilvl="0" w:tplc="318C1514">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B77F62"/>
    <w:multiLevelType w:val="multilevel"/>
    <w:tmpl w:val="6A4698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30A6251"/>
    <w:multiLevelType w:val="multilevel"/>
    <w:tmpl w:val="F9664B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85A53F1"/>
    <w:multiLevelType w:val="multilevel"/>
    <w:tmpl w:val="258E1422"/>
    <w:lvl w:ilvl="0">
      <w:start w:val="7"/>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7A0F6BA7"/>
    <w:multiLevelType w:val="multilevel"/>
    <w:tmpl w:val="5CA6BD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2"/>
  </w:num>
  <w:num w:numId="3">
    <w:abstractNumId w:val="4"/>
  </w:num>
  <w:num w:numId="4">
    <w:abstractNumId w:val="5"/>
  </w:num>
  <w:num w:numId="5">
    <w:abstractNumId w:val="7"/>
  </w:num>
  <w:num w:numId="6">
    <w:abstractNumId w:val="11"/>
  </w:num>
  <w:num w:numId="7">
    <w:abstractNumId w:val="10"/>
  </w:num>
  <w:num w:numId="8">
    <w:abstractNumId w:val="9"/>
  </w:num>
  <w:num w:numId="9">
    <w:abstractNumId w:val="6"/>
  </w:num>
  <w:num w:numId="10">
    <w:abstractNumId w:val="0"/>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1B"/>
    <w:rsid w:val="00065555"/>
    <w:rsid w:val="000957F3"/>
    <w:rsid w:val="000D39B9"/>
    <w:rsid w:val="001357CB"/>
    <w:rsid w:val="00136E28"/>
    <w:rsid w:val="00144954"/>
    <w:rsid w:val="00197910"/>
    <w:rsid w:val="001B2E27"/>
    <w:rsid w:val="002B11B4"/>
    <w:rsid w:val="002B72CA"/>
    <w:rsid w:val="00337E83"/>
    <w:rsid w:val="00354DFE"/>
    <w:rsid w:val="003B2729"/>
    <w:rsid w:val="003B2BEE"/>
    <w:rsid w:val="003F22D5"/>
    <w:rsid w:val="00460F64"/>
    <w:rsid w:val="004C6194"/>
    <w:rsid w:val="004D6233"/>
    <w:rsid w:val="004E74EC"/>
    <w:rsid w:val="004F611A"/>
    <w:rsid w:val="005177F4"/>
    <w:rsid w:val="00523E5D"/>
    <w:rsid w:val="00550F49"/>
    <w:rsid w:val="00567AC9"/>
    <w:rsid w:val="005C1D11"/>
    <w:rsid w:val="005D09F3"/>
    <w:rsid w:val="005F57FB"/>
    <w:rsid w:val="0060688B"/>
    <w:rsid w:val="00617DC5"/>
    <w:rsid w:val="00626BB1"/>
    <w:rsid w:val="00640220"/>
    <w:rsid w:val="006947DA"/>
    <w:rsid w:val="006C7CFF"/>
    <w:rsid w:val="006E0364"/>
    <w:rsid w:val="00753BC4"/>
    <w:rsid w:val="007C4314"/>
    <w:rsid w:val="007D1EF1"/>
    <w:rsid w:val="007E3485"/>
    <w:rsid w:val="007E7F7D"/>
    <w:rsid w:val="007F17F1"/>
    <w:rsid w:val="00853EBC"/>
    <w:rsid w:val="00956AC5"/>
    <w:rsid w:val="00985E66"/>
    <w:rsid w:val="009D2433"/>
    <w:rsid w:val="009E5287"/>
    <w:rsid w:val="00A53EB4"/>
    <w:rsid w:val="00A94FF9"/>
    <w:rsid w:val="00B07AFA"/>
    <w:rsid w:val="00B23511"/>
    <w:rsid w:val="00B4355C"/>
    <w:rsid w:val="00B51940"/>
    <w:rsid w:val="00B81DCB"/>
    <w:rsid w:val="00BB72B5"/>
    <w:rsid w:val="00C065B1"/>
    <w:rsid w:val="00C22BEE"/>
    <w:rsid w:val="00CC52B9"/>
    <w:rsid w:val="00CE4C84"/>
    <w:rsid w:val="00D44476"/>
    <w:rsid w:val="00D45714"/>
    <w:rsid w:val="00D515AF"/>
    <w:rsid w:val="00DE0E1B"/>
    <w:rsid w:val="00E14F23"/>
    <w:rsid w:val="00E6488E"/>
    <w:rsid w:val="00E943B4"/>
    <w:rsid w:val="00E976BB"/>
    <w:rsid w:val="00EB13BF"/>
    <w:rsid w:val="00EE2486"/>
    <w:rsid w:val="00EF1CB4"/>
    <w:rsid w:val="00F82CA4"/>
    <w:rsid w:val="00FB0019"/>
    <w:rsid w:val="00FC6EE5"/>
    <w:rsid w:val="00FE5232"/>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70" w:type="dxa"/>
        <w:bottom w:w="28" w:type="dxa"/>
        <w:right w:w="70" w:type="dxa"/>
      </w:tblCellMar>
    </w:tblPr>
  </w:style>
  <w:style w:type="character" w:styleId="Hypertextovprepojenie">
    <w:name w:val="Hyperlink"/>
    <w:basedOn w:val="Predvolenpsmoodseku"/>
    <w:uiPriority w:val="99"/>
    <w:semiHidden/>
    <w:unhideWhenUsed/>
    <w:rsid w:val="003B2729"/>
    <w:rPr>
      <w:color w:val="0000FF"/>
      <w:u w:val="single"/>
    </w:rPr>
  </w:style>
  <w:style w:type="paragraph" w:styleId="Normlnywebov">
    <w:name w:val="Normal (Web)"/>
    <w:basedOn w:val="Normlny"/>
    <w:uiPriority w:val="99"/>
    <w:unhideWhenUsed/>
    <w:rsid w:val="006C7CFF"/>
    <w:pPr>
      <w:spacing w:before="100" w:beforeAutospacing="1" w:after="100" w:afterAutospacing="1"/>
    </w:pPr>
    <w:rPr>
      <w:sz w:val="24"/>
      <w:szCs w:val="24"/>
    </w:rPr>
  </w:style>
  <w:style w:type="paragraph" w:styleId="Textbubliny">
    <w:name w:val="Balloon Text"/>
    <w:basedOn w:val="Normlny"/>
    <w:link w:val="TextbublinyChar"/>
    <w:uiPriority w:val="99"/>
    <w:semiHidden/>
    <w:unhideWhenUsed/>
    <w:rsid w:val="00A53E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3EB4"/>
    <w:rPr>
      <w:rFonts w:ascii="Segoe UI" w:hAnsi="Segoe UI" w:cs="Segoe UI"/>
      <w:sz w:val="18"/>
      <w:szCs w:val="18"/>
    </w:rPr>
  </w:style>
  <w:style w:type="paragraph" w:styleId="Odsekzoznamu">
    <w:name w:val="List Paragraph"/>
    <w:basedOn w:val="Normlny"/>
    <w:uiPriority w:val="34"/>
    <w:qFormat/>
    <w:rsid w:val="006E0364"/>
    <w:pPr>
      <w:ind w:left="720"/>
      <w:contextualSpacing/>
    </w:pPr>
  </w:style>
  <w:style w:type="paragraph" w:styleId="Hlavika">
    <w:name w:val="header"/>
    <w:basedOn w:val="Normlny"/>
    <w:link w:val="HlavikaChar"/>
    <w:uiPriority w:val="99"/>
    <w:unhideWhenUsed/>
    <w:rsid w:val="005177F4"/>
    <w:pPr>
      <w:tabs>
        <w:tab w:val="center" w:pos="4536"/>
        <w:tab w:val="right" w:pos="9072"/>
      </w:tabs>
    </w:pPr>
  </w:style>
  <w:style w:type="character" w:customStyle="1" w:styleId="HlavikaChar">
    <w:name w:val="Hlavička Char"/>
    <w:basedOn w:val="Predvolenpsmoodseku"/>
    <w:link w:val="Hlavika"/>
    <w:uiPriority w:val="99"/>
    <w:rsid w:val="005177F4"/>
  </w:style>
  <w:style w:type="paragraph" w:styleId="Pta">
    <w:name w:val="footer"/>
    <w:basedOn w:val="Normlny"/>
    <w:link w:val="PtaChar"/>
    <w:uiPriority w:val="99"/>
    <w:unhideWhenUsed/>
    <w:rsid w:val="005177F4"/>
    <w:pPr>
      <w:tabs>
        <w:tab w:val="center" w:pos="4536"/>
        <w:tab w:val="right" w:pos="9072"/>
      </w:tabs>
    </w:pPr>
  </w:style>
  <w:style w:type="character" w:customStyle="1" w:styleId="PtaChar">
    <w:name w:val="Päta Char"/>
    <w:basedOn w:val="Predvolenpsmoodseku"/>
    <w:link w:val="Pta"/>
    <w:uiPriority w:val="99"/>
    <w:rsid w:val="0051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8106">
      <w:bodyDiv w:val="1"/>
      <w:marLeft w:val="0"/>
      <w:marRight w:val="0"/>
      <w:marTop w:val="0"/>
      <w:marBottom w:val="0"/>
      <w:divBdr>
        <w:top w:val="none" w:sz="0" w:space="0" w:color="auto"/>
        <w:left w:val="none" w:sz="0" w:space="0" w:color="auto"/>
        <w:bottom w:val="none" w:sz="0" w:space="0" w:color="auto"/>
        <w:right w:val="none" w:sz="0" w:space="0" w:color="auto"/>
      </w:divBdr>
    </w:div>
    <w:div w:id="115005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86/" TargetMode="External"/><Relationship Id="rId3" Type="http://schemas.openxmlformats.org/officeDocument/2006/relationships/settings" Target="settings.xml"/><Relationship Id="rId7" Type="http://schemas.openxmlformats.org/officeDocument/2006/relationships/hyperlink" Target="https://www.slov-lex.sk/pravne-predpisy/SK/ZZ/2003/5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Words>
  <Characters>12611</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2024-10-30T13:46:00Z</dcterms:created>
  <dcterms:modified xsi:type="dcterms:W3CDTF">2024-10-30T13:47:00Z</dcterms:modified>
</cp:coreProperties>
</file>