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FC" w:rsidRPr="00F01293" w:rsidRDefault="00E839D6">
      <w:pPr>
        <w:spacing w:after="0" w:line="264" w:lineRule="auto"/>
        <w:ind w:left="120"/>
        <w:jc w:val="center"/>
        <w:rPr>
          <w:lang w:val="sk-SK"/>
        </w:rPr>
      </w:pPr>
      <w:bookmarkStart w:id="0" w:name="predpis.typ"/>
      <w:bookmarkStart w:id="1" w:name="_GoBack"/>
      <w:bookmarkEnd w:id="1"/>
      <w:r w:rsidRPr="00F01293">
        <w:rPr>
          <w:rFonts w:ascii="Times New Roman" w:hAnsi="Times New Roman"/>
          <w:b/>
          <w:lang w:val="sk-SK"/>
        </w:rPr>
        <w:t xml:space="preserve"> NARIADENIE VLÁDY </w:t>
      </w:r>
    </w:p>
    <w:bookmarkEnd w:id="0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spacing w:after="0" w:line="264" w:lineRule="auto"/>
        <w:ind w:left="120"/>
        <w:jc w:val="center"/>
        <w:rPr>
          <w:lang w:val="sk-SK"/>
        </w:rPr>
      </w:pPr>
      <w:bookmarkStart w:id="2" w:name="predpis.podnadpis"/>
      <w:r w:rsidRPr="00F01293">
        <w:rPr>
          <w:rFonts w:ascii="Times New Roman" w:hAnsi="Times New Roman"/>
          <w:b/>
          <w:lang w:val="sk-SK"/>
        </w:rPr>
        <w:t xml:space="preserve"> Slovenskej republiky </w:t>
      </w:r>
    </w:p>
    <w:bookmarkEnd w:id="2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spacing w:after="0" w:line="264" w:lineRule="auto"/>
        <w:ind w:left="120"/>
        <w:jc w:val="center"/>
        <w:rPr>
          <w:lang w:val="sk-SK"/>
        </w:rPr>
      </w:pPr>
      <w:bookmarkStart w:id="3" w:name="predpis.datum"/>
      <w:r w:rsidRPr="00F01293">
        <w:rPr>
          <w:rFonts w:ascii="Times New Roman" w:hAnsi="Times New Roman"/>
          <w:sz w:val="21"/>
          <w:lang w:val="sk-SK"/>
        </w:rPr>
        <w:t xml:space="preserve"> z 1. decembra 2004 </w:t>
      </w:r>
    </w:p>
    <w:bookmarkEnd w:id="3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lang w:val="sk-SK"/>
        </w:rPr>
      </w:pPr>
      <w:bookmarkStart w:id="4" w:name="predpis.nadpis"/>
      <w:r w:rsidRPr="00F01293">
        <w:rPr>
          <w:rFonts w:ascii="Times New Roman" w:hAnsi="Times New Roman"/>
          <w:b/>
          <w:lang w:val="sk-SK"/>
        </w:rPr>
        <w:t xml:space="preserve"> o rozdeľovaní výnosu dane z príjmov územnej samospráve </w:t>
      </w:r>
    </w:p>
    <w:bookmarkEnd w:id="4"/>
    <w:p w:rsidR="007467FC" w:rsidRPr="00F01293" w:rsidRDefault="00E839D6">
      <w:pPr>
        <w:spacing w:after="0"/>
        <w:ind w:left="120"/>
        <w:rPr>
          <w:lang w:val="sk-SK"/>
        </w:rPr>
      </w:pPr>
      <w:r w:rsidRPr="00F01293">
        <w:rPr>
          <w:rFonts w:ascii="Times New Roman" w:hAnsi="Times New Roman"/>
          <w:lang w:val="sk-SK"/>
        </w:rPr>
        <w:t xml:space="preserve"> Vláda Slovenskej republiky podľa </w:t>
      </w:r>
      <w:hyperlink r:id="rId7" w:anchor="paragraf-4.odsek-1">
        <w:r w:rsidRPr="00F01293">
          <w:rPr>
            <w:rFonts w:ascii="Times New Roman" w:hAnsi="Times New Roman"/>
            <w:u w:val="single"/>
            <w:lang w:val="sk-SK"/>
          </w:rPr>
          <w:t>§ 4 ods. 1 zákona č. 564/2004 Z. z.</w:t>
        </w:r>
      </w:hyperlink>
      <w:bookmarkStart w:id="5" w:name="predpis.text"/>
      <w:r w:rsidRPr="00F01293">
        <w:rPr>
          <w:rFonts w:ascii="Times New Roman" w:hAnsi="Times New Roman"/>
          <w:lang w:val="sk-SK"/>
        </w:rPr>
        <w:t xml:space="preserve"> o rozpočtovom určení výnosu dane z príjmov územnej samospráve a o zmene a doplnení niektorých zákonov (ďalej len „zákon“) nariaďuje: </w:t>
      </w:r>
      <w:bookmarkEnd w:id="5"/>
    </w:p>
    <w:p w:rsidR="007467FC" w:rsidRPr="00F01293" w:rsidRDefault="00E839D6">
      <w:pPr>
        <w:spacing w:before="225" w:after="225" w:line="264" w:lineRule="auto"/>
        <w:ind w:left="195"/>
        <w:jc w:val="center"/>
        <w:rPr>
          <w:lang w:val="sk-SK"/>
        </w:rPr>
      </w:pPr>
      <w:bookmarkStart w:id="6" w:name="paragraf-1.oznacenie"/>
      <w:bookmarkStart w:id="7" w:name="paragraf-1"/>
      <w:r w:rsidRPr="00F01293">
        <w:rPr>
          <w:rFonts w:ascii="Times New Roman" w:hAnsi="Times New Roman"/>
          <w:b/>
          <w:lang w:val="sk-SK"/>
        </w:rPr>
        <w:t xml:space="preserve"> § 1 </w:t>
      </w:r>
    </w:p>
    <w:p w:rsidR="007467FC" w:rsidRPr="00F01293" w:rsidRDefault="00E839D6">
      <w:pPr>
        <w:spacing w:before="225" w:after="225" w:line="264" w:lineRule="auto"/>
        <w:ind w:left="270"/>
        <w:rPr>
          <w:lang w:val="sk-SK"/>
        </w:rPr>
      </w:pPr>
      <w:bookmarkStart w:id="8" w:name="paragraf-1.odsek-1"/>
      <w:bookmarkEnd w:id="6"/>
      <w:r w:rsidRPr="00F01293">
        <w:rPr>
          <w:rFonts w:ascii="Times New Roman" w:hAnsi="Times New Roman"/>
          <w:lang w:val="sk-SK"/>
        </w:rPr>
        <w:t xml:space="preserve"> </w:t>
      </w:r>
      <w:bookmarkStart w:id="9" w:name="paragraf-1.odsek-1.oznacenie"/>
      <w:bookmarkStart w:id="10" w:name="paragraf-1.odsek-1.text"/>
      <w:bookmarkEnd w:id="9"/>
      <w:r w:rsidRPr="00F01293">
        <w:rPr>
          <w:rFonts w:ascii="Times New Roman" w:hAnsi="Times New Roman"/>
          <w:lang w:val="sk-SK"/>
        </w:rPr>
        <w:t xml:space="preserve">Toto nariadenie upravuje kritériá a spôsob rozdeľovania výnosu dane z príjmov fyzických osôb s výnimkou dane z príjmov, ktorá sa vyberá zrážkou (ďalej len „daň“) obciam a vyšším územným celkom. </w:t>
      </w:r>
      <w:bookmarkEnd w:id="10"/>
    </w:p>
    <w:bookmarkEnd w:id="7"/>
    <w:bookmarkEnd w:id="8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spacing w:before="225" w:after="225" w:line="264" w:lineRule="auto"/>
        <w:ind w:left="195"/>
        <w:jc w:val="center"/>
        <w:rPr>
          <w:lang w:val="sk-SK"/>
        </w:rPr>
      </w:pPr>
      <w:bookmarkStart w:id="11" w:name="paragraf-2.oznacenie"/>
      <w:bookmarkStart w:id="12" w:name="paragraf-2"/>
      <w:r w:rsidRPr="00F01293">
        <w:rPr>
          <w:rFonts w:ascii="Times New Roman" w:hAnsi="Times New Roman"/>
          <w:b/>
          <w:lang w:val="sk-SK"/>
        </w:rPr>
        <w:t xml:space="preserve"> § 2 </w:t>
      </w:r>
    </w:p>
    <w:p w:rsidR="007467FC" w:rsidRPr="002C0313" w:rsidRDefault="00E839D6">
      <w:pPr>
        <w:spacing w:after="0" w:line="264" w:lineRule="auto"/>
        <w:ind w:left="270"/>
        <w:rPr>
          <w:lang w:val="sk-SK"/>
        </w:rPr>
      </w:pPr>
      <w:bookmarkStart w:id="13" w:name="paragraf-2.odsek-1"/>
      <w:bookmarkEnd w:id="11"/>
      <w:r w:rsidRPr="002C0313">
        <w:rPr>
          <w:rFonts w:ascii="Times New Roman" w:hAnsi="Times New Roman"/>
          <w:lang w:val="sk-SK"/>
        </w:rPr>
        <w:t xml:space="preserve"> </w:t>
      </w:r>
      <w:bookmarkStart w:id="14" w:name="paragraf-2.odsek-1.oznacenie"/>
      <w:r w:rsidRPr="002C0313">
        <w:rPr>
          <w:rFonts w:ascii="Times New Roman" w:hAnsi="Times New Roman"/>
          <w:lang w:val="sk-SK"/>
        </w:rPr>
        <w:t xml:space="preserve">(1) </w:t>
      </w:r>
      <w:bookmarkEnd w:id="14"/>
      <w:r w:rsidRPr="002C0313">
        <w:rPr>
          <w:rFonts w:ascii="Times New Roman" w:hAnsi="Times New Roman"/>
          <w:lang w:val="sk-SK"/>
        </w:rPr>
        <w:t xml:space="preserve">Výnos dane podľa </w:t>
      </w:r>
      <w:hyperlink r:id="rId8" w:anchor="paragraf-2">
        <w:r w:rsidRPr="002C0313">
          <w:rPr>
            <w:rFonts w:ascii="Times New Roman" w:hAnsi="Times New Roman"/>
            <w:u w:val="single"/>
            <w:lang w:val="sk-SK"/>
          </w:rPr>
          <w:t>§ 2 zákona</w:t>
        </w:r>
      </w:hyperlink>
      <w:bookmarkStart w:id="15" w:name="paragraf-2.odsek-1.text"/>
      <w:r w:rsidRPr="002C0313">
        <w:rPr>
          <w:rFonts w:ascii="Times New Roman" w:hAnsi="Times New Roman"/>
          <w:lang w:val="sk-SK"/>
        </w:rPr>
        <w:t xml:space="preserve"> sa rozdelí obciam takto: </w:t>
      </w:r>
      <w:bookmarkEnd w:id="15"/>
    </w:p>
    <w:p w:rsidR="007467FC" w:rsidRPr="002C0313" w:rsidRDefault="00E839D6">
      <w:pPr>
        <w:spacing w:before="225" w:after="225" w:line="264" w:lineRule="auto"/>
        <w:ind w:left="345"/>
        <w:rPr>
          <w:lang w:val="sk-SK"/>
        </w:rPr>
      </w:pPr>
      <w:bookmarkStart w:id="16" w:name="paragraf-2.odsek-1.pismeno-a"/>
      <w:r w:rsidRPr="002C0313">
        <w:rPr>
          <w:rFonts w:ascii="Times New Roman" w:hAnsi="Times New Roman"/>
          <w:lang w:val="sk-SK"/>
        </w:rPr>
        <w:t xml:space="preserve"> </w:t>
      </w:r>
      <w:bookmarkStart w:id="17" w:name="paragraf-2.odsek-1.pismeno-a.oznacenie"/>
      <w:r w:rsidRPr="002C0313">
        <w:rPr>
          <w:rFonts w:ascii="Times New Roman" w:hAnsi="Times New Roman"/>
          <w:lang w:val="sk-SK"/>
        </w:rPr>
        <w:t xml:space="preserve">a) </w:t>
      </w:r>
      <w:bookmarkEnd w:id="17"/>
      <w:r w:rsidR="00350442" w:rsidRPr="002C0313">
        <w:rPr>
          <w:rFonts w:ascii="Times New Roman" w:hAnsi="Times New Roman"/>
          <w:highlight w:val="yellow"/>
          <w:lang w:val="sk-SK"/>
        </w:rPr>
        <w:t>28</w:t>
      </w:r>
      <w:r w:rsidR="00CA3CA3" w:rsidRPr="002C0313">
        <w:rPr>
          <w:rFonts w:ascii="Times New Roman" w:hAnsi="Times New Roman"/>
          <w:highlight w:val="yellow"/>
          <w:lang w:val="sk-SK"/>
        </w:rPr>
        <w:t>,8</w:t>
      </w:r>
      <w:r w:rsidRPr="002C0313">
        <w:rPr>
          <w:rFonts w:ascii="Times New Roman" w:hAnsi="Times New Roman"/>
          <w:lang w:val="sk-SK"/>
        </w:rPr>
        <w:t xml:space="preserve"> % podľa počtu obyvateľov obce s trvalým pobytom na území obce k 1. januáru predchádzajúceho kalendárneho roka, z toho 57 % prepočítaný koeficientom nadmorskej výšky obce uvedeným v </w:t>
      </w:r>
      <w:hyperlink w:anchor="prilohy.priloha-priloha_c_1_k_nariadeniu_vlady_c_668_2004_z_z.oznacenie">
        <w:r w:rsidRPr="002C0313">
          <w:rPr>
            <w:rFonts w:ascii="Times New Roman" w:hAnsi="Times New Roman"/>
            <w:u w:val="single"/>
            <w:lang w:val="sk-SK"/>
          </w:rPr>
          <w:t>prílohe č. 1</w:t>
        </w:r>
      </w:hyperlink>
      <w:bookmarkStart w:id="18" w:name="paragraf-2.odsek-1.pismeno-a.text"/>
      <w:r w:rsidRPr="002C0313">
        <w:rPr>
          <w:rFonts w:ascii="Times New Roman" w:hAnsi="Times New Roman"/>
          <w:lang w:val="sk-SK"/>
        </w:rPr>
        <w:t xml:space="preserve">, </w:t>
      </w:r>
      <w:bookmarkEnd w:id="18"/>
    </w:p>
    <w:p w:rsidR="007467FC" w:rsidRPr="002C0313" w:rsidRDefault="00E839D6">
      <w:pPr>
        <w:spacing w:before="225" w:after="225" w:line="264" w:lineRule="auto"/>
        <w:ind w:left="345"/>
        <w:rPr>
          <w:lang w:val="sk-SK"/>
        </w:rPr>
      </w:pPr>
      <w:bookmarkStart w:id="19" w:name="paragraf-2.odsek-1.pismeno-b"/>
      <w:bookmarkEnd w:id="16"/>
      <w:r w:rsidRPr="002C0313">
        <w:rPr>
          <w:rFonts w:ascii="Times New Roman" w:hAnsi="Times New Roman"/>
          <w:lang w:val="sk-SK"/>
        </w:rPr>
        <w:t xml:space="preserve"> </w:t>
      </w:r>
      <w:bookmarkStart w:id="20" w:name="paragraf-2.odsek-1.pismeno-b.oznacenie"/>
      <w:r w:rsidRPr="002C0313">
        <w:rPr>
          <w:rFonts w:ascii="Times New Roman" w:hAnsi="Times New Roman"/>
          <w:lang w:val="sk-SK"/>
        </w:rPr>
        <w:t xml:space="preserve">b) </w:t>
      </w:r>
      <w:bookmarkEnd w:id="20"/>
      <w:r w:rsidR="00CA3CA3" w:rsidRPr="002C0313">
        <w:rPr>
          <w:rFonts w:ascii="Times New Roman" w:hAnsi="Times New Roman"/>
          <w:highlight w:val="yellow"/>
          <w:lang w:val="sk-SK"/>
        </w:rPr>
        <w:t>40</w:t>
      </w:r>
      <w:r w:rsidRPr="002C0313">
        <w:rPr>
          <w:rFonts w:ascii="Times New Roman" w:hAnsi="Times New Roman"/>
          <w:lang w:val="sk-SK"/>
        </w:rPr>
        <w:t xml:space="preserve"> % podľa počtu obyvateľov obce s trvalým pobytom na území obce k 1. januáru predchádzajúceho kalendárneho roka prepočítaného koeficientom v závislosti od zaradenia obce do veľkostnej kategórie; veľkostné kategórie obcí a príslušné koeficienty sú uvedené v </w:t>
      </w:r>
      <w:hyperlink w:anchor="prilohy.priloha-priloha_c_2_k_nariadeniu_vlady_c_668_2004_z_z.oznacenie">
        <w:r w:rsidRPr="002C0313">
          <w:rPr>
            <w:rFonts w:ascii="Times New Roman" w:hAnsi="Times New Roman"/>
            <w:u w:val="single"/>
            <w:lang w:val="sk-SK"/>
          </w:rPr>
          <w:t>prílohe č. 2</w:t>
        </w:r>
      </w:hyperlink>
      <w:bookmarkStart w:id="21" w:name="paragraf-2.odsek-1.pismeno-b.text"/>
      <w:r w:rsidRPr="002C0313">
        <w:rPr>
          <w:rFonts w:ascii="Times New Roman" w:hAnsi="Times New Roman"/>
          <w:lang w:val="sk-SK"/>
        </w:rPr>
        <w:t xml:space="preserve">, </w:t>
      </w:r>
      <w:bookmarkEnd w:id="21"/>
    </w:p>
    <w:p w:rsidR="007467FC" w:rsidRPr="002C0313" w:rsidRDefault="00E839D6">
      <w:pPr>
        <w:spacing w:before="225" w:after="225" w:line="264" w:lineRule="auto"/>
        <w:ind w:left="345"/>
        <w:rPr>
          <w:lang w:val="sk-SK"/>
        </w:rPr>
      </w:pPr>
      <w:bookmarkStart w:id="22" w:name="paragraf-2.odsek-1.pismeno-c"/>
      <w:bookmarkEnd w:id="19"/>
      <w:r w:rsidRPr="002C0313">
        <w:rPr>
          <w:rFonts w:ascii="Times New Roman" w:hAnsi="Times New Roman"/>
          <w:lang w:val="sk-SK"/>
        </w:rPr>
        <w:lastRenderedPageBreak/>
        <w:t xml:space="preserve"> </w:t>
      </w:r>
      <w:bookmarkStart w:id="23" w:name="paragraf-2.odsek-1.pismeno-c.oznacenie"/>
      <w:r w:rsidRPr="002C0313">
        <w:rPr>
          <w:rFonts w:ascii="Times New Roman" w:hAnsi="Times New Roman"/>
          <w:lang w:val="sk-SK"/>
        </w:rPr>
        <w:t xml:space="preserve">c) </w:t>
      </w:r>
      <w:bookmarkEnd w:id="23"/>
      <w:r w:rsidR="00350442" w:rsidRPr="002C0313">
        <w:rPr>
          <w:rFonts w:ascii="Times New Roman" w:hAnsi="Times New Roman"/>
          <w:highlight w:val="yellow"/>
          <w:lang w:val="sk-SK"/>
        </w:rPr>
        <w:t>2</w:t>
      </w:r>
      <w:r w:rsidR="00C95325" w:rsidRPr="002C0313">
        <w:rPr>
          <w:rFonts w:ascii="Times New Roman" w:hAnsi="Times New Roman"/>
          <w:highlight w:val="yellow"/>
          <w:lang w:val="sk-SK"/>
        </w:rPr>
        <w:t>4,9</w:t>
      </w:r>
      <w:r w:rsidRPr="002C0313">
        <w:rPr>
          <w:rFonts w:ascii="Times New Roman" w:hAnsi="Times New Roman"/>
          <w:lang w:val="sk-SK"/>
        </w:rPr>
        <w:t xml:space="preserve"> % podľa počtu žiakov (detí, poslucháčov) škôl a školských zariadení zisteného zberom údajov podľa osobitného predpisu</w:t>
      </w:r>
      <w:hyperlink w:anchor="poznamky.poznamka-1">
        <w:r w:rsidRPr="002C0313">
          <w:rPr>
            <w:rFonts w:ascii="Times New Roman" w:hAnsi="Times New Roman"/>
            <w:sz w:val="18"/>
            <w:vertAlign w:val="superscript"/>
            <w:lang w:val="sk-SK"/>
          </w:rPr>
          <w:t>1</w:t>
        </w:r>
        <w:r w:rsidRPr="002C0313">
          <w:rPr>
            <w:rFonts w:ascii="Times New Roman" w:hAnsi="Times New Roman"/>
            <w:u w:val="single"/>
            <w:lang w:val="sk-SK"/>
          </w:rPr>
          <w:t>)</w:t>
        </w:r>
      </w:hyperlink>
      <w:bookmarkStart w:id="24" w:name="paragraf-2.odsek-1.pismeno-c.text"/>
      <w:r w:rsidRPr="002C0313">
        <w:rPr>
          <w:rFonts w:ascii="Times New Roman" w:hAnsi="Times New Roman"/>
          <w:lang w:val="sk-SK"/>
        </w:rPr>
        <w:t xml:space="preserve"> a prepočítaného príslušným koeficientom uvedeným v prílohe č. 3, </w:t>
      </w:r>
      <w:bookmarkEnd w:id="24"/>
    </w:p>
    <w:p w:rsidR="007467FC" w:rsidRPr="002C0313" w:rsidRDefault="00E839D6">
      <w:pPr>
        <w:spacing w:before="225" w:after="225" w:line="264" w:lineRule="auto"/>
        <w:ind w:left="345"/>
        <w:rPr>
          <w:lang w:val="sk-SK"/>
        </w:rPr>
      </w:pPr>
      <w:bookmarkStart w:id="25" w:name="paragraf-2.odsek-1.pismeno-d"/>
      <w:bookmarkEnd w:id="22"/>
      <w:r w:rsidRPr="002C0313">
        <w:rPr>
          <w:rFonts w:ascii="Times New Roman" w:hAnsi="Times New Roman"/>
          <w:lang w:val="sk-SK"/>
        </w:rPr>
        <w:t xml:space="preserve"> </w:t>
      </w:r>
      <w:bookmarkStart w:id="26" w:name="paragraf-2.odsek-1.pismeno-d.oznacenie"/>
      <w:r w:rsidRPr="002C0313">
        <w:rPr>
          <w:rFonts w:ascii="Times New Roman" w:hAnsi="Times New Roman"/>
          <w:lang w:val="sk-SK"/>
        </w:rPr>
        <w:t xml:space="preserve">d) </w:t>
      </w:r>
      <w:bookmarkStart w:id="27" w:name="paragraf-2.odsek-1.pismeno-d.text"/>
      <w:bookmarkEnd w:id="26"/>
      <w:r w:rsidR="00350442" w:rsidRPr="004567FE">
        <w:rPr>
          <w:rFonts w:ascii="Times New Roman" w:hAnsi="Times New Roman"/>
          <w:highlight w:val="yellow"/>
          <w:lang w:val="sk-SK"/>
        </w:rPr>
        <w:t>6,</w:t>
      </w:r>
      <w:r w:rsidR="00D23B65" w:rsidRPr="004567FE">
        <w:rPr>
          <w:rFonts w:ascii="Times New Roman" w:hAnsi="Times New Roman"/>
          <w:highlight w:val="yellow"/>
          <w:lang w:val="sk-SK"/>
        </w:rPr>
        <w:t>3</w:t>
      </w:r>
      <w:r w:rsidRPr="002C0313">
        <w:rPr>
          <w:rFonts w:ascii="Times New Roman" w:hAnsi="Times New Roman"/>
          <w:lang w:val="sk-SK"/>
        </w:rPr>
        <w:t xml:space="preserve"> % podľa počtu obyvateľov obce, ktorí dovŕšili vek šesťdesiatdva rokov, s trvalým pobytom na území obce k 1. januáru predchádzajúceho kalendárneho roka. </w:t>
      </w:r>
      <w:bookmarkEnd w:id="27"/>
    </w:p>
    <w:p w:rsidR="007467FC" w:rsidRPr="002C0313" w:rsidRDefault="00E839D6">
      <w:pPr>
        <w:spacing w:before="225" w:after="225" w:line="264" w:lineRule="auto"/>
        <w:ind w:left="270"/>
        <w:rPr>
          <w:lang w:val="sk-SK"/>
        </w:rPr>
      </w:pPr>
      <w:bookmarkStart w:id="28" w:name="paragraf-2.odsek-2"/>
      <w:bookmarkEnd w:id="13"/>
      <w:bookmarkEnd w:id="25"/>
      <w:r w:rsidRPr="002C0313">
        <w:rPr>
          <w:rFonts w:ascii="Times New Roman" w:hAnsi="Times New Roman"/>
          <w:lang w:val="sk-SK"/>
        </w:rPr>
        <w:t xml:space="preserve"> </w:t>
      </w:r>
      <w:bookmarkStart w:id="29" w:name="paragraf-2.odsek-2.oznacenie"/>
      <w:r w:rsidRPr="002C0313">
        <w:rPr>
          <w:rFonts w:ascii="Times New Roman" w:hAnsi="Times New Roman"/>
          <w:lang w:val="sk-SK"/>
        </w:rPr>
        <w:t xml:space="preserve">(2) </w:t>
      </w:r>
      <w:bookmarkEnd w:id="29"/>
      <w:r w:rsidRPr="002C0313">
        <w:rPr>
          <w:rFonts w:ascii="Times New Roman" w:hAnsi="Times New Roman"/>
          <w:lang w:val="sk-SK"/>
        </w:rPr>
        <w:t xml:space="preserve">Podiel obce na výnose dane podľa </w:t>
      </w:r>
      <w:hyperlink r:id="rId9" w:anchor="paragraf-2">
        <w:r w:rsidRPr="002C0313">
          <w:rPr>
            <w:rFonts w:ascii="Times New Roman" w:hAnsi="Times New Roman"/>
            <w:u w:val="single"/>
            <w:lang w:val="sk-SK"/>
          </w:rPr>
          <w:t>§ 2 zákona</w:t>
        </w:r>
      </w:hyperlink>
      <w:r w:rsidRPr="002C0313">
        <w:rPr>
          <w:rFonts w:ascii="Times New Roman" w:hAnsi="Times New Roman"/>
          <w:lang w:val="sk-SK"/>
        </w:rPr>
        <w:t xml:space="preserve"> sa vypočítava mesačne podľa vzorca uvedeného v </w:t>
      </w:r>
      <w:hyperlink w:anchor="prilohy.priloha-priloha_c_4_k_nariadeniu_vlady_c_668_2004_z_z.oznacenie">
        <w:r w:rsidRPr="002C0313">
          <w:rPr>
            <w:rFonts w:ascii="Times New Roman" w:hAnsi="Times New Roman"/>
            <w:u w:val="single"/>
            <w:lang w:val="sk-SK"/>
          </w:rPr>
          <w:t>prílohe č. 4</w:t>
        </w:r>
      </w:hyperlink>
      <w:bookmarkStart w:id="30" w:name="paragraf-2.odsek-2.text"/>
      <w:r w:rsidRPr="002C0313">
        <w:rPr>
          <w:rFonts w:ascii="Times New Roman" w:hAnsi="Times New Roman"/>
          <w:lang w:val="sk-SK"/>
        </w:rPr>
        <w:t xml:space="preserve"> a zaokrúhľuje sa na celé eurá. </w:t>
      </w:r>
      <w:bookmarkEnd w:id="30"/>
    </w:p>
    <w:bookmarkEnd w:id="12"/>
    <w:bookmarkEnd w:id="28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spacing w:before="225" w:after="225" w:line="264" w:lineRule="auto"/>
        <w:ind w:left="195"/>
        <w:jc w:val="center"/>
        <w:rPr>
          <w:lang w:val="sk-SK"/>
        </w:rPr>
      </w:pPr>
      <w:bookmarkStart w:id="31" w:name="paragraf-3.oznacenie"/>
      <w:bookmarkStart w:id="32" w:name="paragraf-3"/>
      <w:r w:rsidRPr="00F01293">
        <w:rPr>
          <w:rFonts w:ascii="Times New Roman" w:hAnsi="Times New Roman"/>
          <w:b/>
          <w:lang w:val="sk-SK"/>
        </w:rPr>
        <w:t xml:space="preserve"> § 3 </w:t>
      </w:r>
    </w:p>
    <w:p w:rsidR="007467FC" w:rsidRPr="00F01293" w:rsidRDefault="00E839D6">
      <w:pPr>
        <w:spacing w:after="0" w:line="264" w:lineRule="auto"/>
        <w:ind w:left="270"/>
        <w:rPr>
          <w:lang w:val="sk-SK"/>
        </w:rPr>
      </w:pPr>
      <w:bookmarkStart w:id="33" w:name="paragraf-3.odsek-1"/>
      <w:bookmarkEnd w:id="31"/>
      <w:r w:rsidRPr="00F01293">
        <w:rPr>
          <w:rFonts w:ascii="Times New Roman" w:hAnsi="Times New Roman"/>
          <w:lang w:val="sk-SK"/>
        </w:rPr>
        <w:t xml:space="preserve"> </w:t>
      </w:r>
      <w:bookmarkStart w:id="34" w:name="paragraf-3.odsek-1.oznacenie"/>
      <w:r w:rsidRPr="00F01293">
        <w:rPr>
          <w:rFonts w:ascii="Times New Roman" w:hAnsi="Times New Roman"/>
          <w:lang w:val="sk-SK"/>
        </w:rPr>
        <w:t xml:space="preserve">(1) </w:t>
      </w:r>
      <w:bookmarkEnd w:id="34"/>
      <w:r w:rsidRPr="00F01293">
        <w:rPr>
          <w:rFonts w:ascii="Times New Roman" w:hAnsi="Times New Roman"/>
          <w:lang w:val="sk-SK"/>
        </w:rPr>
        <w:t xml:space="preserve">Výnos dane podľa </w:t>
      </w:r>
      <w:hyperlink r:id="rId10" w:anchor="paragraf-3">
        <w:r w:rsidRPr="00F01293">
          <w:rPr>
            <w:rFonts w:ascii="Times New Roman" w:hAnsi="Times New Roman"/>
            <w:u w:val="single"/>
            <w:lang w:val="sk-SK"/>
          </w:rPr>
          <w:t>§ 3 zákona</w:t>
        </w:r>
      </w:hyperlink>
      <w:bookmarkStart w:id="35" w:name="paragraf-3.odsek-1.text"/>
      <w:r w:rsidRPr="00F01293">
        <w:rPr>
          <w:rFonts w:ascii="Times New Roman" w:hAnsi="Times New Roman"/>
          <w:lang w:val="sk-SK"/>
        </w:rPr>
        <w:t xml:space="preserve"> sa rozdelí vyšším územným celkom takto: </w:t>
      </w:r>
      <w:bookmarkEnd w:id="35"/>
    </w:p>
    <w:p w:rsidR="007467FC" w:rsidRPr="00F01293" w:rsidRDefault="00E839D6">
      <w:pPr>
        <w:spacing w:before="225" w:after="225" w:line="264" w:lineRule="auto"/>
        <w:ind w:left="345"/>
        <w:rPr>
          <w:lang w:val="sk-SK"/>
        </w:rPr>
      </w:pPr>
      <w:bookmarkStart w:id="36" w:name="paragraf-3.odsek-1.pismeno-a"/>
      <w:r w:rsidRPr="00F01293">
        <w:rPr>
          <w:rFonts w:ascii="Times New Roman" w:hAnsi="Times New Roman"/>
          <w:lang w:val="sk-SK"/>
        </w:rPr>
        <w:t xml:space="preserve"> </w:t>
      </w:r>
      <w:bookmarkStart w:id="37" w:name="paragraf-3.odsek-1.pismeno-a.oznacenie"/>
      <w:r w:rsidRPr="00F01293">
        <w:rPr>
          <w:rFonts w:ascii="Times New Roman" w:hAnsi="Times New Roman"/>
          <w:lang w:val="sk-SK"/>
        </w:rPr>
        <w:t xml:space="preserve">a) </w:t>
      </w:r>
      <w:bookmarkStart w:id="38" w:name="paragraf-3.odsek-1.pismeno-a.text"/>
      <w:bookmarkEnd w:id="37"/>
      <w:r w:rsidRPr="00F01293">
        <w:rPr>
          <w:rFonts w:ascii="Times New Roman" w:hAnsi="Times New Roman"/>
          <w:lang w:val="sk-SK"/>
        </w:rPr>
        <w:t xml:space="preserve">15 % podľa počtu obyvateľov vyššieho územného celku s trvalým pobytom na jeho území k 1. januáru predchádzajúceho kalendárneho roka, </w:t>
      </w:r>
      <w:bookmarkEnd w:id="38"/>
    </w:p>
    <w:p w:rsidR="007467FC" w:rsidRPr="00F01293" w:rsidRDefault="00E839D6">
      <w:pPr>
        <w:spacing w:before="225" w:after="225" w:line="264" w:lineRule="auto"/>
        <w:ind w:left="345"/>
        <w:rPr>
          <w:lang w:val="sk-SK"/>
        </w:rPr>
      </w:pPr>
      <w:bookmarkStart w:id="39" w:name="paragraf-3.odsek-1.pismeno-b"/>
      <w:bookmarkEnd w:id="36"/>
      <w:r w:rsidRPr="00F01293">
        <w:rPr>
          <w:rFonts w:ascii="Times New Roman" w:hAnsi="Times New Roman"/>
          <w:lang w:val="sk-SK"/>
        </w:rPr>
        <w:t xml:space="preserve"> </w:t>
      </w:r>
      <w:bookmarkStart w:id="40" w:name="paragraf-3.odsek-1.pismeno-b.oznacenie"/>
      <w:r w:rsidRPr="00F01293">
        <w:rPr>
          <w:rFonts w:ascii="Times New Roman" w:hAnsi="Times New Roman"/>
          <w:lang w:val="sk-SK"/>
        </w:rPr>
        <w:t xml:space="preserve">b) </w:t>
      </w:r>
      <w:bookmarkStart w:id="41" w:name="paragraf-3.odsek-1.pismeno-b.text"/>
      <w:bookmarkEnd w:id="40"/>
      <w:r w:rsidRPr="00F01293">
        <w:rPr>
          <w:rFonts w:ascii="Times New Roman" w:hAnsi="Times New Roman"/>
          <w:lang w:val="sk-SK"/>
        </w:rPr>
        <w:t xml:space="preserve">15 % podľa počtu obyvateľov vyššieho územného celku vo veku pätnásť až osemnásť rokov s trvalým pobytom na jeho území k 1. januáru predchádzajúceho kalendárneho roka, </w:t>
      </w:r>
      <w:bookmarkEnd w:id="41"/>
    </w:p>
    <w:p w:rsidR="007467FC" w:rsidRPr="00F01293" w:rsidRDefault="00E839D6">
      <w:pPr>
        <w:spacing w:before="225" w:after="225" w:line="264" w:lineRule="auto"/>
        <w:ind w:left="345"/>
        <w:rPr>
          <w:lang w:val="sk-SK"/>
        </w:rPr>
      </w:pPr>
      <w:bookmarkStart w:id="42" w:name="paragraf-3.odsek-1.pismeno-c"/>
      <w:bookmarkEnd w:id="39"/>
      <w:r w:rsidRPr="00F01293">
        <w:rPr>
          <w:rFonts w:ascii="Times New Roman" w:hAnsi="Times New Roman"/>
          <w:lang w:val="sk-SK"/>
        </w:rPr>
        <w:t xml:space="preserve"> </w:t>
      </w:r>
      <w:bookmarkStart w:id="43" w:name="paragraf-3.odsek-1.pismeno-c.oznacenie"/>
      <w:r w:rsidRPr="00F01293">
        <w:rPr>
          <w:rFonts w:ascii="Times New Roman" w:hAnsi="Times New Roman"/>
          <w:lang w:val="sk-SK"/>
        </w:rPr>
        <w:t xml:space="preserve">c) </w:t>
      </w:r>
      <w:bookmarkStart w:id="44" w:name="paragraf-3.odsek-1.pismeno-c.text"/>
      <w:bookmarkEnd w:id="43"/>
      <w:r w:rsidRPr="00F01293">
        <w:rPr>
          <w:rFonts w:ascii="Times New Roman" w:hAnsi="Times New Roman"/>
          <w:lang w:val="sk-SK"/>
        </w:rPr>
        <w:t xml:space="preserve">32 % podľa počtu obyvateľov vyššieho územného celku, ktorí dovŕšili vek šesťdesiatdva rokov, s trvalým pobytom na území vyššieho územného celku k 1. januáru predchádzajúceho kalendárneho roka, </w:t>
      </w:r>
      <w:bookmarkEnd w:id="44"/>
    </w:p>
    <w:p w:rsidR="007467FC" w:rsidRPr="00F01293" w:rsidRDefault="00E839D6">
      <w:pPr>
        <w:spacing w:before="225" w:after="225" w:line="264" w:lineRule="auto"/>
        <w:ind w:left="345"/>
        <w:rPr>
          <w:lang w:val="sk-SK"/>
        </w:rPr>
      </w:pPr>
      <w:bookmarkStart w:id="45" w:name="paragraf-3.odsek-1.pismeno-d"/>
      <w:bookmarkEnd w:id="42"/>
      <w:r w:rsidRPr="00F01293">
        <w:rPr>
          <w:rFonts w:ascii="Times New Roman" w:hAnsi="Times New Roman"/>
          <w:lang w:val="sk-SK"/>
        </w:rPr>
        <w:t xml:space="preserve"> </w:t>
      </w:r>
      <w:bookmarkStart w:id="46" w:name="paragraf-3.odsek-1.pismeno-d.oznacenie"/>
      <w:r w:rsidRPr="00F01293">
        <w:rPr>
          <w:rFonts w:ascii="Times New Roman" w:hAnsi="Times New Roman"/>
          <w:lang w:val="sk-SK"/>
        </w:rPr>
        <w:t xml:space="preserve">d) </w:t>
      </w:r>
      <w:bookmarkStart w:id="47" w:name="paragraf-3.odsek-1.pismeno-d.text"/>
      <w:bookmarkEnd w:id="46"/>
      <w:r w:rsidRPr="00F01293">
        <w:rPr>
          <w:rFonts w:ascii="Times New Roman" w:hAnsi="Times New Roman"/>
          <w:lang w:val="sk-SK"/>
        </w:rPr>
        <w:t xml:space="preserve">9 % podľa obrátenej hustoty obyvateľstva vyššieho územného celku s trvalým pobytom na území vyššieho územného celku k 1. januáru predchádzajúceho kalendárneho roka, </w:t>
      </w:r>
      <w:bookmarkEnd w:id="47"/>
    </w:p>
    <w:p w:rsidR="007467FC" w:rsidRPr="00F01293" w:rsidRDefault="00E839D6">
      <w:pPr>
        <w:spacing w:before="225" w:after="225" w:line="264" w:lineRule="auto"/>
        <w:ind w:left="345"/>
        <w:rPr>
          <w:lang w:val="sk-SK"/>
        </w:rPr>
      </w:pPr>
      <w:bookmarkStart w:id="48" w:name="paragraf-3.odsek-1.pismeno-e"/>
      <w:bookmarkEnd w:id="45"/>
      <w:r w:rsidRPr="00F01293">
        <w:rPr>
          <w:rFonts w:ascii="Times New Roman" w:hAnsi="Times New Roman"/>
          <w:lang w:val="sk-SK"/>
        </w:rPr>
        <w:t xml:space="preserve"> </w:t>
      </w:r>
      <w:bookmarkStart w:id="49" w:name="paragraf-3.odsek-1.pismeno-e.oznacenie"/>
      <w:r w:rsidRPr="00F01293">
        <w:rPr>
          <w:rFonts w:ascii="Times New Roman" w:hAnsi="Times New Roman"/>
          <w:lang w:val="sk-SK"/>
        </w:rPr>
        <w:t xml:space="preserve">e) </w:t>
      </w:r>
      <w:bookmarkStart w:id="50" w:name="paragraf-3.odsek-1.pismeno-e.text"/>
      <w:bookmarkEnd w:id="49"/>
      <w:r w:rsidRPr="00F01293">
        <w:rPr>
          <w:rFonts w:ascii="Times New Roman" w:hAnsi="Times New Roman"/>
          <w:lang w:val="sk-SK"/>
        </w:rPr>
        <w:t xml:space="preserve">20 % podľa dĺžky ciest II. triedy a III. triedy vo vlastníctve vyššieho územného celku k 1. januáru predchádzajúceho kalendárneho roka, </w:t>
      </w:r>
      <w:bookmarkEnd w:id="50"/>
    </w:p>
    <w:p w:rsidR="007467FC" w:rsidRPr="00F01293" w:rsidRDefault="00E839D6">
      <w:pPr>
        <w:spacing w:before="225" w:after="225" w:line="264" w:lineRule="auto"/>
        <w:ind w:left="345"/>
        <w:rPr>
          <w:lang w:val="sk-SK"/>
        </w:rPr>
      </w:pPr>
      <w:bookmarkStart w:id="51" w:name="paragraf-3.odsek-1.pismeno-f"/>
      <w:bookmarkEnd w:id="48"/>
      <w:r w:rsidRPr="00F01293">
        <w:rPr>
          <w:rFonts w:ascii="Times New Roman" w:hAnsi="Times New Roman"/>
          <w:lang w:val="sk-SK"/>
        </w:rPr>
        <w:lastRenderedPageBreak/>
        <w:t xml:space="preserve"> </w:t>
      </w:r>
      <w:bookmarkStart w:id="52" w:name="paragraf-3.odsek-1.pismeno-f.oznacenie"/>
      <w:r w:rsidRPr="00F01293">
        <w:rPr>
          <w:rFonts w:ascii="Times New Roman" w:hAnsi="Times New Roman"/>
          <w:lang w:val="sk-SK"/>
        </w:rPr>
        <w:t xml:space="preserve">f) </w:t>
      </w:r>
      <w:bookmarkStart w:id="53" w:name="paragraf-3.odsek-1.pismeno-f.text"/>
      <w:bookmarkEnd w:id="52"/>
      <w:r w:rsidRPr="00F01293">
        <w:rPr>
          <w:rFonts w:ascii="Times New Roman" w:hAnsi="Times New Roman"/>
          <w:lang w:val="sk-SK"/>
        </w:rPr>
        <w:t xml:space="preserve">9 % podľa rozlohy vyššieho územného celku. </w:t>
      </w:r>
      <w:bookmarkEnd w:id="53"/>
    </w:p>
    <w:p w:rsidR="007467FC" w:rsidRPr="00F01293" w:rsidRDefault="00E839D6">
      <w:pPr>
        <w:spacing w:before="225" w:after="225" w:line="264" w:lineRule="auto"/>
        <w:ind w:left="270"/>
        <w:rPr>
          <w:lang w:val="sk-SK"/>
        </w:rPr>
      </w:pPr>
      <w:bookmarkStart w:id="54" w:name="paragraf-3.odsek-2"/>
      <w:bookmarkEnd w:id="33"/>
      <w:bookmarkEnd w:id="51"/>
      <w:r w:rsidRPr="00F01293">
        <w:rPr>
          <w:rFonts w:ascii="Times New Roman" w:hAnsi="Times New Roman"/>
          <w:lang w:val="sk-SK"/>
        </w:rPr>
        <w:t xml:space="preserve"> </w:t>
      </w:r>
      <w:bookmarkStart w:id="55" w:name="paragraf-3.odsek-2.oznacenie"/>
      <w:r w:rsidRPr="00F01293">
        <w:rPr>
          <w:rFonts w:ascii="Times New Roman" w:hAnsi="Times New Roman"/>
          <w:lang w:val="sk-SK"/>
        </w:rPr>
        <w:t xml:space="preserve">(2) </w:t>
      </w:r>
      <w:bookmarkEnd w:id="55"/>
      <w:r w:rsidRPr="00F01293">
        <w:rPr>
          <w:rFonts w:ascii="Times New Roman" w:hAnsi="Times New Roman"/>
          <w:lang w:val="sk-SK"/>
        </w:rPr>
        <w:t xml:space="preserve">Podiel vyššieho územného celku na výnose dane podľa </w:t>
      </w:r>
      <w:hyperlink r:id="rId11" w:anchor="paragraf-3">
        <w:r w:rsidRPr="00F01293">
          <w:rPr>
            <w:rFonts w:ascii="Times New Roman" w:hAnsi="Times New Roman"/>
            <w:u w:val="single"/>
            <w:lang w:val="sk-SK"/>
          </w:rPr>
          <w:t>§ 3 zákona</w:t>
        </w:r>
      </w:hyperlink>
      <w:r w:rsidRPr="00F01293">
        <w:rPr>
          <w:rFonts w:ascii="Times New Roman" w:hAnsi="Times New Roman"/>
          <w:lang w:val="sk-SK"/>
        </w:rPr>
        <w:t xml:space="preserve"> sa vypočítava mesačne podľa vzorca uvedeného v </w:t>
      </w:r>
      <w:hyperlink w:anchor="prilohy.priloha-priloha_c_5_k_nariadeniu_vlady_c_668_2004_z_z.oznacenie">
        <w:r w:rsidRPr="00F01293">
          <w:rPr>
            <w:rFonts w:ascii="Times New Roman" w:hAnsi="Times New Roman"/>
            <w:u w:val="single"/>
            <w:lang w:val="sk-SK"/>
          </w:rPr>
          <w:t>prílohe č. 5</w:t>
        </w:r>
      </w:hyperlink>
      <w:bookmarkStart w:id="56" w:name="paragraf-3.odsek-2.text"/>
      <w:r w:rsidRPr="00F01293">
        <w:rPr>
          <w:rFonts w:ascii="Times New Roman" w:hAnsi="Times New Roman"/>
          <w:lang w:val="sk-SK"/>
        </w:rPr>
        <w:t xml:space="preserve"> a zaokrúhľuje sa na celé eurá. </w:t>
      </w:r>
      <w:bookmarkEnd w:id="56"/>
    </w:p>
    <w:bookmarkEnd w:id="32"/>
    <w:bookmarkEnd w:id="54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spacing w:before="225" w:after="225" w:line="264" w:lineRule="auto"/>
        <w:ind w:left="195"/>
        <w:jc w:val="center"/>
        <w:rPr>
          <w:lang w:val="sk-SK"/>
        </w:rPr>
      </w:pPr>
      <w:bookmarkStart w:id="57" w:name="paragraf-4.oznacenie"/>
      <w:bookmarkStart w:id="58" w:name="paragraf-4"/>
      <w:r w:rsidRPr="00F01293">
        <w:rPr>
          <w:rFonts w:ascii="Times New Roman" w:hAnsi="Times New Roman"/>
          <w:b/>
          <w:lang w:val="sk-SK"/>
        </w:rPr>
        <w:t xml:space="preserve"> § 4 </w:t>
      </w:r>
    </w:p>
    <w:p w:rsidR="007467FC" w:rsidRPr="00F01293" w:rsidRDefault="00E839D6">
      <w:pPr>
        <w:spacing w:before="225" w:after="225" w:line="264" w:lineRule="auto"/>
        <w:ind w:left="270"/>
        <w:rPr>
          <w:lang w:val="sk-SK"/>
        </w:rPr>
      </w:pPr>
      <w:bookmarkStart w:id="59" w:name="paragraf-4.odsek-1"/>
      <w:bookmarkEnd w:id="57"/>
      <w:r w:rsidRPr="00F01293">
        <w:rPr>
          <w:rFonts w:ascii="Times New Roman" w:hAnsi="Times New Roman"/>
          <w:lang w:val="sk-SK"/>
        </w:rPr>
        <w:t xml:space="preserve"> </w:t>
      </w:r>
      <w:bookmarkStart w:id="60" w:name="paragraf-4.odsek-1.oznacenie"/>
      <w:bookmarkEnd w:id="60"/>
      <w:r w:rsidRPr="00F01293">
        <w:rPr>
          <w:rFonts w:ascii="Times New Roman" w:hAnsi="Times New Roman"/>
          <w:lang w:val="sk-SK"/>
        </w:rPr>
        <w:t xml:space="preserve">Podiel vyššieho územného celku na výnose dane vypočítaný podľa </w:t>
      </w:r>
      <w:hyperlink w:anchor="paragraf-3.odsek-2">
        <w:r w:rsidRPr="00F01293">
          <w:rPr>
            <w:rFonts w:ascii="Times New Roman" w:hAnsi="Times New Roman"/>
            <w:u w:val="single"/>
            <w:lang w:val="sk-SK"/>
          </w:rPr>
          <w:t>§ 3 ods. 2</w:t>
        </w:r>
      </w:hyperlink>
      <w:r w:rsidRPr="00F01293">
        <w:rPr>
          <w:rFonts w:ascii="Times New Roman" w:hAnsi="Times New Roman"/>
          <w:lang w:val="sk-SK"/>
        </w:rPr>
        <w:t xml:space="preserve"> sa vynásobí mesačne koeficientom uvedeným v </w:t>
      </w:r>
      <w:hyperlink w:anchor="prilohy.priloha-priloha_c_6_k_nariadeniu_vlady_c_668_2004_z_z.oznacenie">
        <w:r w:rsidRPr="00F01293">
          <w:rPr>
            <w:rFonts w:ascii="Times New Roman" w:hAnsi="Times New Roman"/>
            <w:u w:val="single"/>
            <w:lang w:val="sk-SK"/>
          </w:rPr>
          <w:t>prílohe č. 6</w:t>
        </w:r>
      </w:hyperlink>
      <w:bookmarkStart w:id="61" w:name="paragraf-4.odsek-1.text"/>
      <w:r w:rsidRPr="00F01293">
        <w:rPr>
          <w:rFonts w:ascii="Times New Roman" w:hAnsi="Times New Roman"/>
          <w:lang w:val="sk-SK"/>
        </w:rPr>
        <w:t xml:space="preserve">. </w:t>
      </w:r>
      <w:bookmarkEnd w:id="61"/>
    </w:p>
    <w:bookmarkEnd w:id="58"/>
    <w:bookmarkEnd w:id="59"/>
    <w:p w:rsidR="007467FC" w:rsidRPr="00F01293" w:rsidRDefault="007467FC">
      <w:pPr>
        <w:spacing w:after="0"/>
        <w:ind w:left="120"/>
        <w:rPr>
          <w:lang w:val="sk-SK"/>
        </w:rPr>
      </w:pPr>
    </w:p>
    <w:p w:rsidR="007467FC" w:rsidRPr="00F01293" w:rsidRDefault="00E839D6">
      <w:pPr>
        <w:spacing w:before="225" w:after="225" w:line="264" w:lineRule="auto"/>
        <w:ind w:left="195"/>
        <w:jc w:val="center"/>
        <w:rPr>
          <w:lang w:val="sk-SK"/>
        </w:rPr>
      </w:pPr>
      <w:bookmarkStart w:id="62" w:name="paragraf-4a.oznacenie"/>
      <w:bookmarkStart w:id="63" w:name="paragraf-4a"/>
      <w:r w:rsidRPr="00F01293">
        <w:rPr>
          <w:rFonts w:ascii="Times New Roman" w:hAnsi="Times New Roman"/>
          <w:b/>
          <w:lang w:val="sk-SK"/>
        </w:rPr>
        <w:t xml:space="preserve"> § 4a </w:t>
      </w:r>
    </w:p>
    <w:p w:rsidR="007467FC" w:rsidRPr="00F01293" w:rsidRDefault="00E839D6">
      <w:pPr>
        <w:spacing w:before="225" w:after="225" w:line="264" w:lineRule="auto"/>
        <w:ind w:left="270"/>
        <w:rPr>
          <w:lang w:val="sk-SK"/>
        </w:rPr>
      </w:pPr>
      <w:bookmarkStart w:id="64" w:name="paragraf-4a.odsek-1"/>
      <w:bookmarkEnd w:id="62"/>
      <w:r w:rsidRPr="00F01293">
        <w:rPr>
          <w:rFonts w:ascii="Times New Roman" w:hAnsi="Times New Roman"/>
          <w:lang w:val="sk-SK"/>
        </w:rPr>
        <w:t xml:space="preserve"> </w:t>
      </w:r>
      <w:bookmarkStart w:id="65" w:name="paragraf-4a.odsek-1.oznacenie"/>
      <w:bookmarkEnd w:id="65"/>
      <w:r w:rsidRPr="00F01293">
        <w:rPr>
          <w:rFonts w:ascii="Times New Roman" w:hAnsi="Times New Roman"/>
          <w:lang w:val="sk-SK"/>
        </w:rPr>
        <w:t xml:space="preserve">V roku 2013 sa na rozdeľovanie výnosu dane obciam podľa </w:t>
      </w:r>
      <w:hyperlink w:anchor="paragraf-2.odsek-1.pismeno-a">
        <w:r w:rsidRPr="00F01293">
          <w:rPr>
            <w:rFonts w:ascii="Times New Roman" w:hAnsi="Times New Roman"/>
            <w:u w:val="single"/>
            <w:lang w:val="sk-SK"/>
          </w:rPr>
          <w:t>§ 2 ods. 1 písm. a), b)</w:t>
        </w:r>
      </w:hyperlink>
      <w:r w:rsidRPr="00F01293">
        <w:rPr>
          <w:rFonts w:ascii="Times New Roman" w:hAnsi="Times New Roman"/>
          <w:lang w:val="sk-SK"/>
        </w:rPr>
        <w:t xml:space="preserve"> a </w:t>
      </w:r>
      <w:hyperlink w:anchor="paragraf-2.odsek-1.pismeno-d">
        <w:r w:rsidRPr="00F01293">
          <w:rPr>
            <w:rFonts w:ascii="Times New Roman" w:hAnsi="Times New Roman"/>
            <w:u w:val="single"/>
            <w:lang w:val="sk-SK"/>
          </w:rPr>
          <w:t>d)</w:t>
        </w:r>
      </w:hyperlink>
      <w:bookmarkStart w:id="66" w:name="paragraf-4a.odsek-1.text"/>
      <w:r w:rsidRPr="00F01293">
        <w:rPr>
          <w:rFonts w:ascii="Times New Roman" w:hAnsi="Times New Roman"/>
          <w:lang w:val="sk-SK"/>
        </w:rPr>
        <w:t xml:space="preserve"> použijú údaje o počte obyvateľov s trvalým pobytom na území obce k 1. januáru 2011. </w:t>
      </w:r>
      <w:bookmarkEnd w:id="66"/>
    </w:p>
    <w:bookmarkEnd w:id="63"/>
    <w:bookmarkEnd w:id="64"/>
    <w:p w:rsidR="007467FC" w:rsidRPr="00085637" w:rsidRDefault="007467FC">
      <w:pPr>
        <w:spacing w:after="0"/>
        <w:ind w:left="120"/>
        <w:rPr>
          <w:lang w:val="sk-SK"/>
        </w:rPr>
      </w:pPr>
    </w:p>
    <w:p w:rsidR="007467FC" w:rsidRPr="00085637" w:rsidRDefault="00E839D6">
      <w:pPr>
        <w:spacing w:before="225" w:after="225" w:line="264" w:lineRule="auto"/>
        <w:ind w:left="195"/>
        <w:jc w:val="center"/>
        <w:rPr>
          <w:lang w:val="sk-SK"/>
        </w:rPr>
      </w:pPr>
      <w:bookmarkStart w:id="67" w:name="paragraf-5.oznacenie"/>
      <w:bookmarkStart w:id="68" w:name="paragraf-5"/>
      <w:r w:rsidRPr="00085637">
        <w:rPr>
          <w:rFonts w:ascii="Times New Roman" w:hAnsi="Times New Roman"/>
          <w:b/>
          <w:color w:val="000000"/>
          <w:lang w:val="sk-SK"/>
        </w:rPr>
        <w:t xml:space="preserve"> § 5 </w:t>
      </w:r>
    </w:p>
    <w:p w:rsidR="007467FC" w:rsidRPr="00085637" w:rsidRDefault="00E839D6">
      <w:pPr>
        <w:spacing w:before="225" w:after="225" w:line="264" w:lineRule="auto"/>
        <w:ind w:left="270"/>
        <w:rPr>
          <w:lang w:val="sk-SK"/>
        </w:rPr>
      </w:pPr>
      <w:bookmarkStart w:id="69" w:name="paragraf-5.odsek-1"/>
      <w:bookmarkEnd w:id="67"/>
      <w:r w:rsidRPr="00085637">
        <w:rPr>
          <w:rFonts w:ascii="Times New Roman" w:hAnsi="Times New Roman"/>
          <w:color w:val="000000"/>
          <w:lang w:val="sk-SK"/>
        </w:rPr>
        <w:t xml:space="preserve"> </w:t>
      </w:r>
      <w:bookmarkStart w:id="70" w:name="paragraf-5.odsek-1.oznacenie"/>
      <w:bookmarkStart w:id="71" w:name="paragraf-5.odsek-1.text"/>
      <w:bookmarkEnd w:id="70"/>
      <w:r w:rsidRPr="00085637">
        <w:rPr>
          <w:rFonts w:ascii="Times New Roman" w:hAnsi="Times New Roman"/>
          <w:color w:val="000000"/>
          <w:lang w:val="sk-SK"/>
        </w:rPr>
        <w:t xml:space="preserve">Toto nariadenie nadobúda účinnosť 1. januára 2005. </w:t>
      </w:r>
      <w:bookmarkEnd w:id="71"/>
    </w:p>
    <w:bookmarkEnd w:id="68"/>
    <w:bookmarkEnd w:id="69"/>
    <w:p w:rsidR="007467FC" w:rsidRPr="00085637" w:rsidRDefault="007467FC">
      <w:pPr>
        <w:spacing w:after="0"/>
        <w:ind w:left="120"/>
        <w:rPr>
          <w:lang w:val="sk-SK"/>
        </w:rPr>
      </w:pPr>
    </w:p>
    <w:p w:rsidR="007467FC" w:rsidRPr="00085637" w:rsidRDefault="00E839D6">
      <w:pPr>
        <w:spacing w:after="0" w:line="264" w:lineRule="auto"/>
        <w:ind w:left="120"/>
        <w:rPr>
          <w:lang w:val="sk-SK"/>
        </w:rPr>
      </w:pPr>
      <w:bookmarkStart w:id="72" w:name="predpis.text2"/>
      <w:r w:rsidRPr="00085637">
        <w:rPr>
          <w:rFonts w:ascii="Times New Roman" w:hAnsi="Times New Roman"/>
          <w:color w:val="000000"/>
          <w:lang w:val="sk-SK"/>
        </w:rPr>
        <w:t xml:space="preserve"> Mikuláš Dzurinda v. r. </w:t>
      </w:r>
    </w:p>
    <w:p w:rsidR="007467FC" w:rsidRDefault="007467FC">
      <w:pPr>
        <w:spacing w:after="0"/>
        <w:ind w:left="120"/>
        <w:rPr>
          <w:lang w:val="sk-SK"/>
        </w:rPr>
      </w:pPr>
      <w:bookmarkStart w:id="73" w:name="predpis"/>
      <w:bookmarkEnd w:id="72"/>
      <w:bookmarkEnd w:id="73"/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73660C" w:rsidRDefault="0073660C">
      <w:pPr>
        <w:spacing w:after="0"/>
        <w:ind w:left="120"/>
        <w:rPr>
          <w:lang w:val="sk-SK"/>
        </w:rPr>
      </w:pPr>
    </w:p>
    <w:p w:rsidR="00C5061A" w:rsidRDefault="00C5061A">
      <w:pPr>
        <w:spacing w:after="0"/>
        <w:ind w:left="120"/>
        <w:rPr>
          <w:lang w:val="sk-SK"/>
        </w:rPr>
      </w:pPr>
    </w:p>
    <w:p w:rsidR="00C5061A" w:rsidRDefault="00C5061A">
      <w:pPr>
        <w:spacing w:after="0"/>
        <w:ind w:left="120"/>
        <w:rPr>
          <w:lang w:val="sk-SK"/>
        </w:rPr>
      </w:pPr>
    </w:p>
    <w:p w:rsidR="00C5061A" w:rsidRDefault="00C5061A">
      <w:pPr>
        <w:spacing w:after="0"/>
        <w:ind w:left="120"/>
        <w:rPr>
          <w:lang w:val="sk-SK"/>
        </w:rPr>
      </w:pPr>
    </w:p>
    <w:p w:rsidR="00C5061A" w:rsidRDefault="00C5061A">
      <w:pPr>
        <w:spacing w:after="0"/>
        <w:ind w:left="120"/>
        <w:rPr>
          <w:lang w:val="sk-SK"/>
        </w:rPr>
      </w:pPr>
    </w:p>
    <w:p w:rsidR="00C5061A" w:rsidRDefault="00C5061A">
      <w:pPr>
        <w:spacing w:after="0"/>
        <w:ind w:left="120"/>
        <w:rPr>
          <w:lang w:val="sk-SK"/>
        </w:rPr>
      </w:pPr>
    </w:p>
    <w:p w:rsidR="00C5061A" w:rsidRPr="00085637" w:rsidRDefault="00C5061A">
      <w:pPr>
        <w:spacing w:after="0"/>
        <w:ind w:left="120"/>
        <w:rPr>
          <w:lang w:val="sk-SK"/>
        </w:rPr>
      </w:pPr>
    </w:p>
    <w:p w:rsidR="007467FC" w:rsidRPr="00193639" w:rsidRDefault="00E839D6" w:rsidP="00193639">
      <w:pPr>
        <w:spacing w:after="0"/>
        <w:rPr>
          <w:rFonts w:ascii="Times New Roman" w:hAnsi="Times New Roman"/>
          <w:b/>
          <w:color w:val="000000"/>
          <w:lang w:val="sk-SK"/>
        </w:rPr>
      </w:pPr>
      <w:bookmarkStart w:id="74" w:name="prilohy.priloha-priloha_c_2_k_nariadeniu"/>
      <w:bookmarkStart w:id="75" w:name="prilohy"/>
      <w:r w:rsidRPr="00193639">
        <w:rPr>
          <w:rFonts w:ascii="Times New Roman" w:hAnsi="Times New Roman"/>
          <w:b/>
          <w:color w:val="000000"/>
          <w:lang w:val="sk-SK"/>
        </w:rPr>
        <w:t xml:space="preserve">Príloha č. 2 k nariadeniu vlády č. 668/2004 Z. z. </w:t>
      </w:r>
    </w:p>
    <w:p w:rsidR="00F01293" w:rsidRPr="00085637" w:rsidRDefault="00F01293">
      <w:pPr>
        <w:spacing w:after="0"/>
        <w:ind w:left="120"/>
        <w:rPr>
          <w:lang w:val="sk-SK"/>
        </w:rPr>
      </w:pPr>
    </w:p>
    <w:p w:rsidR="007467FC" w:rsidRPr="00193639" w:rsidRDefault="00E839D6" w:rsidP="00193639">
      <w:pPr>
        <w:spacing w:after="0"/>
        <w:rPr>
          <w:b/>
          <w:lang w:val="sk-SK"/>
        </w:rPr>
      </w:pPr>
      <w:r w:rsidRPr="00193639">
        <w:rPr>
          <w:rFonts w:ascii="Times New Roman" w:hAnsi="Times New Roman"/>
          <w:b/>
          <w:color w:val="000000"/>
          <w:lang w:val="sk-SK"/>
        </w:rPr>
        <w:t xml:space="preserve">VEĽKOSTNÉ KATEGÓRIE OBCÍ A KOEFICIENTY VEĽKOSTNÝCH KATEGÓRIÍ OBCÍ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20"/>
        <w:gridCol w:w="1585"/>
      </w:tblGrid>
      <w:tr w:rsidR="007467FC" w:rsidRPr="00085637">
        <w:trPr>
          <w:trHeight w:val="330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Veľkostná kategória obce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Koeficient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1-1 000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0,89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1 001 - 5 000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0,90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5 001 - 10 000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0,91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lastRenderedPageBreak/>
              <w:t xml:space="preserve"> 10 001 - 50 000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0,94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50 001 - 100 000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1,13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Košice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1,50</w:t>
            </w:r>
          </w:p>
        </w:tc>
      </w:tr>
      <w:tr w:rsidR="007467FC" w:rsidRPr="00085637">
        <w:trPr>
          <w:trHeight w:val="315"/>
          <w:tblCellSpacing w:w="20" w:type="dxa"/>
        </w:trPr>
        <w:tc>
          <w:tcPr>
            <w:tcW w:w="6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Hlavné mesto Slovenskej republiky Bratislava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 2,35</w:t>
            </w:r>
          </w:p>
        </w:tc>
      </w:tr>
    </w:tbl>
    <w:p w:rsidR="007467FC" w:rsidRDefault="007467FC">
      <w:pPr>
        <w:spacing w:after="0"/>
        <w:ind w:left="120"/>
        <w:rPr>
          <w:lang w:val="sk-SK"/>
        </w:rPr>
      </w:pPr>
    </w:p>
    <w:p w:rsidR="00F01293" w:rsidRPr="00085637" w:rsidRDefault="00F01293">
      <w:pPr>
        <w:spacing w:after="0"/>
        <w:ind w:left="120"/>
        <w:rPr>
          <w:lang w:val="sk-SK"/>
        </w:rPr>
      </w:pPr>
    </w:p>
    <w:p w:rsidR="007467FC" w:rsidRPr="00DD7E34" w:rsidRDefault="00E839D6" w:rsidP="00193639">
      <w:pPr>
        <w:spacing w:after="0"/>
        <w:rPr>
          <w:rFonts w:ascii="Times New Roman" w:hAnsi="Times New Roman"/>
          <w:b/>
          <w:color w:val="000000"/>
          <w:lang w:val="sk-SK"/>
        </w:rPr>
      </w:pPr>
      <w:bookmarkStart w:id="76" w:name="prilohy.priloha-priloha_c_3_k_nariadeniu"/>
      <w:bookmarkEnd w:id="74"/>
      <w:r w:rsidRPr="00DD7E34">
        <w:rPr>
          <w:rFonts w:ascii="Times New Roman" w:hAnsi="Times New Roman"/>
          <w:b/>
          <w:color w:val="000000"/>
          <w:lang w:val="sk-SK"/>
        </w:rPr>
        <w:t xml:space="preserve">Príloha č. 3 k nariadeniu vlády č. 668/2004 Z. z. </w:t>
      </w:r>
    </w:p>
    <w:p w:rsidR="00F01293" w:rsidRPr="00085637" w:rsidRDefault="00F01293">
      <w:pPr>
        <w:spacing w:after="0"/>
        <w:ind w:left="120"/>
        <w:rPr>
          <w:lang w:val="sk-SK"/>
        </w:rPr>
      </w:pPr>
    </w:p>
    <w:p w:rsidR="007467FC" w:rsidRPr="00DD7E34" w:rsidRDefault="00E839D6" w:rsidP="00193639">
      <w:pPr>
        <w:spacing w:after="0"/>
        <w:jc w:val="both"/>
        <w:rPr>
          <w:rFonts w:ascii="Times New Roman" w:hAnsi="Times New Roman"/>
          <w:b/>
          <w:color w:val="000000"/>
          <w:lang w:val="sk-SK"/>
        </w:rPr>
      </w:pPr>
      <w:r w:rsidRPr="00DD7E34">
        <w:rPr>
          <w:rFonts w:ascii="Times New Roman" w:hAnsi="Times New Roman"/>
          <w:b/>
          <w:color w:val="000000"/>
          <w:lang w:val="sk-SK"/>
        </w:rPr>
        <w:t xml:space="preserve">KOEFICIENTY ZÁKLADNEJ UMELECKEJ ŠKOLY, </w:t>
      </w:r>
      <w:r w:rsidRPr="001325C6">
        <w:rPr>
          <w:rFonts w:ascii="Times New Roman" w:hAnsi="Times New Roman"/>
          <w:b/>
          <w:strike/>
          <w:color w:val="000000"/>
          <w:highlight w:val="yellow"/>
          <w:lang w:val="sk-SK"/>
        </w:rPr>
        <w:t>MATERSKEJ ŠKOLY,</w:t>
      </w:r>
      <w:r w:rsidRPr="00DD7E34">
        <w:rPr>
          <w:rFonts w:ascii="Times New Roman" w:hAnsi="Times New Roman"/>
          <w:b/>
          <w:color w:val="000000"/>
          <w:lang w:val="sk-SK"/>
        </w:rPr>
        <w:t xml:space="preserve"> JAZYKOVEJ ŠKOLY A ŠKOLSKÉHO ZARIADENIA PRE JEDNOTLIVÉ KATEGÓRIE ZÁKLADNÝCH UMELECKÝCH ŠKÔL, </w:t>
      </w:r>
      <w:r w:rsidRPr="001325C6">
        <w:rPr>
          <w:rFonts w:ascii="Times New Roman" w:hAnsi="Times New Roman"/>
          <w:b/>
          <w:strike/>
          <w:color w:val="000000"/>
          <w:highlight w:val="yellow"/>
          <w:lang w:val="sk-SK"/>
        </w:rPr>
        <w:t>MATERSKÝCH ŠKÔL</w:t>
      </w:r>
      <w:r w:rsidRPr="001325C6">
        <w:rPr>
          <w:rFonts w:ascii="Times New Roman" w:hAnsi="Times New Roman"/>
          <w:b/>
          <w:color w:val="000000"/>
          <w:highlight w:val="yellow"/>
          <w:lang w:val="sk-SK"/>
        </w:rPr>
        <w:t>,</w:t>
      </w:r>
      <w:r w:rsidRPr="00DD7E34">
        <w:rPr>
          <w:rFonts w:ascii="Times New Roman" w:hAnsi="Times New Roman"/>
          <w:b/>
          <w:color w:val="000000"/>
          <w:lang w:val="sk-SK"/>
        </w:rPr>
        <w:t xml:space="preserve"> JAZYKOVÝCH ŠKÔL A ŠKOLSKÝCH ZARIADENÍ, KOEFICIENT NA ZÁUJMOVÉ VZDELÁVANIE, KOEFICIENT NA STRAVOVANIE A KOEFICIENT NA SPRÁVU ŠKOLSKÝCH OBJEKTOV </w:t>
      </w:r>
    </w:p>
    <w:p w:rsidR="00F01293" w:rsidRPr="00085637" w:rsidRDefault="00F01293">
      <w:pPr>
        <w:spacing w:after="0"/>
        <w:ind w:left="120"/>
        <w:rPr>
          <w:lang w:val="sk-SK"/>
        </w:rPr>
      </w:pPr>
    </w:p>
    <w:p w:rsidR="007467FC" w:rsidRPr="00085637" w:rsidRDefault="00E839D6" w:rsidP="00193639">
      <w:pPr>
        <w:spacing w:after="0"/>
        <w:rPr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Tabuľka č. 1 Hodnoty koeficientov </w:t>
      </w:r>
    </w:p>
    <w:tbl>
      <w:tblPr>
        <w:tblW w:w="850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6721"/>
        <w:gridCol w:w="1106"/>
      </w:tblGrid>
      <w:tr w:rsidR="00A62BF6" w:rsidRPr="000C71BE" w:rsidTr="00A9731B">
        <w:trPr>
          <w:trHeight w:val="4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F6" w:rsidRDefault="00A62BF6" w:rsidP="00A9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Index</w:t>
            </w:r>
          </w:p>
          <w:p w:rsidR="00A62BF6" w:rsidRPr="0073660C" w:rsidRDefault="00A62BF6" w:rsidP="00A9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j</w:t>
            </w:r>
          </w:p>
        </w:tc>
        <w:tc>
          <w:tcPr>
            <w:tcW w:w="672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62BF6" w:rsidRPr="0073660C" w:rsidRDefault="00A62BF6" w:rsidP="00A9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Subjekt indexu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62BF6" w:rsidRPr="0073660C" w:rsidRDefault="00A62BF6" w:rsidP="00A9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>Koeficient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Žiak základnej umeleckej školy v individuálnej forme vzdelávania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14,7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Žiak základnej umeleckej školy v skupinovej forme vzdelávania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4,8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Dieťa materskej školy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27,3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Dieťa so špeciálnymi výchovno-vzdelávacími potrebami materskej školy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29,2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lastRenderedPageBreak/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 xml:space="preserve">Dieťa materskej školy pre deti so špeciálnymi výchovno-vzdelávacími potrebami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68,2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 xml:space="preserve">Dieťa materskej školy pri zdravotníckom zariadení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1325C6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1325C6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40,9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Dieťa v školskom klube detí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6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 xml:space="preserve">Dieťa v školskom klube detí pri základnej škole pre žiakov so špeciálnymi výchovno-vzdelávacími potrebami vrátane internátnych škôl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13,2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Dieťa v školskom klube detí pri zdravotníckom zariadení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A42FF4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A42FF4">
              <w:rPr>
                <w:rFonts w:ascii="Times New Roman" w:eastAsia="Times New Roman" w:hAnsi="Times New Roman" w:cs="Times New Roman"/>
                <w:lang w:val="sk-SK" w:eastAsia="sk-SK"/>
              </w:rPr>
              <w:t>7,9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Potenciálny stravník - dieťa materskej školy, dieťa materskej školy pre deti so špeciálnymi výchovno-vzdelá</w:t>
            </w:r>
            <w:r w:rsidR="00A57C51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va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c</w:t>
            </w:r>
            <w:r w:rsidR="00A57C51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ími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 xml:space="preserve"> potre</w:t>
            </w:r>
            <w:r w:rsidR="00A57C51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ba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mi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9869AD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2,5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Potenciálny stravník - dieťa materskej školy pre deti so špeciálnymi výchovno-</w:t>
            </w:r>
            <w:r w:rsidR="00A57C51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vzdelávacími potrebami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 xml:space="preserve"> internátnej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9869AD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5</w:t>
            </w:r>
          </w:p>
        </w:tc>
      </w:tr>
      <w:tr w:rsidR="000C71BE" w:rsidRPr="000C71BE" w:rsidTr="00A62BF6">
        <w:trPr>
          <w:trHeight w:val="94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Potenciálny stravník – žiak základnej školy, základnej školy pre žiakov so špeciálnymi výchovno-vzdelávacími potrebami,</w:t>
            </w:r>
            <w:r w:rsidRPr="0073660C">
              <w:rPr>
                <w:rFonts w:ascii="Times New Roman" w:eastAsia="Times New Roman" w:hAnsi="Times New Roman" w:cs="Times New Roman"/>
                <w:color w:val="FF0000"/>
                <w:lang w:val="sk-SK" w:eastAsia="sk-SK"/>
              </w:rPr>
              <w:t xml:space="preserve"> 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stredných škôl (vrátane</w:t>
            </w:r>
            <w:r w:rsidRPr="0073660C">
              <w:rPr>
                <w:rFonts w:ascii="Times New Roman" w:eastAsia="Times New Roman" w:hAnsi="Times New Roman" w:cs="Times New Roman"/>
                <w:color w:val="FF0000"/>
                <w:lang w:val="sk-SK" w:eastAsia="sk-SK"/>
              </w:rPr>
              <w:t xml:space="preserve"> </w:t>
            </w: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gymnázia, konzervatória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)</w:t>
            </w:r>
            <w:r w:rsidRPr="00F73DDB">
              <w:rPr>
                <w:rFonts w:ascii="Times New Roman" w:eastAsia="Times New Roman" w:hAnsi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1,8</w:t>
            </w:r>
          </w:p>
        </w:tc>
      </w:tr>
      <w:tr w:rsidR="000C71BE" w:rsidRPr="000C71BE" w:rsidTr="00A62BF6">
        <w:trPr>
          <w:trHeight w:val="82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Potenciálny stravník – žiak základnej školy internátnej, základnej školy internátnej pre žiakov so špeciálnymi výchovno-vzdelávacími potrebami, 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stredných škôl internátnych (vrátane</w:t>
            </w:r>
            <w:r w:rsidRPr="0073660C">
              <w:rPr>
                <w:rFonts w:ascii="Times New Roman" w:eastAsia="Times New Roman" w:hAnsi="Times New Roman" w:cs="Times New Roman"/>
                <w:color w:val="FF0000"/>
                <w:lang w:val="sk-SK" w:eastAsia="sk-SK"/>
              </w:rPr>
              <w:t xml:space="preserve"> </w:t>
            </w: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internátneho gymnázia, internátneho konzervatória</w:t>
            </w: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)</w:t>
            </w: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3,6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10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Poslucháč jazykovej školy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0,5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A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11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Dieťa školského internátu z materskej školy, základnej školy, strednej školy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15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A42FF4" w:rsidP="00A4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12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Dieťa školského internátu zo školy pre deti a žiakov so špeciálnymi výchovno-vzdelávacími potrebami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75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lastRenderedPageBreak/>
              <w:t>1</w:t>
            </w:r>
            <w:r w:rsidR="00A42FF4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Na záujmové vzdelávanie detí v centre voľného času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1,1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1</w:t>
            </w:r>
            <w:r w:rsidR="00A42FF4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Dieťa v reedukačnom centre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117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1</w:t>
            </w:r>
            <w:r w:rsidR="00A42FF4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Dieťa v liečebno-výchovnom sanatóriu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113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dstrike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dstrike/>
                <w:highlight w:val="yellow"/>
                <w:lang w:val="sk-SK" w:eastAsia="sk-SK"/>
              </w:rPr>
              <w:t>14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Dieťa v centre poradenstva a prevencie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1,5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dstrike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dstrike/>
                <w:highlight w:val="yellow"/>
                <w:lang w:val="sk-SK" w:eastAsia="sk-SK"/>
              </w:rPr>
              <w:t>15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Dieťa v špecializovanom centre poradenstva a prevencie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strike/>
                <w:highlight w:val="yellow"/>
                <w:lang w:val="sk-SK" w:eastAsia="sk-SK"/>
              </w:rPr>
              <w:t>3</w:t>
            </w:r>
          </w:p>
        </w:tc>
      </w:tr>
      <w:tr w:rsidR="000C71BE" w:rsidRPr="000C71BE" w:rsidTr="00A62BF6">
        <w:trPr>
          <w:trHeight w:val="5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F73DDB" w:rsidRDefault="000C71BE" w:rsidP="000C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</w:pPr>
            <w:r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1</w:t>
            </w:r>
            <w:r w:rsidR="00A42FF4" w:rsidRPr="00F73DDB">
              <w:rPr>
                <w:rFonts w:ascii="Times New Roman" w:eastAsia="Times New Roman" w:hAnsi="Times New Roman" w:cs="Times New Roman"/>
                <w:highlight w:val="yellow"/>
                <w:lang w:val="sk-SK" w:eastAsia="sk-SK"/>
              </w:rPr>
              <w:t>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Na správu školských objektov podľa počtu detí materskej školy a základnej školy v zriaďovateľskej pôsobnosti obce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BE" w:rsidRPr="0073660C" w:rsidRDefault="000C71BE" w:rsidP="000C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</w:pPr>
            <w:r w:rsidRPr="0073660C"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>1,5</w:t>
            </w:r>
          </w:p>
        </w:tc>
      </w:tr>
    </w:tbl>
    <w:p w:rsidR="00A77298" w:rsidRPr="00A77298" w:rsidRDefault="00A77298" w:rsidP="00375E8B">
      <w:pPr>
        <w:spacing w:after="0"/>
        <w:rPr>
          <w:strike/>
          <w:lang w:val="sk-SK"/>
        </w:rPr>
      </w:pPr>
    </w:p>
    <w:p w:rsidR="00A77298" w:rsidRPr="00A77298" w:rsidRDefault="00A77298" w:rsidP="00A77298">
      <w:pPr>
        <w:spacing w:after="0"/>
        <w:rPr>
          <w:rFonts w:ascii="Times New Roman" w:hAnsi="Times New Roman"/>
          <w:strike/>
          <w:color w:val="000000"/>
          <w:highlight w:val="yellow"/>
          <w:lang w:val="sk-SK"/>
        </w:rPr>
      </w:pPr>
      <w:r w:rsidRPr="00A77298">
        <w:rPr>
          <w:rFonts w:ascii="Times New Roman" w:hAnsi="Times New Roman"/>
          <w:strike/>
          <w:color w:val="000000"/>
          <w:highlight w:val="yellow"/>
          <w:lang w:val="sk-SK"/>
        </w:rPr>
        <w:t>Tabuľka č. 2 Hodnoty, o ktoré sa zvyšujú koeficienty pre materskú školu v zriaďovateľskej pôsobnosti obce, ak celkový počet detí v materskej škole alebo materských školách zriaďovateľa nepresahuje 25</w:t>
      </w:r>
    </w:p>
    <w:tbl>
      <w:tblPr>
        <w:tblW w:w="3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2889"/>
      </w:tblGrid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b/>
                <w:bCs/>
                <w:strike/>
                <w:sz w:val="24"/>
                <w:szCs w:val="24"/>
                <w:highlight w:val="yellow"/>
                <w:lang w:val="sk-SK" w:eastAsia="sk-SK"/>
              </w:rPr>
              <w:t>Počet detí v materskej</w:t>
            </w:r>
            <w:r w:rsidRPr="00A77298">
              <w:rPr>
                <w:rFonts w:ascii="Source Sans Pro" w:eastAsia="Times New Roman" w:hAnsi="Source Sans Pro" w:cs="Times New Roman"/>
                <w:b/>
                <w:bCs/>
                <w:strike/>
                <w:sz w:val="24"/>
                <w:szCs w:val="24"/>
                <w:highlight w:val="yellow"/>
                <w:lang w:val="sk-SK" w:eastAsia="sk-SK"/>
              </w:rPr>
              <w:br/>
              <w:t>škole (materských</w:t>
            </w:r>
            <w:r w:rsidRPr="00A77298">
              <w:rPr>
                <w:rFonts w:ascii="Source Sans Pro" w:eastAsia="Times New Roman" w:hAnsi="Source Sans Pro" w:cs="Times New Roman"/>
                <w:b/>
                <w:bCs/>
                <w:strike/>
                <w:sz w:val="24"/>
                <w:szCs w:val="24"/>
                <w:highlight w:val="yellow"/>
                <w:lang w:val="sk-SK" w:eastAsia="sk-SK"/>
              </w:rPr>
              <w:br/>
              <w:t>školách)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b/>
                <w:bCs/>
                <w:strike/>
                <w:sz w:val="24"/>
                <w:szCs w:val="24"/>
                <w:highlight w:val="yellow"/>
                <w:lang w:val="sk-SK" w:eastAsia="sk-SK"/>
              </w:rPr>
              <w:t>Zvýšenie koeficientov</w:t>
            </w:r>
            <w:r w:rsidRPr="00A77298">
              <w:rPr>
                <w:rFonts w:ascii="Source Sans Pro" w:eastAsia="Times New Roman" w:hAnsi="Source Sans Pro" w:cs="Times New Roman"/>
                <w:b/>
                <w:bCs/>
                <w:strike/>
                <w:sz w:val="24"/>
                <w:szCs w:val="24"/>
                <w:highlight w:val="yellow"/>
                <w:lang w:val="sk-SK" w:eastAsia="sk-SK"/>
              </w:rPr>
              <w:br/>
              <w:t>(bez ohľadu na vek</w:t>
            </w:r>
            <w:r w:rsidRPr="00A77298">
              <w:rPr>
                <w:rFonts w:ascii="Source Sans Pro" w:eastAsia="Times New Roman" w:hAnsi="Source Sans Pro" w:cs="Times New Roman"/>
                <w:b/>
                <w:bCs/>
                <w:strike/>
                <w:sz w:val="24"/>
                <w:szCs w:val="24"/>
                <w:highlight w:val="yellow"/>
                <w:lang w:val="sk-SK" w:eastAsia="sk-SK"/>
              </w:rPr>
              <w:br/>
              <w:t>dieťaťa) o hodnotu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do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20,6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17,6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15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12,9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11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9,4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8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6,8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5,7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4,7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3,9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3,1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2,3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1,7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1,1</w:t>
            </w:r>
          </w:p>
        </w:tc>
      </w:tr>
      <w:tr w:rsidR="00A77298" w:rsidRPr="00A77298" w:rsidTr="00A7729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298" w:rsidRPr="00A77298" w:rsidRDefault="00A77298" w:rsidP="00A7729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strike/>
                <w:sz w:val="24"/>
                <w:szCs w:val="24"/>
                <w:lang w:val="sk-SK" w:eastAsia="sk-SK"/>
              </w:rPr>
            </w:pPr>
            <w:r w:rsidRPr="00A77298">
              <w:rPr>
                <w:rFonts w:ascii="Source Sans Pro" w:eastAsia="Times New Roman" w:hAnsi="Source Sans Pro" w:cs="Times New Roman"/>
                <w:strike/>
                <w:sz w:val="24"/>
                <w:szCs w:val="24"/>
                <w:highlight w:val="yellow"/>
                <w:lang w:val="sk-SK" w:eastAsia="sk-SK"/>
              </w:rPr>
              <w:t>0,5</w:t>
            </w:r>
          </w:p>
        </w:tc>
      </w:tr>
    </w:tbl>
    <w:p w:rsidR="00A77298" w:rsidRDefault="00A77298" w:rsidP="00375E8B">
      <w:pPr>
        <w:spacing w:after="0"/>
        <w:rPr>
          <w:lang w:val="sk-SK"/>
        </w:rPr>
      </w:pPr>
    </w:p>
    <w:p w:rsidR="00B27AC1" w:rsidRDefault="00B27AC1" w:rsidP="00B27AC1">
      <w:pPr>
        <w:spacing w:after="0"/>
        <w:rPr>
          <w:rFonts w:ascii="Times New Roman" w:hAnsi="Times New Roman"/>
          <w:color w:val="000000"/>
          <w:lang w:val="sk-SK"/>
        </w:rPr>
      </w:pPr>
      <w:bookmarkStart w:id="77" w:name="prilohy.priloha-priloha_c_4_k_nariadeniu"/>
      <w:bookmarkEnd w:id="76"/>
    </w:p>
    <w:p w:rsidR="007467FC" w:rsidRPr="0018637B" w:rsidRDefault="00E839D6" w:rsidP="00B27AC1">
      <w:pPr>
        <w:spacing w:after="0"/>
        <w:rPr>
          <w:b/>
          <w:lang w:val="sk-SK"/>
        </w:rPr>
      </w:pPr>
      <w:r w:rsidRPr="0018637B">
        <w:rPr>
          <w:rFonts w:ascii="Times New Roman" w:hAnsi="Times New Roman"/>
          <w:b/>
          <w:color w:val="000000"/>
          <w:lang w:val="sk-SK"/>
        </w:rPr>
        <w:t xml:space="preserve">Príloha č. 4 k nariadeniu vlády č. 668/2004 Z. z. </w:t>
      </w:r>
    </w:p>
    <w:p w:rsidR="00DD7E34" w:rsidRDefault="00DD7E34" w:rsidP="00B27AC1">
      <w:pPr>
        <w:spacing w:after="0"/>
        <w:rPr>
          <w:rFonts w:ascii="Times New Roman" w:hAnsi="Times New Roman"/>
          <w:color w:val="000000"/>
          <w:lang w:val="sk-SK"/>
        </w:rPr>
      </w:pPr>
    </w:p>
    <w:p w:rsidR="007467FC" w:rsidRPr="0018637B" w:rsidRDefault="00E839D6" w:rsidP="00DA7B4D">
      <w:pPr>
        <w:spacing w:after="0" w:line="240" w:lineRule="auto"/>
        <w:contextualSpacing/>
        <w:rPr>
          <w:lang w:val="sk-SK"/>
        </w:rPr>
      </w:pPr>
      <w:r w:rsidRPr="00DD7E34">
        <w:rPr>
          <w:rFonts w:ascii="Times New Roman" w:hAnsi="Times New Roman"/>
          <w:b/>
          <w:color w:val="000000"/>
          <w:lang w:val="sk-SK"/>
        </w:rPr>
        <w:t xml:space="preserve">VZOREC </w:t>
      </w:r>
      <w:r w:rsidRPr="0018637B">
        <w:rPr>
          <w:rFonts w:ascii="Times New Roman" w:hAnsi="Times New Roman"/>
          <w:color w:val="000000"/>
          <w:lang w:val="sk-SK"/>
        </w:rPr>
        <w:t xml:space="preserve">na výpočet podielu obce na výnose dane </w:t>
      </w:r>
    </w:p>
    <w:p w:rsidR="005F5FBC" w:rsidRPr="00F73DDB" w:rsidRDefault="00A7570A" w:rsidP="00DA7B4D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sk-SK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 w:cs="Times New Roman"/>
                  <w:lang w:val="sk-SK"/>
                </w:rPr>
                <m:t>PD</m:t>
              </m:r>
            </m:e>
            <m:sub>
              <m:r>
                <w:rPr>
                  <w:rFonts w:ascii="Cambria Math" w:hAnsi="Cambria Math" w:cs="Times New Roman"/>
                  <w:lang w:val="sk-SK"/>
                </w:rPr>
                <m:t>i</m:t>
              </m:r>
            </m:sub>
          </m:sSub>
          <m:r>
            <w:rPr>
              <w:rFonts w:ascii="Cambria Math" w:hAnsi="Cambria Math" w:cs="Times New Roman"/>
              <w:lang w:val="sk-SK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 w:cs="Times New Roman"/>
                  <w:lang w:val="sk-SK"/>
                </w:rPr>
                <m:t>PD</m:t>
              </m:r>
            </m:e>
            <m:sub>
              <m:r>
                <w:rPr>
                  <w:rFonts w:ascii="Cambria Math" w:hAnsi="Cambria Math" w:cs="Times New Roman"/>
                  <w:lang w:val="sk-SK"/>
                </w:rPr>
                <m:t>i a1</m:t>
              </m:r>
            </m:sub>
          </m:sSub>
          <m:r>
            <w:rPr>
              <w:rFonts w:ascii="Cambria Math" w:hAnsi="Cambria Math" w:cs="Times New Roman"/>
              <w:lang w:val="sk-SK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lang w:val="sk-SK"/>
                </w:rPr>
              </m:ctrlPr>
            </m:sSubPr>
            <m:e>
              <m:r>
                <w:rPr>
                  <w:rFonts w:ascii="Cambria Math" w:hAnsi="Cambria Math" w:cs="Times New Roman"/>
                  <w:lang w:val="sk-SK"/>
                </w:rPr>
                <m:t>PD</m:t>
              </m:r>
            </m:e>
            <m:sub>
              <m:r>
                <w:rPr>
                  <w:rFonts w:ascii="Cambria Math" w:hAnsi="Cambria Math" w:cs="Times New Roman"/>
                  <w:lang w:val="sk-SK"/>
                </w:rPr>
                <m:t>i a2</m:t>
              </m:r>
            </m:sub>
          </m:sSub>
          <m:r>
            <w:rPr>
              <w:rFonts w:ascii="Cambria Math" w:eastAsiaTheme="minorEastAsia" w:hAnsi="Cambria Math" w:cs="Times New Roman"/>
              <w:lang w:val="sk-SK"/>
            </w:rPr>
            <m:t>+</m:t>
          </m:r>
          <m:r>
            <w:rPr>
              <w:rFonts w:ascii="Cambria Math" w:eastAsiaTheme="minorEastAsia" w:hAnsi="Cambria Math" w:cs="Times New Roman"/>
              <w:highlight w:val="yellow"/>
              <w:lang w:val="sk-SK"/>
            </w:rPr>
            <m:t>0,40</m:t>
          </m:r>
          <m:r>
            <w:rPr>
              <w:rFonts w:ascii="Cambria Math" w:eastAsiaTheme="minorEastAsia" w:hAnsi="Cambria Math" w:cs="Times New Roman"/>
              <w:lang w:val="sk-SK"/>
            </w:rPr>
            <m:t xml:space="preserve"> x VD x 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sk-SK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sk-SK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lang w:val="sk-SK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lang w:val="sk-SK"/>
            </w:rPr>
            <m:t xml:space="preserve"> x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sk-SK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sk-SK"/>
                </w:rPr>
                <m:t>OB</m:t>
              </m:r>
            </m:e>
            <m:sub>
              <m:r>
                <w:rPr>
                  <w:rFonts w:ascii="Cambria Math" w:eastAsiaTheme="minorEastAsia" w:hAnsi="Cambria Math" w:cs="Times New Roman"/>
                  <w:lang w:val="sk-SK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lang w:val="sk-SK"/>
            </w:rPr>
            <m:t>)/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sk-SK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sk-SK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lang w:val="sk-SK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sk-SK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lang w:val="sk-SK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OB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lang w:val="sk-SK"/>
                </w:rPr>
                <m:t>+</m:t>
              </m:r>
              <m:r>
                <w:rPr>
                  <w:rFonts w:ascii="Cambria Math" w:eastAsiaTheme="minorEastAsia" w:hAnsi="Cambria Math" w:cs="Times New Roman"/>
                  <w:highlight w:val="yellow"/>
                  <w:lang w:val="sk-SK"/>
                </w:rPr>
                <m:t>0,249</m:t>
              </m:r>
              <m:r>
                <w:rPr>
                  <w:rFonts w:ascii="Cambria Math" w:eastAsiaTheme="minorEastAsia" w:hAnsi="Cambria Math" w:cs="Times New Roman"/>
                  <w:lang w:val="sk-SK"/>
                </w:rPr>
                <m:t xml:space="preserve"> x VD x [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lang w:val="sk-SK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lang w:val="sk-SK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highlight w:val="yellow"/>
                      <w:lang w:val="sk-SK"/>
                    </w:rPr>
                    <m:t>16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lang w:val="sk-SK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lang w:val="sk-SK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sk-SK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sk-SK"/>
                        </w:rPr>
                        <m:t>ij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 w:cs="Times New Roman"/>
              <w:lang w:val="sk-SK"/>
            </w:rPr>
            <m:t>)</m:t>
          </m:r>
        </m:oMath>
      </m:oMathPara>
    </w:p>
    <w:p w:rsidR="005F5FBC" w:rsidRPr="00F73DDB" w:rsidRDefault="005F5FBC" w:rsidP="00DA7B4D">
      <w:pPr>
        <w:spacing w:after="0" w:line="240" w:lineRule="auto"/>
        <w:ind w:left="120"/>
        <w:contextualSpacing/>
        <w:rPr>
          <w:rFonts w:ascii="Times New Roman" w:hAnsi="Times New Roman" w:cs="Times New Roman"/>
          <w:noProof/>
          <w:lang w:val="sk-SK"/>
        </w:rPr>
      </w:pPr>
      <m:oMathPara>
        <m:oMath>
          <m:r>
            <w:rPr>
              <w:rFonts w:ascii="Cambria Math" w:hAnsi="Cambria Math" w:cs="Times New Roman"/>
              <w:noProof/>
              <w:lang w:val="sk-SK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lang w:val="sk-SK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lang w:val="sk-SK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noProof/>
                  <w:highlight w:val="yellow"/>
                  <w:lang w:val="sk-SK"/>
                </w:rPr>
                <m:t>15</m:t>
              </m:r>
            </m:sup>
            <m:e>
              <m:r>
                <w:rPr>
                  <w:rFonts w:ascii="Cambria Math" w:hAnsi="Cambria Math" w:cs="Times New Roman"/>
                  <w:noProof/>
                  <w:lang w:val="sk-SK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sk-S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sk-SK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lang w:val="sk-SK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noProof/>
                  <w:lang w:val="sk-SK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sk-SK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sk-SK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lang w:val="sk-SK"/>
                    </w:rPr>
                    <m:t>ij m</m:t>
                  </m:r>
                </m:sub>
              </m:sSub>
              <m:r>
                <w:rPr>
                  <w:rFonts w:ascii="Cambria Math" w:hAnsi="Cambria Math" w:cs="Times New Roman"/>
                  <w:noProof/>
                  <w:lang w:val="sk-SK"/>
                </w:rPr>
                <m:t>)]/[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noProof/>
                      <w:lang w:val="sk-SK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noProof/>
                      <w:lang w:val="sk-SK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highlight w:val="yellow"/>
                      <w:lang w:val="sk-SK"/>
                    </w:rPr>
                    <m:t>16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sk-S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 xml:space="preserve"> x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noProof/>
                      <w:lang w:val="sk-SK"/>
                    </w:rPr>
                    <m:t xml:space="preserve">+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sk-SK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highlight w:val="yellow"/>
                          <w:lang w:val="sk-SK"/>
                        </w:rPr>
                        <m:t>15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 xml:space="preserve"> x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j 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>)]+</m:t>
                      </m:r>
                      <m:r>
                        <w:rPr>
                          <w:rFonts w:ascii="Cambria Math" w:hAnsi="Cambria Math" w:cs="Times New Roman"/>
                          <w:noProof/>
                          <w:highlight w:val="yellow"/>
                          <w:lang w:val="sk-SK"/>
                        </w:rPr>
                        <m:t>0,063</m:t>
                      </m:r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 xml:space="preserve"> x VD x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OB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i pp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 xml:space="preserve"> /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sk-S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OB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lang w:val="sk-SK"/>
                            </w:rPr>
                            <m:t>pp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noProof/>
                          <w:lang w:val="sk-SK"/>
                        </w:rPr>
                        <m:t xml:space="preserve">                               </m:t>
                      </m:r>
                    </m:e>
                  </m:nary>
                </m:e>
              </m:nary>
            </m:e>
          </m:nary>
        </m:oMath>
      </m:oMathPara>
    </w:p>
    <w:p w:rsidR="005F5FBC" w:rsidRDefault="005F5FBC">
      <w:pPr>
        <w:spacing w:after="0"/>
        <w:ind w:left="120"/>
        <w:rPr>
          <w:rFonts w:ascii="Times New Roman" w:hAnsi="Times New Roman" w:cs="Times New Roman"/>
          <w:noProof/>
          <w:lang w:val="sk-SK"/>
        </w:rPr>
      </w:pPr>
    </w:p>
    <w:p w:rsidR="00575C59" w:rsidRPr="0022375C" w:rsidRDefault="003A2E5E">
      <w:pPr>
        <w:spacing w:after="0"/>
        <w:ind w:left="120"/>
        <w:rPr>
          <w:rFonts w:ascii="Times New Roman" w:hAnsi="Times New Roman" w:cs="Times New Roman"/>
          <w:noProof/>
          <w:lang w:val="sk-SK"/>
        </w:rPr>
      </w:pPr>
      <w:r w:rsidRPr="0022375C">
        <w:rPr>
          <w:rFonts w:ascii="Times New Roman" w:hAnsi="Times New Roman" w:cs="Times New Roman"/>
          <w:noProof/>
          <w:lang w:val="sk-SK"/>
        </w:rPr>
        <w:lastRenderedPageBreak/>
        <w:t>Kde:</w:t>
      </w:r>
    </w:p>
    <w:p w:rsidR="003A2E5E" w:rsidRDefault="003A2E5E">
      <w:pPr>
        <w:spacing w:after="0"/>
        <w:ind w:left="120"/>
        <w:rPr>
          <w:lang w:val="sk-SK"/>
        </w:rPr>
      </w:pPr>
    </w:p>
    <w:p w:rsidR="003A2E5E" w:rsidRPr="00F73DDB" w:rsidRDefault="003A2E5E">
      <w:pPr>
        <w:spacing w:after="0"/>
        <w:ind w:left="120"/>
        <w:rPr>
          <w:rFonts w:ascii="Times New Roman" w:hAnsi="Times New Roman" w:cs="Times New Roman"/>
          <w:lang w:val="sk-SK"/>
        </w:rPr>
      </w:pPr>
      <w:r w:rsidRPr="003A2E5E">
        <w:rPr>
          <w:rFonts w:ascii="Times New Roman" w:hAnsi="Times New Roman" w:cs="Times New Roman"/>
          <w:lang w:val="sk-SK"/>
        </w:rPr>
        <w:t>PD</w:t>
      </w:r>
      <w:r w:rsidRPr="003A2E5E">
        <w:rPr>
          <w:rFonts w:ascii="Times New Roman" w:hAnsi="Times New Roman" w:cs="Times New Roman"/>
          <w:vertAlign w:val="subscript"/>
          <w:lang w:val="sk-SK"/>
        </w:rPr>
        <w:t>i a1</w:t>
      </w:r>
      <w:r w:rsidR="0022375C">
        <w:rPr>
          <w:rFonts w:ascii="Times New Roman" w:hAnsi="Times New Roman" w:cs="Times New Roman"/>
          <w:vertAlign w:val="subscript"/>
          <w:lang w:val="sk-SK"/>
        </w:rPr>
        <w:t xml:space="preserve">         </w:t>
      </w:r>
      <w:r w:rsidRPr="003A2E5E">
        <w:rPr>
          <w:rFonts w:ascii="Times New Roman" w:hAnsi="Times New Roman" w:cs="Times New Roman"/>
          <w:lang w:val="sk-SK"/>
        </w:rPr>
        <w:t xml:space="preserve"> =</w:t>
      </w:r>
      <w:r w:rsidRPr="003A2E5E">
        <w:rPr>
          <w:rFonts w:ascii="Times New Roman" w:hAnsi="Times New Roman" w:cs="Times New Roman"/>
          <w:color w:val="FF0000"/>
          <w:lang w:val="sk-SK"/>
        </w:rPr>
        <w:t xml:space="preserve"> </w:t>
      </w:r>
      <w:r w:rsidRPr="00F73DDB">
        <w:rPr>
          <w:rFonts w:ascii="Times New Roman" w:hAnsi="Times New Roman" w:cs="Times New Roman"/>
          <w:highlight w:val="yellow"/>
          <w:lang w:val="sk-SK"/>
        </w:rPr>
        <w:t>0,28</w:t>
      </w:r>
      <w:r w:rsidR="009D4C83" w:rsidRPr="00F73DDB">
        <w:rPr>
          <w:rFonts w:ascii="Times New Roman" w:hAnsi="Times New Roman" w:cs="Times New Roman"/>
          <w:highlight w:val="yellow"/>
          <w:lang w:val="sk-SK"/>
        </w:rPr>
        <w:t>8</w:t>
      </w:r>
      <w:r w:rsidRPr="00F73DDB">
        <w:rPr>
          <w:rFonts w:ascii="Times New Roman" w:hAnsi="Times New Roman" w:cs="Times New Roman"/>
          <w:lang w:val="sk-SK"/>
        </w:rPr>
        <w:t xml:space="preserve"> x VD x 0,43 x Ob</w:t>
      </w:r>
      <w:r w:rsidRPr="00F73DDB">
        <w:rPr>
          <w:rFonts w:ascii="Times New Roman" w:hAnsi="Times New Roman" w:cs="Times New Roman"/>
          <w:vertAlign w:val="subscript"/>
          <w:lang w:val="sk-SK"/>
        </w:rPr>
        <w:t>i</w:t>
      </w:r>
      <w:r w:rsidRPr="00F73DDB">
        <w:rPr>
          <w:rFonts w:ascii="Times New Roman" w:hAnsi="Times New Roman" w:cs="Times New Roman"/>
          <w:lang w:val="sk-SK"/>
        </w:rPr>
        <w:t>/OB</w:t>
      </w:r>
    </w:p>
    <w:p w:rsidR="00C07641" w:rsidRPr="00F73DDB" w:rsidRDefault="00C07641">
      <w:pPr>
        <w:spacing w:after="0"/>
        <w:ind w:left="120"/>
        <w:rPr>
          <w:rFonts w:ascii="Times New Roman" w:hAnsi="Times New Roman" w:cs="Times New Roman"/>
          <w:lang w:val="sk-SK"/>
        </w:rPr>
      </w:pPr>
    </w:p>
    <w:p w:rsidR="00774219" w:rsidRDefault="003A2E5E" w:rsidP="009A4EAB">
      <w:pPr>
        <w:spacing w:after="0"/>
        <w:ind w:left="120"/>
        <w:rPr>
          <w:rFonts w:ascii="Times New Roman" w:hAnsi="Times New Roman" w:cs="Times New Roman"/>
          <w:lang w:val="sk-SK"/>
        </w:rPr>
      </w:pPr>
      <w:r w:rsidRPr="00F73DDB">
        <w:rPr>
          <w:rFonts w:ascii="Times New Roman" w:hAnsi="Times New Roman" w:cs="Times New Roman"/>
          <w:lang w:val="sk-SK"/>
        </w:rPr>
        <w:t>PD</w:t>
      </w:r>
      <w:r w:rsidRPr="00F73DDB">
        <w:rPr>
          <w:rFonts w:ascii="Times New Roman" w:hAnsi="Times New Roman" w:cs="Times New Roman"/>
          <w:vertAlign w:val="subscript"/>
          <w:lang w:val="sk-SK"/>
        </w:rPr>
        <w:t>i a2 zákl.</w:t>
      </w:r>
      <w:r w:rsidR="0022375C" w:rsidRPr="00F73DDB">
        <w:rPr>
          <w:rFonts w:ascii="Times New Roman" w:hAnsi="Times New Roman" w:cs="Times New Roman"/>
          <w:vertAlign w:val="subscript"/>
          <w:lang w:val="sk-SK"/>
        </w:rPr>
        <w:t xml:space="preserve"> </w:t>
      </w:r>
      <w:r w:rsidRPr="00F73DDB">
        <w:rPr>
          <w:rFonts w:ascii="Times New Roman" w:hAnsi="Times New Roman" w:cs="Times New Roman"/>
          <w:vertAlign w:val="subscript"/>
          <w:lang w:val="sk-SK"/>
        </w:rPr>
        <w:t xml:space="preserve"> </w:t>
      </w:r>
      <w:r w:rsidRPr="00F73DDB">
        <w:rPr>
          <w:rFonts w:ascii="Times New Roman" w:hAnsi="Times New Roman" w:cs="Times New Roman"/>
          <w:lang w:val="sk-SK"/>
        </w:rPr>
        <w:t xml:space="preserve">= </w:t>
      </w:r>
      <w:r w:rsidRPr="00F73DDB">
        <w:rPr>
          <w:rFonts w:ascii="Times New Roman" w:hAnsi="Times New Roman" w:cs="Times New Roman"/>
          <w:highlight w:val="yellow"/>
          <w:lang w:val="sk-SK"/>
        </w:rPr>
        <w:t>0,28</w:t>
      </w:r>
      <w:r w:rsidR="009D4C83" w:rsidRPr="00F73DDB">
        <w:rPr>
          <w:rFonts w:ascii="Times New Roman" w:hAnsi="Times New Roman" w:cs="Times New Roman"/>
          <w:highlight w:val="yellow"/>
          <w:lang w:val="sk-SK"/>
        </w:rPr>
        <w:t>8</w:t>
      </w:r>
      <w:r>
        <w:rPr>
          <w:rFonts w:ascii="Times New Roman" w:hAnsi="Times New Roman" w:cs="Times New Roman"/>
          <w:lang w:val="sk-SK"/>
        </w:rPr>
        <w:t xml:space="preserve"> x VD x 0,57 x Ob</w:t>
      </w:r>
      <w:r w:rsidRPr="003A2E5E">
        <w:rPr>
          <w:rFonts w:ascii="Times New Roman" w:hAnsi="Times New Roman" w:cs="Times New Roman"/>
          <w:vertAlign w:val="subscript"/>
          <w:lang w:val="sk-SK"/>
        </w:rPr>
        <w:t>i</w:t>
      </w:r>
      <w:r>
        <w:rPr>
          <w:rFonts w:ascii="Times New Roman" w:hAnsi="Times New Roman" w:cs="Times New Roman"/>
          <w:lang w:val="sk-SK"/>
        </w:rPr>
        <w:t>/OB</w:t>
      </w:r>
    </w:p>
    <w:p w:rsidR="00DA7B4D" w:rsidRDefault="00DA7B4D" w:rsidP="009A4EAB">
      <w:pPr>
        <w:spacing w:after="0"/>
        <w:ind w:left="120"/>
        <w:rPr>
          <w:rFonts w:ascii="Times New Roman" w:hAnsi="Times New Roman" w:cs="Times New Roman"/>
          <w:lang w:val="sk-SK"/>
        </w:rPr>
      </w:pPr>
    </w:p>
    <w:p w:rsidR="0022375C" w:rsidRDefault="0022375C" w:rsidP="009A4EAB">
      <w:pPr>
        <w:spacing w:after="0"/>
        <w:ind w:left="120"/>
        <w:rPr>
          <w:rFonts w:ascii="Times New Roman" w:hAnsi="Times New Roman" w:cs="Times New Roman"/>
          <w:lang w:val="sk-SK"/>
        </w:rPr>
      </w:pPr>
    </w:p>
    <w:p w:rsidR="009A4EAB" w:rsidRDefault="008F6103" w:rsidP="009A4EAB">
      <w:pPr>
        <w:spacing w:after="0"/>
        <w:ind w:left="1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PD</w:t>
      </w:r>
      <w:r w:rsidRPr="008F6103">
        <w:rPr>
          <w:rFonts w:ascii="Times New Roman" w:hAnsi="Times New Roman" w:cs="Times New Roman"/>
          <w:vertAlign w:val="subscript"/>
          <w:lang w:val="sk-SK"/>
        </w:rPr>
        <w:t>i a2</w:t>
      </w:r>
      <w:r>
        <w:rPr>
          <w:rFonts w:ascii="Times New Roman" w:hAnsi="Times New Roman" w:cs="Times New Roman"/>
          <w:lang w:val="sk-SK"/>
        </w:rPr>
        <w:t xml:space="preserve">       = (PD</w:t>
      </w:r>
      <w:r w:rsidRPr="008F6103">
        <w:rPr>
          <w:rFonts w:ascii="Times New Roman" w:hAnsi="Times New Roman" w:cs="Times New Roman"/>
          <w:vertAlign w:val="subscript"/>
          <w:lang w:val="sk-SK"/>
        </w:rPr>
        <w:t xml:space="preserve">i a2 zákl. </w:t>
      </w:r>
      <w:r>
        <w:rPr>
          <w:rFonts w:ascii="Times New Roman" w:hAnsi="Times New Roman" w:cs="Times New Roman"/>
          <w:lang w:val="sk-SK"/>
        </w:rPr>
        <w:t>x k</w:t>
      </w:r>
      <w:r w:rsidRPr="008F6103">
        <w:rPr>
          <w:rFonts w:ascii="Times New Roman" w:hAnsi="Times New Roman" w:cs="Times New Roman"/>
          <w:vertAlign w:val="subscript"/>
          <w:lang w:val="sk-SK"/>
        </w:rPr>
        <w:t>nv i</w:t>
      </w:r>
      <w:r>
        <w:rPr>
          <w:rFonts w:ascii="Times New Roman" w:hAnsi="Times New Roman" w:cs="Times New Roman"/>
          <w:lang w:val="sk-SK"/>
        </w:rPr>
        <w:t>)</w:t>
      </w:r>
      <w:r w:rsidR="00DA7B4D">
        <w:rPr>
          <w:rFonts w:ascii="Times New Roman" w:hAnsi="Times New Roman" w:cs="Times New Roman"/>
          <w:lang w:val="sk-SK"/>
        </w:rPr>
        <w:t xml:space="preserve"> /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sk-SK"/>
              </w:rPr>
            </m:ctrlPr>
          </m:naryPr>
          <m:sub>
            <m:r>
              <w:rPr>
                <w:rFonts w:ascii="Cambria Math" w:hAnsi="Cambria Math" w:cs="Times New Roman"/>
                <w:lang w:val="sk-SK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sk-SK"/>
              </w:rPr>
              <m:t>n</m:t>
            </m:r>
          </m:sup>
          <m:e>
            <m:r>
              <w:rPr>
                <w:rFonts w:ascii="Cambria Math" w:hAnsi="Cambria Math" w:cs="Times New Roman"/>
                <w:lang w:val="sk-SK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sk-SK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sk-SK"/>
                  </w:rPr>
                  <m:t>PD</m:t>
                </m:r>
              </m:e>
              <m:sub>
                <m:r>
                  <w:rPr>
                    <w:rFonts w:ascii="Cambria Math" w:hAnsi="Cambria Math" w:cs="Times New Roman"/>
                    <w:lang w:val="sk-SK"/>
                  </w:rPr>
                  <m:t>i a2 zákl.</m:t>
                </m:r>
              </m:sub>
            </m:sSub>
            <m:r>
              <w:rPr>
                <w:rFonts w:ascii="Cambria Math" w:hAnsi="Cambria Math" w:cs="Times New Roman"/>
                <w:lang w:val="sk-SK"/>
              </w:rPr>
              <m:t xml:space="preserve"> x 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sk-SK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sk-SK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lang w:val="sk-SK"/>
                  </w:rPr>
                  <m:t>nv i</m:t>
                </m:r>
              </m:sub>
            </m:sSub>
            <m:r>
              <w:rPr>
                <w:rFonts w:ascii="Cambria Math" w:hAnsi="Cambria Math" w:cs="Times New Roman"/>
                <w:lang w:val="sk-SK"/>
              </w:rPr>
              <m:t>)</m:t>
            </m:r>
          </m:e>
        </m:nary>
      </m:oMath>
      <w:r w:rsidR="00DA7B4D">
        <w:rPr>
          <w:rFonts w:ascii="Times New Roman" w:eastAsiaTheme="minorEastAsia" w:hAnsi="Times New Roman" w:cs="Times New Roman"/>
          <w:lang w:val="sk-SK"/>
        </w:rPr>
        <w:t xml:space="preserve"> x PD </w:t>
      </w:r>
      <w:r w:rsidR="00DA7B4D" w:rsidRPr="00DA7B4D">
        <w:rPr>
          <w:rFonts w:ascii="Times New Roman" w:eastAsiaTheme="minorEastAsia" w:hAnsi="Times New Roman" w:cs="Times New Roman"/>
          <w:vertAlign w:val="subscript"/>
          <w:lang w:val="sk-SK"/>
        </w:rPr>
        <w:t>a2 zákl.</w:t>
      </w:r>
    </w:p>
    <w:p w:rsidR="009A4EAB" w:rsidRDefault="009A4EAB" w:rsidP="009A4EAB">
      <w:pPr>
        <w:spacing w:after="0"/>
        <w:ind w:left="120"/>
        <w:rPr>
          <w:rFonts w:ascii="Times New Roman" w:hAnsi="Times New Roman" w:cs="Times New Roman"/>
          <w:lang w:val="sk-SK"/>
        </w:rPr>
      </w:pPr>
    </w:p>
    <w:p w:rsidR="0022375C" w:rsidRPr="009A4EAB" w:rsidRDefault="0022375C" w:rsidP="009A4EAB">
      <w:pPr>
        <w:spacing w:after="0"/>
        <w:ind w:left="120"/>
        <w:rPr>
          <w:rFonts w:ascii="Times New Roman" w:hAnsi="Times New Roman" w:cs="Times New Roman"/>
          <w:lang w:val="sk-SK"/>
        </w:rPr>
      </w:pPr>
    </w:p>
    <w:p w:rsidR="007467FC" w:rsidRPr="009E1DB8" w:rsidRDefault="00E839D6" w:rsidP="00305E9C">
      <w:pPr>
        <w:spacing w:after="0" w:line="240" w:lineRule="auto"/>
        <w:contextualSpacing/>
        <w:rPr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Vysvetlivky: </w:t>
      </w:r>
    </w:p>
    <w:tbl>
      <w:tblPr>
        <w:tblW w:w="114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"/>
        <w:gridCol w:w="245"/>
        <w:gridCol w:w="10089"/>
      </w:tblGrid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E1DB8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P</w:t>
            </w:r>
            <w:r w:rsidR="009553CC" w:rsidRPr="009553CC">
              <w:rPr>
                <w:rFonts w:ascii="Times New Roman" w:eastAsia="Times New Roman" w:hAnsi="Times New Roman" w:cs="Times New Roman"/>
                <w:lang w:val="sk-SK" w:eastAsia="sk-SK"/>
              </w:rPr>
              <w:t>D</w:t>
            </w:r>
            <w:r w:rsidR="009553CC"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podiel obce „i“ na výnose dane v eurách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PD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 a1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podiel obce „i“ na výnose podielových daní v eurách neupravený koeficientom nadmorskej výšky obce</w:t>
            </w:r>
          </w:p>
        </w:tc>
      </w:tr>
      <w:tr w:rsidR="009553CC" w:rsidRPr="009553CC" w:rsidTr="00A201D3">
        <w:trPr>
          <w:trHeight w:val="522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PD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 a2 zákl 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pomocný výpočet základne pre výpočet podielu obce PD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ia2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PD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 a2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podiel obce „i“ na výnose podielových daní v eurách upravený koeficientom nadmorskej výšky obce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výnos dane podľa § 2 zákona v eurách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OB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počet obyvateľov obce „i“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OB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počet obyvateľov Slovenskej republiky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knv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 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koeficient nadmorskej výšky obce „i“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k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koeficient obce „i“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c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j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koeficienty „j“ uvedené v prílohe č. 3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z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ij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počet žiakov (detí, poslucháčov) „j“ škôl a školských zariadení v zriaďovateľskej pôsobnosti obce „i“ </w:t>
            </w:r>
          </w:p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zistený zberom údajov podľa osobitného predpisu</w:t>
            </w:r>
            <w:r w:rsidRPr="009553CC">
              <w:rPr>
                <w:rFonts w:ascii="Times New Roman" w:eastAsia="Times New Roman" w:hAnsi="Times New Roman" w:cs="Times New Roman"/>
                <w:vertAlign w:val="superscript"/>
                <w:lang w:val="sk-SK" w:eastAsia="sk-SK"/>
              </w:rPr>
              <w:t>1</w:t>
            </w: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)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lastRenderedPageBreak/>
              <w:t>z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ij 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počet žiakov (detí, poslucháčov) „j“ škôl a školských zariadení zistený zberom údajov podľa </w:t>
            </w:r>
          </w:p>
          <w:p w:rsid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osobitného predpisu</w:t>
            </w:r>
            <w:r w:rsidRPr="009553CC">
              <w:rPr>
                <w:rFonts w:ascii="Times New Roman" w:eastAsia="Times New Roman" w:hAnsi="Times New Roman" w:cs="Times New Roman"/>
                <w:vertAlign w:val="superscript"/>
                <w:lang w:val="sk-SK" w:eastAsia="sk-SK"/>
              </w:rPr>
              <w:t>1</w:t>
            </w: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) v zriaďovateľskej pôsobnosti štátom uznanej cirkvi alebo súkromnej osoby </w:t>
            </w:r>
          </w:p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na území obce „i“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Z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j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počet žiakov (detí, poslucháčov) „j“ škôl a školských zariadení v zriaďovateľskej pôsobnosti obcí v </w:t>
            </w:r>
          </w:p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Slovenskej republike zistený zberom údajov podľa osobitného predpisu</w:t>
            </w:r>
            <w:r w:rsidRPr="009553CC">
              <w:rPr>
                <w:rFonts w:ascii="Times New Roman" w:eastAsia="Times New Roman" w:hAnsi="Times New Roman" w:cs="Times New Roman"/>
                <w:vertAlign w:val="superscript"/>
                <w:lang w:val="sk-SK" w:eastAsia="sk-SK"/>
              </w:rPr>
              <w:t>1</w:t>
            </w: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)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Z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j 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počet žiakov (detí, poslucháčov) „j“ škôl a školských zariadení v zriaďovateľskej pôsobnosti zákonom </w:t>
            </w:r>
          </w:p>
          <w:p w:rsid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 xml:space="preserve">uznanej cirkvi alebo súkromnej osoby na území obcí v Slovenskej republike zistený zberom údajov </w:t>
            </w:r>
          </w:p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podľa osobitného predpisu</w:t>
            </w:r>
            <w:r w:rsidRPr="009553CC">
              <w:rPr>
                <w:rFonts w:ascii="Times New Roman" w:eastAsia="Times New Roman" w:hAnsi="Times New Roman" w:cs="Times New Roman"/>
                <w:vertAlign w:val="superscript"/>
                <w:lang w:val="sk-SK" w:eastAsia="sk-SK"/>
              </w:rPr>
              <w:t>1</w:t>
            </w: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)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OB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i pp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počet obyvateľov obce „i“, ktorí dovŕšili vek 62 rokov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OB</w:t>
            </w:r>
            <w:r w:rsidRPr="009553CC">
              <w:rPr>
                <w:rFonts w:ascii="Times New Roman" w:eastAsia="Times New Roman" w:hAnsi="Times New Roman" w:cs="Times New Roman"/>
                <w:vertAlign w:val="subscript"/>
                <w:lang w:val="sk-SK" w:eastAsia="sk-SK"/>
              </w:rPr>
              <w:t>pp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počet obyvateľov Slovenskej republiky, ktorí dovŕšili vek 62 rokov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údaj týkajúci sa príslušnej obce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j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údaj týkajúci sa príslušnej školy a školských zariadení uvedených v osobitnom predpise</w:t>
            </w:r>
            <w:r w:rsidRPr="009553CC">
              <w:rPr>
                <w:rFonts w:ascii="Times New Roman" w:eastAsia="Times New Roman" w:hAnsi="Times New Roman" w:cs="Times New Roman"/>
                <w:vertAlign w:val="superscript"/>
                <w:lang w:val="sk-SK" w:eastAsia="sk-SK"/>
              </w:rPr>
              <w:t>1</w:t>
            </w: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)</w:t>
            </w:r>
          </w:p>
        </w:tc>
      </w:tr>
      <w:tr w:rsidR="009553CC" w:rsidRPr="009553CC" w:rsidTr="009553C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3CC" w:rsidRPr="009553CC" w:rsidRDefault="009553CC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9553CC">
              <w:rPr>
                <w:rFonts w:ascii="Times New Roman" w:eastAsia="Times New Roman" w:hAnsi="Times New Roman" w:cs="Times New Roman"/>
                <w:lang w:val="sk-SK" w:eastAsia="sk-SK"/>
              </w:rPr>
              <w:t>počet obcí</w:t>
            </w:r>
          </w:p>
        </w:tc>
      </w:tr>
    </w:tbl>
    <w:p w:rsidR="00AB04BF" w:rsidRDefault="00AB04BF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7C2870" w:rsidRPr="009553CC" w:rsidRDefault="007C2870" w:rsidP="00305E9C">
      <w:pPr>
        <w:spacing w:after="0" w:line="240" w:lineRule="auto"/>
        <w:contextualSpacing/>
        <w:rPr>
          <w:rFonts w:ascii="Times New Roman" w:hAnsi="Times New Roman" w:cs="Times New Roman"/>
          <w:lang w:val="sk-SK"/>
        </w:rPr>
      </w:pPr>
    </w:p>
    <w:p w:rsidR="00B27AC1" w:rsidRDefault="00B27AC1" w:rsidP="009553CC">
      <w:pPr>
        <w:spacing w:after="0"/>
        <w:rPr>
          <w:lang w:val="sk-SK"/>
        </w:rPr>
      </w:pPr>
      <w:bookmarkStart w:id="78" w:name="prilohy.priloha-priloha_c_5_k_nariadeniu"/>
      <w:bookmarkEnd w:id="77"/>
    </w:p>
    <w:p w:rsidR="007467FC" w:rsidRDefault="00E839D6" w:rsidP="009553CC">
      <w:pPr>
        <w:spacing w:after="0"/>
        <w:rPr>
          <w:rFonts w:ascii="Times New Roman" w:hAnsi="Times New Roman"/>
          <w:b/>
          <w:color w:val="000000"/>
          <w:lang w:val="sk-SK"/>
        </w:rPr>
      </w:pPr>
      <w:r w:rsidRPr="00B146AA">
        <w:rPr>
          <w:rFonts w:ascii="Times New Roman" w:hAnsi="Times New Roman"/>
          <w:b/>
          <w:color w:val="000000"/>
          <w:lang w:val="sk-SK"/>
        </w:rPr>
        <w:t xml:space="preserve">Príloha č. 5 k nariadeniu vlády č. 668/2004 Z. z. </w:t>
      </w:r>
    </w:p>
    <w:p w:rsidR="00B146AA" w:rsidRPr="00B146AA" w:rsidRDefault="00B146AA" w:rsidP="009553CC">
      <w:pPr>
        <w:spacing w:after="0"/>
        <w:rPr>
          <w:b/>
          <w:lang w:val="sk-SK"/>
        </w:rPr>
      </w:pPr>
    </w:p>
    <w:p w:rsidR="007467FC" w:rsidRPr="00085637" w:rsidRDefault="00E839D6" w:rsidP="00B146AA">
      <w:pPr>
        <w:spacing w:after="0"/>
        <w:rPr>
          <w:lang w:val="sk-SK"/>
        </w:rPr>
      </w:pPr>
      <w:r w:rsidRPr="00B146AA">
        <w:rPr>
          <w:rFonts w:ascii="Times New Roman" w:hAnsi="Times New Roman"/>
          <w:b/>
          <w:color w:val="000000"/>
          <w:lang w:val="sk-SK"/>
        </w:rPr>
        <w:t>VZOREC</w:t>
      </w:r>
      <w:r w:rsidRPr="00085637">
        <w:rPr>
          <w:rFonts w:ascii="Times New Roman" w:hAnsi="Times New Roman"/>
          <w:color w:val="000000"/>
          <w:lang w:val="sk-SK"/>
        </w:rPr>
        <w:t xml:space="preserve"> na výpočet podielu vyššieho územného celku na výnose dane </w:t>
      </w:r>
      <w:r w:rsidRPr="00085637">
        <w:rPr>
          <w:noProof/>
          <w:lang w:val="sk-SK" w:eastAsia="sk-SK"/>
        </w:rPr>
        <w:drawing>
          <wp:inline distT="0" distB="0" distL="0" distR="0" wp14:anchorId="37E94EE0" wp14:editId="0C83BC6C">
            <wp:extent cx="5732145" cy="122730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22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5637">
        <w:rPr>
          <w:rFonts w:ascii="Times New Roman" w:hAnsi="Times New Roman"/>
          <w:color w:val="000000"/>
          <w:lang w:val="sk-SK"/>
        </w:rPr>
        <w:t xml:space="preserve"> </w:t>
      </w:r>
    </w:p>
    <w:p w:rsidR="00B27AC1" w:rsidRDefault="00B27AC1" w:rsidP="00A201D3">
      <w:pPr>
        <w:spacing w:after="0" w:line="360" w:lineRule="auto"/>
        <w:rPr>
          <w:rFonts w:ascii="Times New Roman" w:hAnsi="Times New Roman"/>
          <w:color w:val="000000"/>
          <w:lang w:val="sk-SK"/>
        </w:rPr>
      </w:pPr>
    </w:p>
    <w:p w:rsidR="007467FC" w:rsidRPr="00085637" w:rsidRDefault="00E839D6" w:rsidP="00A201D3">
      <w:pPr>
        <w:spacing w:after="0" w:line="360" w:lineRule="auto"/>
        <w:rPr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Vysvetlivky: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PD</w:t>
      </w:r>
      <w:r w:rsidRPr="00E175C5">
        <w:rPr>
          <w:rFonts w:ascii="Times New Roman" w:hAnsi="Times New Roman"/>
          <w:color w:val="000000"/>
          <w:lang w:val="sk-SK"/>
        </w:rPr>
        <w:t xml:space="preserve">j </w:t>
      </w:r>
      <w:r w:rsidRPr="00085637">
        <w:rPr>
          <w:rFonts w:ascii="Times New Roman" w:hAnsi="Times New Roman"/>
          <w:color w:val="000000"/>
          <w:lang w:val="sk-SK"/>
        </w:rPr>
        <w:t xml:space="preserve">– podiel vyššieho územného celku „j“ na výnose dane v eurách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VD – výnos dane podľa § 3 zákona v eurách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OB</w:t>
      </w:r>
      <w:r w:rsidRPr="00E175C5">
        <w:rPr>
          <w:rFonts w:ascii="Times New Roman" w:hAnsi="Times New Roman"/>
          <w:color w:val="000000"/>
          <w:lang w:val="sk-SK"/>
        </w:rPr>
        <w:t xml:space="preserve">j </w:t>
      </w:r>
      <w:r w:rsidRPr="00085637">
        <w:rPr>
          <w:rFonts w:ascii="Times New Roman" w:hAnsi="Times New Roman"/>
          <w:color w:val="000000"/>
          <w:lang w:val="sk-SK"/>
        </w:rPr>
        <w:t xml:space="preserve">– počet obyvateľov vyššieho územného celku „j“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OB – počet obyvateľov Slovenskej republiky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OB</w:t>
      </w:r>
      <w:r w:rsidRPr="00E175C5">
        <w:rPr>
          <w:rFonts w:ascii="Times New Roman" w:hAnsi="Times New Roman"/>
          <w:color w:val="000000"/>
          <w:lang w:val="sk-SK"/>
        </w:rPr>
        <w:t>j 15-18</w:t>
      </w:r>
      <w:r w:rsidRPr="00085637">
        <w:rPr>
          <w:rFonts w:ascii="Times New Roman" w:hAnsi="Times New Roman"/>
          <w:color w:val="000000"/>
          <w:lang w:val="sk-SK"/>
        </w:rPr>
        <w:t xml:space="preserve"> – počet obyvateľov vyššieho územného celku „j“ vo veku pätnásť až osemnásť rokov s trvalým pobytom na jeho území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OB</w:t>
      </w:r>
      <w:r w:rsidRPr="00E175C5">
        <w:rPr>
          <w:rFonts w:ascii="Times New Roman" w:hAnsi="Times New Roman"/>
          <w:color w:val="000000"/>
          <w:lang w:val="sk-SK"/>
        </w:rPr>
        <w:t xml:space="preserve"> 15-18 </w:t>
      </w:r>
      <w:r w:rsidRPr="00085637">
        <w:rPr>
          <w:rFonts w:ascii="Times New Roman" w:hAnsi="Times New Roman"/>
          <w:color w:val="000000"/>
          <w:lang w:val="sk-SK"/>
        </w:rPr>
        <w:t xml:space="preserve">– počet obyvateľov Slovenskej republiky vo veku pätnásť až osemnásť rokov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lastRenderedPageBreak/>
        <w:t xml:space="preserve"> OB</w:t>
      </w:r>
      <w:r w:rsidRPr="00E175C5">
        <w:rPr>
          <w:rFonts w:ascii="Times New Roman" w:hAnsi="Times New Roman"/>
          <w:color w:val="000000"/>
          <w:lang w:val="sk-SK"/>
        </w:rPr>
        <w:t xml:space="preserve">j pp </w:t>
      </w:r>
      <w:r w:rsidRPr="00085637">
        <w:rPr>
          <w:rFonts w:ascii="Times New Roman" w:hAnsi="Times New Roman"/>
          <w:color w:val="000000"/>
          <w:lang w:val="sk-SK"/>
        </w:rPr>
        <w:t xml:space="preserve">– počet obyvateľov vyššieho územného celku „j“, ktorí dovŕšili vek šesťdesiatdva rokov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OB</w:t>
      </w:r>
      <w:r w:rsidRPr="00E175C5">
        <w:rPr>
          <w:rFonts w:ascii="Times New Roman" w:hAnsi="Times New Roman"/>
          <w:color w:val="000000"/>
          <w:lang w:val="sk-SK"/>
        </w:rPr>
        <w:t xml:space="preserve">pp </w:t>
      </w:r>
      <w:r w:rsidRPr="00085637">
        <w:rPr>
          <w:rFonts w:ascii="Times New Roman" w:hAnsi="Times New Roman"/>
          <w:color w:val="000000"/>
          <w:lang w:val="sk-SK"/>
        </w:rPr>
        <w:t xml:space="preserve">– počet obyvateľov Slovenskej republiky, ktorí dovŕšili vek šesťdesiatdva rokov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Hust</w:t>
      </w:r>
      <w:r w:rsidRPr="00E175C5">
        <w:rPr>
          <w:rFonts w:ascii="Times New Roman" w:hAnsi="Times New Roman"/>
          <w:color w:val="000000"/>
          <w:lang w:val="sk-SK"/>
        </w:rPr>
        <w:t>j</w:t>
      </w:r>
      <w:r w:rsidRPr="00085637">
        <w:rPr>
          <w:rFonts w:ascii="Times New Roman" w:hAnsi="Times New Roman"/>
          <w:color w:val="000000"/>
          <w:lang w:val="sk-SK"/>
        </w:rPr>
        <w:t xml:space="preserve"> – hustota obyvateľstva vyššieho územného celku „j“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DC</w:t>
      </w:r>
      <w:r w:rsidRPr="00E175C5">
        <w:rPr>
          <w:rFonts w:ascii="Times New Roman" w:hAnsi="Times New Roman"/>
          <w:color w:val="000000"/>
          <w:lang w:val="sk-SK"/>
        </w:rPr>
        <w:t>j</w:t>
      </w:r>
      <w:r w:rsidRPr="00085637">
        <w:rPr>
          <w:rFonts w:ascii="Times New Roman" w:hAnsi="Times New Roman"/>
          <w:color w:val="000000"/>
          <w:lang w:val="sk-SK"/>
        </w:rPr>
        <w:t xml:space="preserve"> – dĺžka ciest II. triedy a III. triedy vo vlastníctve vyššieho územného celku „j“ k 1. januáru predchádzajúceho kalendárneho roka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R</w:t>
      </w:r>
      <w:r w:rsidRPr="00E175C5">
        <w:rPr>
          <w:rFonts w:ascii="Times New Roman" w:hAnsi="Times New Roman"/>
          <w:color w:val="000000"/>
          <w:lang w:val="sk-SK"/>
        </w:rPr>
        <w:t>j</w:t>
      </w:r>
      <w:r w:rsidRPr="00085637">
        <w:rPr>
          <w:rFonts w:ascii="Times New Roman" w:hAnsi="Times New Roman"/>
          <w:color w:val="000000"/>
          <w:lang w:val="sk-SK"/>
        </w:rPr>
        <w:t xml:space="preserve"> – rozloha vyššieho územného celku „j“ </w:t>
      </w:r>
    </w:p>
    <w:p w:rsidR="007467FC" w:rsidRPr="00E175C5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R – rozloha Slovenskej republiky </w:t>
      </w:r>
    </w:p>
    <w:p w:rsidR="007467FC" w:rsidRDefault="00E839D6" w:rsidP="00A201D3">
      <w:pPr>
        <w:spacing w:after="0" w:line="360" w:lineRule="auto"/>
        <w:jc w:val="both"/>
        <w:rPr>
          <w:rFonts w:ascii="Times New Roman" w:hAnsi="Times New Roman"/>
          <w:color w:val="000000"/>
          <w:lang w:val="sk-SK"/>
        </w:rPr>
      </w:pPr>
      <w:r w:rsidRPr="00085637">
        <w:rPr>
          <w:rFonts w:ascii="Times New Roman" w:hAnsi="Times New Roman"/>
          <w:color w:val="000000"/>
          <w:lang w:val="sk-SK"/>
        </w:rPr>
        <w:t xml:space="preserve"> j – údaj týkajúci sa príslušného vyššieho územného celku </w:t>
      </w:r>
    </w:p>
    <w:p w:rsidR="00B87DE2" w:rsidRDefault="00B87DE2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Default="006C6550">
      <w:pPr>
        <w:spacing w:after="0"/>
        <w:ind w:left="120"/>
        <w:rPr>
          <w:lang w:val="sk-SK"/>
        </w:rPr>
      </w:pPr>
    </w:p>
    <w:p w:rsidR="006C6550" w:rsidRPr="00085637" w:rsidRDefault="006C6550">
      <w:pPr>
        <w:spacing w:after="0"/>
        <w:ind w:left="120"/>
        <w:rPr>
          <w:lang w:val="sk-SK"/>
        </w:rPr>
      </w:pPr>
    </w:p>
    <w:p w:rsidR="00A201D3" w:rsidRDefault="00A201D3" w:rsidP="00305E9C">
      <w:pPr>
        <w:spacing w:after="0"/>
        <w:rPr>
          <w:rFonts w:ascii="Times New Roman" w:hAnsi="Times New Roman"/>
          <w:b/>
          <w:color w:val="000000"/>
          <w:lang w:val="sk-SK"/>
        </w:rPr>
      </w:pPr>
      <w:bookmarkStart w:id="79" w:name="prilohy.priloha-priloha_c_6_k_nariadeniu"/>
      <w:bookmarkEnd w:id="78"/>
    </w:p>
    <w:p w:rsidR="007467FC" w:rsidRDefault="00E839D6" w:rsidP="00305E9C">
      <w:pPr>
        <w:spacing w:after="0"/>
        <w:rPr>
          <w:rFonts w:ascii="Times New Roman" w:hAnsi="Times New Roman"/>
          <w:b/>
          <w:color w:val="000000"/>
          <w:lang w:val="sk-SK"/>
        </w:rPr>
      </w:pPr>
      <w:r w:rsidRPr="00A201D3">
        <w:rPr>
          <w:rFonts w:ascii="Times New Roman" w:hAnsi="Times New Roman"/>
          <w:b/>
          <w:color w:val="000000"/>
          <w:lang w:val="sk-SK"/>
        </w:rPr>
        <w:t xml:space="preserve">Príloha č. 6 k nariadeniu vlády č. 668/2004 Z. z. </w:t>
      </w:r>
    </w:p>
    <w:p w:rsidR="00A201D3" w:rsidRPr="00A201D3" w:rsidRDefault="00A201D3" w:rsidP="00305E9C">
      <w:pPr>
        <w:spacing w:after="0"/>
        <w:rPr>
          <w:b/>
          <w:lang w:val="sk-SK"/>
        </w:rPr>
      </w:pPr>
    </w:p>
    <w:p w:rsidR="007467FC" w:rsidRPr="00A201D3" w:rsidRDefault="00E839D6" w:rsidP="00305E9C">
      <w:pPr>
        <w:spacing w:after="0"/>
        <w:rPr>
          <w:b/>
          <w:lang w:val="sk-SK"/>
        </w:rPr>
      </w:pPr>
      <w:r w:rsidRPr="00A201D3">
        <w:rPr>
          <w:rFonts w:ascii="Times New Roman" w:hAnsi="Times New Roman"/>
          <w:b/>
          <w:color w:val="000000"/>
          <w:lang w:val="sk-SK"/>
        </w:rPr>
        <w:t xml:space="preserve">KOEFICIENTY NA VÝPOČET PODIELU VYŠŠIEHO ÚZEMNÉHO CELKU NA VÝNOSE DANE 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96"/>
        <w:gridCol w:w="1677"/>
        <w:gridCol w:w="1677"/>
        <w:gridCol w:w="1677"/>
        <w:gridCol w:w="1677"/>
      </w:tblGrid>
      <w:tr w:rsidR="007467FC" w:rsidRPr="00085637">
        <w:trPr>
          <w:trHeight w:val="300"/>
          <w:tblCellSpacing w:w="0" w:type="dxa"/>
        </w:trPr>
        <w:tc>
          <w:tcPr>
            <w:tcW w:w="27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Vyšší územný celok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Rok</w:t>
            </w:r>
          </w:p>
        </w:tc>
      </w:tr>
      <w:tr w:rsidR="007467FC" w:rsidRPr="00085637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467FC" w:rsidRPr="00085637" w:rsidRDefault="007467FC">
            <w:pPr>
              <w:rPr>
                <w:lang w:val="sk-SK"/>
              </w:rPr>
            </w:pP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2015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2016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2017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b/>
                <w:color w:val="000000"/>
                <w:lang w:val="sk-SK"/>
              </w:rPr>
              <w:t>2018+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Bratislavský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1,39838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1,34979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1,30120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1,25261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Trnavský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1,01229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1,01676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1,02123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1,02570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Trenčiansky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0,97369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0,97819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0,98268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0,98718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Nitriansky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0,99921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1,00368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1,00815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1,01263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Žilinský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0,99980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1,00427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1,00874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1,01322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Banskobystrický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0,93111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0,93554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0,93998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0,94442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Prešovský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0,93001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0,93445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0,93890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0,94334</w:t>
            </w:r>
          </w:p>
        </w:tc>
      </w:tr>
      <w:tr w:rsidR="007467FC" w:rsidRPr="00085637">
        <w:trPr>
          <w:trHeight w:val="285"/>
          <w:tblCellSpacing w:w="0" w:type="dxa"/>
        </w:trPr>
        <w:tc>
          <w:tcPr>
            <w:tcW w:w="27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Košický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0,92437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0,92882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>0,93327</w:t>
            </w:r>
          </w:p>
        </w:tc>
        <w:tc>
          <w:tcPr>
            <w:tcW w:w="1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67FC" w:rsidRPr="00085637" w:rsidRDefault="00E839D6">
            <w:pPr>
              <w:spacing w:after="0"/>
              <w:rPr>
                <w:lang w:val="sk-SK"/>
              </w:rPr>
            </w:pPr>
            <w:r w:rsidRPr="00085637">
              <w:rPr>
                <w:rFonts w:ascii="Times New Roman" w:hAnsi="Times New Roman"/>
                <w:color w:val="000000"/>
                <w:lang w:val="sk-SK"/>
              </w:rPr>
              <w:t xml:space="preserve">0,93772 </w:t>
            </w:r>
          </w:p>
        </w:tc>
      </w:tr>
    </w:tbl>
    <w:p w:rsidR="007467FC" w:rsidRPr="00085637" w:rsidRDefault="007467FC">
      <w:pPr>
        <w:spacing w:after="0"/>
        <w:ind w:left="120"/>
        <w:rPr>
          <w:lang w:val="sk-SK"/>
        </w:rPr>
      </w:pPr>
    </w:p>
    <w:p w:rsidR="007467FC" w:rsidRPr="00085637" w:rsidRDefault="00E839D6">
      <w:pPr>
        <w:spacing w:after="0"/>
        <w:ind w:left="120"/>
        <w:rPr>
          <w:lang w:val="sk-SK"/>
        </w:rPr>
      </w:pPr>
      <w:bookmarkStart w:id="80" w:name="poznamky.poznamka-1"/>
      <w:bookmarkStart w:id="81" w:name="poznamky"/>
      <w:bookmarkEnd w:id="75"/>
      <w:bookmarkEnd w:id="79"/>
      <w:r w:rsidRPr="00085637">
        <w:rPr>
          <w:rFonts w:ascii="Times New Roman" w:hAnsi="Times New Roman"/>
          <w:color w:val="000000"/>
          <w:lang w:val="sk-SK"/>
        </w:rPr>
        <w:t xml:space="preserve"> </w:t>
      </w:r>
      <w:bookmarkStart w:id="82" w:name="poznamky.poznamka-1.oznacenie"/>
      <w:r w:rsidRPr="00085637">
        <w:rPr>
          <w:rFonts w:ascii="Times New Roman" w:hAnsi="Times New Roman"/>
          <w:color w:val="000000"/>
          <w:lang w:val="sk-SK"/>
        </w:rPr>
        <w:t xml:space="preserve">1) </w:t>
      </w:r>
      <w:bookmarkEnd w:id="82"/>
      <w:r w:rsidRPr="00085637">
        <w:rPr>
          <w:lang w:val="sk-SK"/>
        </w:rPr>
        <w:fldChar w:fldCharType="begin"/>
      </w:r>
      <w:r w:rsidRPr="00085637">
        <w:rPr>
          <w:lang w:val="sk-SK"/>
        </w:rPr>
        <w:instrText xml:space="preserve"> HYPERLINK "https://www.slov-lex.sk/pravne-predpisy/SK/ZZ/2003/597/" \l "paragraf-7a" \h </w:instrText>
      </w:r>
      <w:r w:rsidRPr="00085637">
        <w:rPr>
          <w:lang w:val="sk-SK"/>
        </w:rPr>
        <w:fldChar w:fldCharType="separate"/>
      </w:r>
      <w:r w:rsidRPr="00085637">
        <w:rPr>
          <w:rFonts w:ascii="Times New Roman" w:hAnsi="Times New Roman"/>
          <w:color w:val="0000FF"/>
          <w:u w:val="single"/>
          <w:lang w:val="sk-SK"/>
        </w:rPr>
        <w:t>§ 7a</w:t>
      </w:r>
      <w:r w:rsidRPr="00085637">
        <w:rPr>
          <w:rFonts w:ascii="Times New Roman" w:hAnsi="Times New Roman"/>
          <w:color w:val="0000FF"/>
          <w:u w:val="single"/>
          <w:lang w:val="sk-SK"/>
        </w:rPr>
        <w:fldChar w:fldCharType="end"/>
      </w:r>
      <w:r w:rsidRPr="00085637">
        <w:rPr>
          <w:rFonts w:ascii="Times New Roman" w:hAnsi="Times New Roman"/>
          <w:color w:val="000000"/>
          <w:lang w:val="sk-SK"/>
        </w:rPr>
        <w:t xml:space="preserve"> a </w:t>
      </w:r>
      <w:hyperlink r:id="rId13" w:anchor="paragraf-9d">
        <w:r w:rsidRPr="00085637">
          <w:rPr>
            <w:rFonts w:ascii="Times New Roman" w:hAnsi="Times New Roman"/>
            <w:color w:val="0000FF"/>
            <w:u w:val="single"/>
            <w:lang w:val="sk-SK"/>
          </w:rPr>
          <w:t>9d zákona č. 597/2003 Z. z.</w:t>
        </w:r>
      </w:hyperlink>
      <w:bookmarkStart w:id="83" w:name="poznamky.poznamka-1.text"/>
      <w:r w:rsidRPr="00085637">
        <w:rPr>
          <w:rFonts w:ascii="Times New Roman" w:hAnsi="Times New Roman"/>
          <w:color w:val="000000"/>
          <w:lang w:val="sk-SK"/>
        </w:rPr>
        <w:t xml:space="preserve"> o financovaní základných škôl, stredných škôl a školských zariadení v znení neskorších predpisov. </w:t>
      </w:r>
      <w:bookmarkEnd w:id="83"/>
    </w:p>
    <w:p w:rsidR="007467FC" w:rsidRPr="00085637" w:rsidRDefault="007467FC">
      <w:pPr>
        <w:spacing w:after="0"/>
        <w:ind w:left="120"/>
        <w:rPr>
          <w:lang w:val="sk-SK"/>
        </w:rPr>
      </w:pPr>
      <w:bookmarkStart w:id="84" w:name="iri"/>
      <w:bookmarkEnd w:id="80"/>
      <w:bookmarkEnd w:id="81"/>
      <w:bookmarkEnd w:id="84"/>
    </w:p>
    <w:sectPr w:rsidR="007467FC" w:rsidRPr="00085637" w:rsidSect="0091159B">
      <w:footerReference w:type="default" r:id="rId14"/>
      <w:pgSz w:w="11907" w:h="16839" w:code="9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70A" w:rsidRDefault="00A7570A" w:rsidP="00DB5815">
      <w:pPr>
        <w:spacing w:after="0" w:line="240" w:lineRule="auto"/>
      </w:pPr>
      <w:r>
        <w:separator/>
      </w:r>
    </w:p>
  </w:endnote>
  <w:endnote w:type="continuationSeparator" w:id="0">
    <w:p w:rsidR="00A7570A" w:rsidRDefault="00A7570A" w:rsidP="00DB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038636"/>
      <w:docPartObj>
        <w:docPartGallery w:val="Page Numbers (Bottom of Page)"/>
        <w:docPartUnique/>
      </w:docPartObj>
    </w:sdtPr>
    <w:sdtEndPr/>
    <w:sdtContent>
      <w:p w:rsidR="00DB5815" w:rsidRDefault="00DB581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91E" w:rsidRPr="00AF591E">
          <w:rPr>
            <w:noProof/>
            <w:lang w:val="sk-SK"/>
          </w:rPr>
          <w:t>1</w:t>
        </w:r>
        <w:r>
          <w:fldChar w:fldCharType="end"/>
        </w:r>
      </w:p>
    </w:sdtContent>
  </w:sdt>
  <w:p w:rsidR="00DB5815" w:rsidRDefault="00DB58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70A" w:rsidRDefault="00A7570A" w:rsidP="00DB5815">
      <w:pPr>
        <w:spacing w:after="0" w:line="240" w:lineRule="auto"/>
      </w:pPr>
      <w:r>
        <w:separator/>
      </w:r>
    </w:p>
  </w:footnote>
  <w:footnote w:type="continuationSeparator" w:id="0">
    <w:p w:rsidR="00A7570A" w:rsidRDefault="00A7570A" w:rsidP="00DB5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FC"/>
    <w:rsid w:val="00004C66"/>
    <w:rsid w:val="000160CD"/>
    <w:rsid w:val="0005137B"/>
    <w:rsid w:val="000716FD"/>
    <w:rsid w:val="000720C7"/>
    <w:rsid w:val="00085637"/>
    <w:rsid w:val="000A2910"/>
    <w:rsid w:val="000A2AF0"/>
    <w:rsid w:val="000B6BD6"/>
    <w:rsid w:val="000C0419"/>
    <w:rsid w:val="000C2C6B"/>
    <w:rsid w:val="000C4E76"/>
    <w:rsid w:val="000C5651"/>
    <w:rsid w:val="000C71BE"/>
    <w:rsid w:val="000D1820"/>
    <w:rsid w:val="00112BCD"/>
    <w:rsid w:val="00120978"/>
    <w:rsid w:val="001227E8"/>
    <w:rsid w:val="001325C6"/>
    <w:rsid w:val="00173481"/>
    <w:rsid w:val="00176167"/>
    <w:rsid w:val="00180116"/>
    <w:rsid w:val="0018637B"/>
    <w:rsid w:val="00193639"/>
    <w:rsid w:val="001F0D22"/>
    <w:rsid w:val="001F119E"/>
    <w:rsid w:val="002013D5"/>
    <w:rsid w:val="0022375C"/>
    <w:rsid w:val="0022566A"/>
    <w:rsid w:val="00231746"/>
    <w:rsid w:val="00243BDF"/>
    <w:rsid w:val="002458B0"/>
    <w:rsid w:val="002466F2"/>
    <w:rsid w:val="00260E7D"/>
    <w:rsid w:val="002703A4"/>
    <w:rsid w:val="0029009C"/>
    <w:rsid w:val="00293DE6"/>
    <w:rsid w:val="002A5DA7"/>
    <w:rsid w:val="002C0313"/>
    <w:rsid w:val="002D40B1"/>
    <w:rsid w:val="002F74E9"/>
    <w:rsid w:val="00305E9C"/>
    <w:rsid w:val="00333ACE"/>
    <w:rsid w:val="00334FDC"/>
    <w:rsid w:val="00350442"/>
    <w:rsid w:val="0035100F"/>
    <w:rsid w:val="00367AB5"/>
    <w:rsid w:val="00375E8B"/>
    <w:rsid w:val="003876DA"/>
    <w:rsid w:val="003A2E5E"/>
    <w:rsid w:val="003E28A7"/>
    <w:rsid w:val="00420A97"/>
    <w:rsid w:val="004529A4"/>
    <w:rsid w:val="004567FE"/>
    <w:rsid w:val="00466CCE"/>
    <w:rsid w:val="004A4FE3"/>
    <w:rsid w:val="004D7449"/>
    <w:rsid w:val="004E4891"/>
    <w:rsid w:val="00513159"/>
    <w:rsid w:val="00514D53"/>
    <w:rsid w:val="005259E5"/>
    <w:rsid w:val="00537544"/>
    <w:rsid w:val="0056021C"/>
    <w:rsid w:val="005653AB"/>
    <w:rsid w:val="00575C59"/>
    <w:rsid w:val="00597977"/>
    <w:rsid w:val="005F5FBC"/>
    <w:rsid w:val="00600F99"/>
    <w:rsid w:val="00620403"/>
    <w:rsid w:val="00621845"/>
    <w:rsid w:val="00632826"/>
    <w:rsid w:val="006706DF"/>
    <w:rsid w:val="006C6550"/>
    <w:rsid w:val="006F30BF"/>
    <w:rsid w:val="00704F0D"/>
    <w:rsid w:val="00732B8D"/>
    <w:rsid w:val="007340AD"/>
    <w:rsid w:val="00735DEB"/>
    <w:rsid w:val="0073660C"/>
    <w:rsid w:val="007467FC"/>
    <w:rsid w:val="00751941"/>
    <w:rsid w:val="00774219"/>
    <w:rsid w:val="00782D5A"/>
    <w:rsid w:val="007A16CF"/>
    <w:rsid w:val="007B09B1"/>
    <w:rsid w:val="007C2870"/>
    <w:rsid w:val="007F37BF"/>
    <w:rsid w:val="007F6DEB"/>
    <w:rsid w:val="00815289"/>
    <w:rsid w:val="00822BA4"/>
    <w:rsid w:val="00823BDB"/>
    <w:rsid w:val="0085497E"/>
    <w:rsid w:val="00855BDE"/>
    <w:rsid w:val="00885199"/>
    <w:rsid w:val="008F52EA"/>
    <w:rsid w:val="008F6103"/>
    <w:rsid w:val="0091159B"/>
    <w:rsid w:val="009258A0"/>
    <w:rsid w:val="009553CC"/>
    <w:rsid w:val="00960B24"/>
    <w:rsid w:val="00975D0A"/>
    <w:rsid w:val="00980A26"/>
    <w:rsid w:val="0098332C"/>
    <w:rsid w:val="009869AD"/>
    <w:rsid w:val="00987FB4"/>
    <w:rsid w:val="009A4EAB"/>
    <w:rsid w:val="009A7A6E"/>
    <w:rsid w:val="009C3C72"/>
    <w:rsid w:val="009D1D35"/>
    <w:rsid w:val="009D4C83"/>
    <w:rsid w:val="009E1DB8"/>
    <w:rsid w:val="009F668D"/>
    <w:rsid w:val="00A02DB0"/>
    <w:rsid w:val="00A10693"/>
    <w:rsid w:val="00A201D3"/>
    <w:rsid w:val="00A35CA3"/>
    <w:rsid w:val="00A42FF4"/>
    <w:rsid w:val="00A50A18"/>
    <w:rsid w:val="00A57C51"/>
    <w:rsid w:val="00A62556"/>
    <w:rsid w:val="00A62BF6"/>
    <w:rsid w:val="00A6594C"/>
    <w:rsid w:val="00A7570A"/>
    <w:rsid w:val="00A77298"/>
    <w:rsid w:val="00A9731B"/>
    <w:rsid w:val="00AB04BF"/>
    <w:rsid w:val="00AC0B28"/>
    <w:rsid w:val="00AE7D9F"/>
    <w:rsid w:val="00AF3595"/>
    <w:rsid w:val="00AF591E"/>
    <w:rsid w:val="00B146AA"/>
    <w:rsid w:val="00B14DD0"/>
    <w:rsid w:val="00B27AC1"/>
    <w:rsid w:val="00B87DE2"/>
    <w:rsid w:val="00B96E27"/>
    <w:rsid w:val="00C03190"/>
    <w:rsid w:val="00C07641"/>
    <w:rsid w:val="00C5061A"/>
    <w:rsid w:val="00C50C6A"/>
    <w:rsid w:val="00C67DF6"/>
    <w:rsid w:val="00C95325"/>
    <w:rsid w:val="00CA3CA3"/>
    <w:rsid w:val="00CC7F80"/>
    <w:rsid w:val="00CD51B9"/>
    <w:rsid w:val="00CE55D1"/>
    <w:rsid w:val="00D134BF"/>
    <w:rsid w:val="00D23B65"/>
    <w:rsid w:val="00D43F97"/>
    <w:rsid w:val="00D44D16"/>
    <w:rsid w:val="00D74B7F"/>
    <w:rsid w:val="00DA7B4D"/>
    <w:rsid w:val="00DB5815"/>
    <w:rsid w:val="00DB73E6"/>
    <w:rsid w:val="00DD7E34"/>
    <w:rsid w:val="00E175C5"/>
    <w:rsid w:val="00E33461"/>
    <w:rsid w:val="00E46E40"/>
    <w:rsid w:val="00E6260F"/>
    <w:rsid w:val="00E839D6"/>
    <w:rsid w:val="00E92D55"/>
    <w:rsid w:val="00EB3DE0"/>
    <w:rsid w:val="00ED1DB8"/>
    <w:rsid w:val="00EE1850"/>
    <w:rsid w:val="00EF4FBB"/>
    <w:rsid w:val="00F01293"/>
    <w:rsid w:val="00F01F51"/>
    <w:rsid w:val="00F54C3D"/>
    <w:rsid w:val="00F73DDB"/>
    <w:rsid w:val="00FA6149"/>
    <w:rsid w:val="00FB2206"/>
    <w:rsid w:val="00FD510E"/>
    <w:rsid w:val="00FE6AB2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30BF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0A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unhideWhenUsed/>
    <w:rsid w:val="007F37BF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75E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5E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5E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5E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5E8B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B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4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64/" TargetMode="External"/><Relationship Id="rId13" Type="http://schemas.openxmlformats.org/officeDocument/2006/relationships/hyperlink" Target="https://www.slov-lex.sk/pravne-predpisy/SK/ZZ/2003/5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64/" TargetMode="External"/><Relationship Id="rId12" Type="http://schemas.openxmlformats.org/officeDocument/2006/relationships/image" Target="media/image1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04/56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lov-lex.sk/pravne-predpisy/SK/ZZ/2004/5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56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5689C-5E9E-4625-AFE8-771731B3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2024-10-22T13:45:00Z</dcterms:created>
  <dcterms:modified xsi:type="dcterms:W3CDTF">2024-10-22T13:45:00Z</dcterms:modified>
</cp:coreProperties>
</file>