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C83B2" w14:textId="77777777" w:rsidR="00E16308" w:rsidRPr="00502614" w:rsidRDefault="00E16308" w:rsidP="00E16308">
      <w:pPr>
        <w:widowControl w:val="0"/>
        <w:jc w:val="center"/>
        <w:rPr>
          <w:rFonts w:ascii="Times New Roman" w:hAnsi="Times New Roman" w:cs="Times New Roman"/>
          <w:b/>
        </w:rPr>
      </w:pPr>
      <w:r w:rsidRPr="00502614">
        <w:rPr>
          <w:rFonts w:ascii="Times New Roman" w:hAnsi="Times New Roman" w:cs="Times New Roman"/>
          <w:b/>
        </w:rPr>
        <w:t>Dôvodová správa</w:t>
      </w:r>
    </w:p>
    <w:p w14:paraId="02152C58" w14:textId="77777777" w:rsidR="00E16308" w:rsidRPr="00502614" w:rsidRDefault="00E16308" w:rsidP="00E16308">
      <w:pPr>
        <w:widowControl w:val="0"/>
        <w:jc w:val="both"/>
        <w:rPr>
          <w:rFonts w:ascii="Times New Roman" w:hAnsi="Times New Roman" w:cs="Times New Roman"/>
          <w:b/>
        </w:rPr>
      </w:pPr>
    </w:p>
    <w:p w14:paraId="0152D5EF" w14:textId="77777777" w:rsidR="00E16308" w:rsidRPr="00502614" w:rsidRDefault="00E16308" w:rsidP="00E16308">
      <w:pPr>
        <w:widowControl w:val="0"/>
        <w:jc w:val="both"/>
        <w:rPr>
          <w:rFonts w:ascii="Times New Roman" w:hAnsi="Times New Roman" w:cs="Times New Roman"/>
          <w:b/>
        </w:rPr>
      </w:pPr>
      <w:r w:rsidRPr="00502614">
        <w:rPr>
          <w:rFonts w:ascii="Times New Roman" w:hAnsi="Times New Roman" w:cs="Times New Roman"/>
          <w:b/>
        </w:rPr>
        <w:t>B.</w:t>
      </w:r>
      <w:r w:rsidRPr="00502614">
        <w:rPr>
          <w:rFonts w:ascii="Times New Roman" w:hAnsi="Times New Roman" w:cs="Times New Roman"/>
          <w:b/>
        </w:rPr>
        <w:tab/>
        <w:t>Osobitná časť</w:t>
      </w:r>
    </w:p>
    <w:p w14:paraId="0CCAEBEC" w14:textId="77777777" w:rsidR="00DC4B46" w:rsidRDefault="00DC4B46" w:rsidP="00DC4B46">
      <w:pPr>
        <w:rPr>
          <w:rFonts w:ascii="Times New Roman" w:hAnsi="Times New Roman" w:cs="Times New Roman"/>
          <w:b/>
        </w:rPr>
      </w:pPr>
    </w:p>
    <w:p w14:paraId="5FC9856A"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1</w:t>
      </w:r>
    </w:p>
    <w:p w14:paraId="511014B0" w14:textId="77777777" w:rsidR="00DC4B46" w:rsidRPr="007F3800" w:rsidRDefault="00DC4B46" w:rsidP="00E16308">
      <w:pPr>
        <w:ind w:firstLine="708"/>
        <w:jc w:val="both"/>
        <w:rPr>
          <w:rFonts w:ascii="Times New Roman" w:hAnsi="Times New Roman" w:cs="Times New Roman"/>
          <w:b/>
        </w:rPr>
      </w:pPr>
      <w:r w:rsidRPr="007F3800">
        <w:rPr>
          <w:rFonts w:ascii="Times New Roman" w:hAnsi="Times New Roman" w:cs="Times New Roman"/>
        </w:rPr>
        <w:t xml:space="preserve">V § 2 ods. 1 písm. j) sa ustanovuje, že podporu na neprojektové opatrenie možno poskytnúť prijímateľovi podpory, ktorý nie je podnikom v ťažkostiach podľa článku 2 ods. 59 nariadenia Komisie (EÚ) č. 2022/2472, ak ide o podporu na opatrenie v rámci sústavy Natura 2000 na lesnom pozemku alebo na </w:t>
      </w:r>
      <w:proofErr w:type="spellStart"/>
      <w:r w:rsidRPr="007F3800">
        <w:rPr>
          <w:rFonts w:ascii="Times New Roman" w:hAnsi="Times New Roman" w:cs="Times New Roman"/>
        </w:rPr>
        <w:t>lesnícko</w:t>
      </w:r>
      <w:proofErr w:type="spellEnd"/>
      <w:r w:rsidRPr="007F3800">
        <w:rPr>
          <w:rFonts w:ascii="Times New Roman" w:hAnsi="Times New Roman" w:cs="Times New Roman"/>
        </w:rPr>
        <w:t xml:space="preserve"> – environmentálne a klimatické služby a ochranu lesov alebo o podporu na založenie </w:t>
      </w:r>
      <w:proofErr w:type="spellStart"/>
      <w:r w:rsidRPr="007F3800">
        <w:rPr>
          <w:rFonts w:ascii="Times New Roman" w:hAnsi="Times New Roman" w:cs="Times New Roman"/>
        </w:rPr>
        <w:t>agrolesníckeho</w:t>
      </w:r>
      <w:proofErr w:type="spellEnd"/>
      <w:r w:rsidRPr="007F3800">
        <w:rPr>
          <w:rFonts w:ascii="Times New Roman" w:hAnsi="Times New Roman" w:cs="Times New Roman"/>
        </w:rPr>
        <w:t xml:space="preserve"> systému alebo na založenie líniových vegetačných prvkov alebo na zalesňovanie ornej pôdy.</w:t>
      </w:r>
    </w:p>
    <w:p w14:paraId="70F69454" w14:textId="77777777" w:rsidR="00DC4B46" w:rsidRDefault="00DC4B46" w:rsidP="00DC4B46">
      <w:pPr>
        <w:rPr>
          <w:rFonts w:ascii="Times New Roman" w:hAnsi="Times New Roman" w:cs="Times New Roman"/>
          <w:b/>
        </w:rPr>
      </w:pPr>
    </w:p>
    <w:p w14:paraId="3EA5460A"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2</w:t>
      </w:r>
    </w:p>
    <w:p w14:paraId="657CBA48" w14:textId="74F05225" w:rsidR="00DC4B46" w:rsidRPr="007F3800" w:rsidRDefault="00DC4B46" w:rsidP="00DC4B46">
      <w:pPr>
        <w:jc w:val="both"/>
        <w:rPr>
          <w:rFonts w:ascii="Times New Roman" w:hAnsi="Times New Roman" w:cs="Times New Roman"/>
        </w:rPr>
      </w:pPr>
      <w:r w:rsidRPr="007F3800">
        <w:rPr>
          <w:rFonts w:ascii="Times New Roman" w:hAnsi="Times New Roman" w:cs="Times New Roman"/>
        </w:rPr>
        <w:t xml:space="preserve"> </w:t>
      </w:r>
      <w:r w:rsidR="00E16308">
        <w:rPr>
          <w:rFonts w:ascii="Times New Roman" w:hAnsi="Times New Roman" w:cs="Times New Roman"/>
        </w:rPr>
        <w:tab/>
      </w:r>
      <w:r w:rsidRPr="007F3800">
        <w:rPr>
          <w:rFonts w:ascii="Times New Roman" w:hAnsi="Times New Roman" w:cs="Times New Roman"/>
        </w:rPr>
        <w:t xml:space="preserve">Návrh 2. modifikácie Strategického plánu Spoločnej poľnohospodárskej politiky 2023 – 2027 (ďalej len „strategický plán“) umožňuje pre rozvoj ekologického hospodárenia prijímať záväzky aj v ďalších rokoch. Vzhľadom na obdobie strategického plánu do roku 2027 a finančnú alokáciu je vhodné prijímať nové záväzky od roku 2025 na skrátené obdobie dvoch rokov. Doplnením v § 2 ods. 4 sa ustanovuje možnosť pre prijímateľa podpory na operácie podľa § 34 ods. 1, vstúpiť do opatrenia/operácie a prijať záväzok na dvojročné obdobie a povinnosť plniť podmienky dva po sebe nasledujúce kalendárne roky, ak ide o žiadosť, ktorú  prijímateľ podpory prvýkrát  podal v roku 2025 alebo v ďalších rokoch, teda sa jedná o nových žiadateľov, ktorí nie sú zaradení v opatrení v päťročnom záväzku. </w:t>
      </w:r>
    </w:p>
    <w:p w14:paraId="7D035563" w14:textId="77777777" w:rsidR="00DC4B46" w:rsidRDefault="00DC4B46" w:rsidP="00DC4B46">
      <w:pPr>
        <w:rPr>
          <w:rFonts w:ascii="Times New Roman" w:hAnsi="Times New Roman" w:cs="Times New Roman"/>
          <w:b/>
        </w:rPr>
      </w:pPr>
    </w:p>
    <w:p w14:paraId="03EFB320"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3</w:t>
      </w:r>
    </w:p>
    <w:p w14:paraId="1DB7855B"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V § 3 ods. 1 sa ustanovuje, ktoré opatrenia možno zmeniť na iné opatrenie alebo operáciu v prípade, ak ide o zmenu s vyšším environmentálnym cieľom počas obdobia viacročného záväzku alebo o posilnenie záväzku alebo  ak to finančná alokácia umožní.</w:t>
      </w:r>
    </w:p>
    <w:p w14:paraId="2483A66A" w14:textId="77777777" w:rsidR="00DC4B46" w:rsidRDefault="00DC4B46" w:rsidP="00DC4B46">
      <w:pPr>
        <w:rPr>
          <w:rFonts w:ascii="Times New Roman" w:hAnsi="Times New Roman" w:cs="Times New Roman"/>
          <w:b/>
        </w:rPr>
      </w:pPr>
    </w:p>
    <w:p w14:paraId="6993E661"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4</w:t>
      </w:r>
    </w:p>
    <w:p w14:paraId="69FA0814"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 xml:space="preserve">Návrh 2. modifikácie strategického plánu vypúšťa fixné koeficienty (% vyjadrenie) pre krátenie jednotkovej sumy podpory pre oblasti s prírodnými obmedzeniami alebo inými osobitnými obmedzeniami a umožňuje flexibilitu pre ich stanovenie. S ohľadom na potrebu zosúladiť vnútroštátnu právnu úpravu so znením 2. modifikácie strategického plánu dopĺňa sa  § 6 novým znením tak, že sa ustanovenia o poskytnutí podpory v plnej jednotkovej sume vo výmere do 450 ha a jej konkrétne krátenie na ďalšiu výmeru vypúšťajú. Dopĺňa sa ustanovenie, ktoré umožní zverejňovať koeficient krátenia jednotkovej sumy podpory vo Vestníku Ministerstva pôdohospodárstva a rozvoja vidieka Slovenskej republiky. Uvedenou úpravou sa získa potrebná flexibilita pre efektívne riadenie orientačnej finančnej alokácie v opatrení. V prípade nedostatku prostriedkov vo finančnej alokácii sa výška poskytovanej podpory zníži prostredníctvom koeficientu krátenia jednotkovej sumy. </w:t>
      </w:r>
    </w:p>
    <w:p w14:paraId="3814D63C" w14:textId="77777777" w:rsidR="00DC4B46" w:rsidRPr="007F3800" w:rsidRDefault="00DC4B46" w:rsidP="00DC4B46">
      <w:pPr>
        <w:jc w:val="both"/>
        <w:rPr>
          <w:rFonts w:ascii="Times New Roman" w:hAnsi="Times New Roman" w:cs="Times New Roman"/>
          <w:b/>
        </w:rPr>
      </w:pPr>
    </w:p>
    <w:p w14:paraId="126B9603" w14:textId="77777777" w:rsidR="00DC4B46" w:rsidRPr="007F3800" w:rsidRDefault="00DC4B46" w:rsidP="00DC4B46">
      <w:pPr>
        <w:jc w:val="both"/>
        <w:rPr>
          <w:rFonts w:ascii="Times New Roman" w:hAnsi="Times New Roman" w:cs="Times New Roman"/>
        </w:rPr>
      </w:pPr>
      <w:r w:rsidRPr="007F3800">
        <w:rPr>
          <w:rFonts w:ascii="Times New Roman" w:hAnsi="Times New Roman" w:cs="Times New Roman"/>
          <w:b/>
        </w:rPr>
        <w:t>K bodu 5</w:t>
      </w:r>
      <w:r w:rsidRPr="007F3800">
        <w:rPr>
          <w:rFonts w:ascii="Times New Roman" w:hAnsi="Times New Roman" w:cs="Times New Roman"/>
        </w:rPr>
        <w:t xml:space="preserve"> </w:t>
      </w:r>
    </w:p>
    <w:p w14:paraId="4466BF3D"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Spresňuje sa znenie odkazu pod čiarou, ktorý odkazuje na spôsob  a rozsah odberu pôdnych vzoriek pre zisťovanie stanovených  parametrov pre podmienku príslušnej operácie /opatrenie a je upravený v § 2 ods. 3 a 4 písm. a)  vyhláške Ministerstva pôdohospodárstva a rozvoja vidieka Slovenskej republiky č. 151/2016 Z. z., ktorou sa ustanovujú podrobnosti o agrochemickom skúšaní pôd a o skladovaní a používaní hnojív.</w:t>
      </w:r>
    </w:p>
    <w:p w14:paraId="34C3724F" w14:textId="77777777" w:rsidR="00DC4B46" w:rsidRDefault="00DC4B46" w:rsidP="00DC4B46">
      <w:pPr>
        <w:rPr>
          <w:rFonts w:ascii="Times New Roman" w:hAnsi="Times New Roman" w:cs="Times New Roman"/>
          <w:b/>
        </w:rPr>
      </w:pPr>
    </w:p>
    <w:p w14:paraId="490510CC"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bodom 6 a 7</w:t>
      </w:r>
    </w:p>
    <w:p w14:paraId="6262429E"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 xml:space="preserve">V  § 24 ods. 5 sa zavádza legislatívna skratka pre Ústredný kontrolný a skúšobný ústav poľnohospodársky v Bratislave a v § 25 ods. 4 písm. f) sa vkladá odkaz na spôsob odberu </w:t>
      </w:r>
      <w:r w:rsidRPr="007F3800">
        <w:rPr>
          <w:rFonts w:ascii="Times New Roman" w:hAnsi="Times New Roman" w:cs="Times New Roman"/>
        </w:rPr>
        <w:lastRenderedPageBreak/>
        <w:t xml:space="preserve">pôdnych vzoriek a  umiestňuje sa odkaz na § 2 ods. 3 a ods. 4 písm. a)  vyhlášky Ministerstva pôdohospodárstva a rozvoja vidieka Slovenskej republiky č. 151/2016 Z. z., ktorou sa ustanovujú podrobnosti o agrochemickom skúšaní pôd a o skladovaní hnojív. </w:t>
      </w:r>
    </w:p>
    <w:p w14:paraId="6EA27F70" w14:textId="77777777" w:rsidR="00DC4B46" w:rsidRDefault="00DC4B46" w:rsidP="00DC4B46">
      <w:pPr>
        <w:rPr>
          <w:rFonts w:ascii="Times New Roman" w:hAnsi="Times New Roman" w:cs="Times New Roman"/>
          <w:b/>
        </w:rPr>
      </w:pPr>
    </w:p>
    <w:p w14:paraId="6AFFD5EF"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8</w:t>
      </w:r>
    </w:p>
    <w:p w14:paraId="73BF218A"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 xml:space="preserve">Úpravou textu v § 25 ods. 6, § 26 ods. 5 a v § 27 ods. 5  sa upravuje už ustanovená povinnosť prijímateľa podpory zaslať platobnej agentúre výsledky všetkých vykonaných povinných rozborov za kalendárny rok, v ktorom bola správa o </w:t>
      </w:r>
      <w:r w:rsidRPr="007F3800">
        <w:t xml:space="preserve"> </w:t>
      </w:r>
      <w:r w:rsidRPr="007F3800">
        <w:rPr>
          <w:rFonts w:ascii="Times New Roman" w:hAnsi="Times New Roman" w:cs="Times New Roman"/>
        </w:rPr>
        <w:t>prevzatí a skúšaní vzorky vystavená a analytické rozbory  boli vykonané akreditovanou inštitúciou, na povinnosť zaslať kópie výsledkov rozborov, čo je  postačujúci doklad  pre overenie splnenia podmienok pre priznanie podpory administratívnou kontrolou.</w:t>
      </w:r>
    </w:p>
    <w:p w14:paraId="0676A4BF" w14:textId="77777777" w:rsidR="00DC4B46" w:rsidRDefault="00DC4B46" w:rsidP="00DC4B46">
      <w:pPr>
        <w:jc w:val="both"/>
        <w:rPr>
          <w:rFonts w:ascii="Times New Roman" w:hAnsi="Times New Roman" w:cs="Times New Roman"/>
          <w:b/>
        </w:rPr>
      </w:pPr>
    </w:p>
    <w:p w14:paraId="109ADF5F" w14:textId="77777777" w:rsidR="00DC4B46" w:rsidRPr="007F3800" w:rsidRDefault="00DC4B46" w:rsidP="00DC4B46">
      <w:pPr>
        <w:jc w:val="both"/>
        <w:rPr>
          <w:rFonts w:ascii="Times New Roman" w:hAnsi="Times New Roman" w:cs="Times New Roman"/>
          <w:b/>
        </w:rPr>
      </w:pPr>
      <w:r w:rsidRPr="007F3800">
        <w:rPr>
          <w:rFonts w:ascii="Times New Roman" w:hAnsi="Times New Roman" w:cs="Times New Roman"/>
          <w:b/>
        </w:rPr>
        <w:t>K bodu 9</w:t>
      </w:r>
    </w:p>
    <w:p w14:paraId="20780AE4"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 xml:space="preserve">Pre operáciu Šetrné hospodárenie v ovocinárstve sa pre preukázanie plnenia podmienok ustanovuje   povinnosť predkladať kontrolnému ústavu evidenciu spotreby prípravkov na ochranu rastlín  aj pri nulovej spotrebe prípravkov na ochranu rastlín.  Na základe aplikačnej praxe vyplynula potreba sledovať aj tých žiadateľov o podporu zaradených do tejto operácie, ktorí neaplikovali žiadne prípravky na ochranu rastlín, ani tie zo zoznamu povolených pre tento spôsob hospodárenia. Preto,  na účely administratívnej kontroly, je potrebné evidovať aj žiadateľov o podporu s nulovou aplikáciou obdobne ako je ustanovené v § 24. Evidenciu vedie kontrolný ústav podľa § 35 ods. 2 zákona č. 405/2011 Z. z. a prílohy č. 1 k vyhláške Ministerstva pôdohospodárstva a rozvoja vidieka Slovenskej republiky č. 491/2011 Z. z. o vedení záznamov o prípravkoch na ochranu rastlín a nahlasovaní údajov, podmienkach a postupoch pri skladovaní a manipulácii s prípravkami na ochranu rastlín a čistení použitých aplikačných zariadení, je každý profesionálny používateľ povinný viesť evidenciu spotreby prípravkov na ochranu rastlín a predkladať ju kontrolnému ústavu každoročne. </w:t>
      </w:r>
    </w:p>
    <w:p w14:paraId="38469C54" w14:textId="77777777" w:rsidR="00DC4B46" w:rsidRDefault="00DC4B46" w:rsidP="00DC4B46">
      <w:pPr>
        <w:jc w:val="both"/>
        <w:rPr>
          <w:rFonts w:ascii="Times New Roman" w:hAnsi="Times New Roman" w:cs="Times New Roman"/>
          <w:b/>
        </w:rPr>
      </w:pPr>
    </w:p>
    <w:p w14:paraId="07E811A5" w14:textId="77777777" w:rsidR="00DC4B46" w:rsidRPr="007F3800" w:rsidRDefault="00DC4B46" w:rsidP="00DC4B46">
      <w:pPr>
        <w:jc w:val="both"/>
        <w:rPr>
          <w:rFonts w:ascii="Times New Roman" w:hAnsi="Times New Roman" w:cs="Times New Roman"/>
          <w:b/>
        </w:rPr>
      </w:pPr>
      <w:r w:rsidRPr="007F3800">
        <w:rPr>
          <w:rFonts w:ascii="Times New Roman" w:hAnsi="Times New Roman" w:cs="Times New Roman"/>
          <w:b/>
        </w:rPr>
        <w:t>K bodu 10</w:t>
      </w:r>
    </w:p>
    <w:p w14:paraId="6CF99339"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 xml:space="preserve">Vinohrady vo vinohradníckom registri sú registrované na základe zákona č. 313/2009 Z. z. o vinohradníctve a vinárstve v znení neskorších predpisov s počtom jedincov na 1 ha vinohradu.  Pôdohospodárska platobná agentúra pri výkone administratívnych kontrol žiada kontrolný ústav (ÚKSÚP), ktorý vedie register vinohradov,  o podklady z registra o plnení podmienky  zapojenia porastu minimálne 3 000 krov viniča na hektár.  Keďže definícia plochy oprávnenej  na  platbu je plocha  vinice, ktorá zahŕňa čistú plochu vinohradu spolu so súvislým manipulačným priestorom podľa definície v § 27 ods. 2 nariadenia vlády, dochádza k nezrovnalostiam v prepočte krov viniča na 1 hektár. Preto sa navrhuje minimálny počet krov viniča na 1 hektár oprávnenej plochy  2 500 ks  pre plnenie podmienky operácie. </w:t>
      </w:r>
    </w:p>
    <w:p w14:paraId="3D91D8F5" w14:textId="77777777" w:rsidR="00DC4B46" w:rsidRDefault="00DC4B46" w:rsidP="00DC4B46">
      <w:pPr>
        <w:jc w:val="both"/>
        <w:rPr>
          <w:rFonts w:ascii="Times New Roman" w:hAnsi="Times New Roman" w:cs="Times New Roman"/>
          <w:b/>
        </w:rPr>
      </w:pPr>
    </w:p>
    <w:p w14:paraId="1F3D1489" w14:textId="77777777" w:rsidR="00DC4B46" w:rsidRPr="007F3800" w:rsidRDefault="00DC4B46" w:rsidP="00DC4B46">
      <w:pPr>
        <w:jc w:val="both"/>
        <w:rPr>
          <w:rFonts w:ascii="Times New Roman" w:hAnsi="Times New Roman" w:cs="Times New Roman"/>
          <w:b/>
        </w:rPr>
      </w:pPr>
      <w:r w:rsidRPr="007F3800">
        <w:rPr>
          <w:rFonts w:ascii="Times New Roman" w:hAnsi="Times New Roman" w:cs="Times New Roman"/>
          <w:b/>
        </w:rPr>
        <w:t>K bodu 11</w:t>
      </w:r>
    </w:p>
    <w:p w14:paraId="054983F8"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 xml:space="preserve">V §  30 ods. 2 písm. a)  piatom bode sa  doplnením možnosti pasenia jednoznačne upraví možnosť pre prijímateľa podpory, vybrať si podľa spôsobu hospodárenia, ktorá lepšie vyhovuje daným podmienkam. </w:t>
      </w:r>
    </w:p>
    <w:p w14:paraId="5A875502" w14:textId="77777777" w:rsidR="00A12C8E" w:rsidRDefault="00A12C8E" w:rsidP="00DC4B46">
      <w:pPr>
        <w:rPr>
          <w:rFonts w:ascii="Times New Roman" w:hAnsi="Times New Roman" w:cs="Times New Roman"/>
          <w:b/>
        </w:rPr>
      </w:pPr>
    </w:p>
    <w:p w14:paraId="0DD00774"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12</w:t>
      </w:r>
    </w:p>
    <w:p w14:paraId="00BAAC9C" w14:textId="02A6925A"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Dopĺňa sa zníženie platby v prípade, ak prijímateľ podpory neplní povinnosť ustanovenú v § 26 ods.6.</w:t>
      </w:r>
    </w:p>
    <w:p w14:paraId="08D57D71" w14:textId="370DCD6E" w:rsidR="00DC4B46" w:rsidRDefault="00DC4B46" w:rsidP="00DC4B46">
      <w:pPr>
        <w:rPr>
          <w:rFonts w:ascii="Times New Roman" w:hAnsi="Times New Roman" w:cs="Times New Roman"/>
          <w:b/>
        </w:rPr>
      </w:pPr>
    </w:p>
    <w:p w14:paraId="0139FAA2"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13</w:t>
      </w:r>
    </w:p>
    <w:p w14:paraId="2850D8E1"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Legislatívno-technická úprava v súvislosti s úpravou textu podľa bodu 8.</w:t>
      </w:r>
    </w:p>
    <w:p w14:paraId="409CFE87" w14:textId="77777777" w:rsidR="00DC4B46" w:rsidRDefault="00DC4B46" w:rsidP="00DC4B46">
      <w:pPr>
        <w:jc w:val="both"/>
        <w:rPr>
          <w:rFonts w:ascii="Times New Roman" w:hAnsi="Times New Roman" w:cs="Times New Roman"/>
          <w:b/>
        </w:rPr>
      </w:pPr>
    </w:p>
    <w:p w14:paraId="2DECA3B3" w14:textId="77777777" w:rsidR="00E16308" w:rsidRDefault="00E16308" w:rsidP="00DC4B46">
      <w:pPr>
        <w:jc w:val="both"/>
        <w:rPr>
          <w:rFonts w:ascii="Times New Roman" w:hAnsi="Times New Roman" w:cs="Times New Roman"/>
          <w:b/>
        </w:rPr>
      </w:pPr>
    </w:p>
    <w:p w14:paraId="61DD5303" w14:textId="3DFCFFC3" w:rsidR="00DC4B46" w:rsidRPr="007F3800" w:rsidRDefault="00DC4B46" w:rsidP="00DC4B46">
      <w:pPr>
        <w:jc w:val="both"/>
        <w:rPr>
          <w:rFonts w:ascii="Times New Roman" w:hAnsi="Times New Roman" w:cs="Times New Roman"/>
        </w:rPr>
      </w:pPr>
      <w:r w:rsidRPr="007F3800">
        <w:rPr>
          <w:rFonts w:ascii="Times New Roman" w:hAnsi="Times New Roman" w:cs="Times New Roman"/>
          <w:b/>
        </w:rPr>
        <w:lastRenderedPageBreak/>
        <w:t>K bodu 14</w:t>
      </w:r>
    </w:p>
    <w:p w14:paraId="02C68F5B"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V § 52 sa v novom  odseku 8 ustanovuje, že podpora na operáciu šetrné hospodárenie podľa § 23 písm. b) a c)  sa prijímateľovi podpory neposkytne vôbec v tom roku, v ktorom sa zistí prekročenie limitných hodnôt rizikových prvkov a to kadmia alebo olova alebo ortuti  stanovených v časti B prílohy č. 8   a   v časti B prílohy č. 11.</w:t>
      </w:r>
      <w:r w:rsidRPr="007F3800">
        <w:t xml:space="preserve"> </w:t>
      </w:r>
      <w:r w:rsidRPr="007F3800">
        <w:rPr>
          <w:rFonts w:ascii="Times New Roman" w:hAnsi="Times New Roman" w:cs="Times New Roman"/>
        </w:rPr>
        <w:t>Platný dôvod neposkytnutia podpory na operácie podľa § 12 je ponechaný v písmene a).</w:t>
      </w:r>
    </w:p>
    <w:p w14:paraId="167653CD" w14:textId="77777777" w:rsidR="00DC4B46" w:rsidRDefault="00DC4B46" w:rsidP="00DC4B46">
      <w:pPr>
        <w:jc w:val="both"/>
        <w:rPr>
          <w:rFonts w:ascii="Times New Roman" w:hAnsi="Times New Roman" w:cs="Times New Roman"/>
          <w:b/>
        </w:rPr>
      </w:pPr>
    </w:p>
    <w:p w14:paraId="5479ACBA" w14:textId="77777777" w:rsidR="00DC4B46" w:rsidRPr="007F3800" w:rsidRDefault="00DC4B46" w:rsidP="00DC4B46">
      <w:pPr>
        <w:jc w:val="both"/>
        <w:rPr>
          <w:rFonts w:ascii="Times New Roman" w:hAnsi="Times New Roman" w:cs="Times New Roman"/>
        </w:rPr>
      </w:pPr>
      <w:r w:rsidRPr="007F3800">
        <w:rPr>
          <w:rFonts w:ascii="Times New Roman" w:hAnsi="Times New Roman" w:cs="Times New Roman"/>
          <w:b/>
        </w:rPr>
        <w:t>K bodu 15</w:t>
      </w:r>
      <w:r w:rsidRPr="007F3800">
        <w:rPr>
          <w:rFonts w:ascii="Times New Roman" w:hAnsi="Times New Roman" w:cs="Times New Roman"/>
        </w:rPr>
        <w:t xml:space="preserve"> </w:t>
      </w:r>
    </w:p>
    <w:p w14:paraId="5AE43076"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V prílohe č. 2  prvom bode sa nad slovom „februára“ vypúšťa odkaz na  § 10c ods. 1 zákona č. 136/2000 Z. z. o hnojivách a súčasne sa vypúšťa aj príslušná poznámka pod čiarou. Táto základná podmienka  vyplýva z povinnosti minimálnych požiadaviek na používanie hnojív podľa § 2 ods. 12 a prílohy č. 2,  čím sa spresní rozsah povinnosti pre prijímateľa podpory odlišne od povinnosti vyplývajúcej z podmienok hospodárenia vo vymedzených zraniteľných oblastiach.</w:t>
      </w:r>
    </w:p>
    <w:p w14:paraId="7F241759" w14:textId="77777777" w:rsidR="00DC4B46" w:rsidRDefault="00DC4B46" w:rsidP="00DC4B46">
      <w:pPr>
        <w:rPr>
          <w:rFonts w:ascii="Times New Roman" w:hAnsi="Times New Roman" w:cs="Times New Roman"/>
          <w:b/>
        </w:rPr>
      </w:pPr>
    </w:p>
    <w:p w14:paraId="26A0B489"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16</w:t>
      </w:r>
    </w:p>
    <w:p w14:paraId="7E3AA157"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V prílohe č. 6  časti A písm. a) sa precizuje, že  plán hnojenia pre každý poľnohospodársky pozemok obsahuje údaje týkajúce sa výmery pozemku  v rozsahu podľa  § 6  ods. 1 písm. a) vyhlášky Ministerstva pôdohospodárstva a rozvoja vidieka Slovenskej republiky č. 215/2016 Z. z., ktorou sa ustanovujú podrobnosti o obhospodarovaní poľnohospodárskej pôdy v zraniteľných oblastiach.</w:t>
      </w:r>
    </w:p>
    <w:p w14:paraId="2A4C81F0" w14:textId="77777777" w:rsidR="00DC4B46" w:rsidRDefault="00DC4B46" w:rsidP="00DC4B46">
      <w:pPr>
        <w:rPr>
          <w:rFonts w:ascii="Times New Roman" w:hAnsi="Times New Roman" w:cs="Times New Roman"/>
          <w:b/>
        </w:rPr>
      </w:pPr>
    </w:p>
    <w:p w14:paraId="5421AD6D"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17</w:t>
      </w:r>
    </w:p>
    <w:p w14:paraId="2B071540" w14:textId="408768AA"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 xml:space="preserve">V prílohe č. 6  časti A písm. e) </w:t>
      </w:r>
      <w:r w:rsidR="00D2757B">
        <w:rPr>
          <w:rFonts w:ascii="Times New Roman" w:hAnsi="Times New Roman" w:cs="Times New Roman"/>
        </w:rPr>
        <w:t xml:space="preserve">sa </w:t>
      </w:r>
      <w:r w:rsidRPr="007F3800">
        <w:rPr>
          <w:rFonts w:ascii="Times New Roman" w:hAnsi="Times New Roman" w:cs="Times New Roman"/>
        </w:rPr>
        <w:t xml:space="preserve">spresňuje rozsah požadovaných údajov.  </w:t>
      </w:r>
    </w:p>
    <w:p w14:paraId="49C70C3F" w14:textId="77777777" w:rsidR="00DC4B46" w:rsidRDefault="00DC4B46" w:rsidP="00DC4B46">
      <w:pPr>
        <w:rPr>
          <w:rFonts w:ascii="Times New Roman" w:hAnsi="Times New Roman" w:cs="Times New Roman"/>
          <w:b/>
        </w:rPr>
      </w:pPr>
    </w:p>
    <w:p w14:paraId="742D981D"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bodom 18 a 19</w:t>
      </w:r>
    </w:p>
    <w:p w14:paraId="14317877"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 xml:space="preserve">Upravujú sa prílohy č. 8 a 11. Ide o  úpravu pôvodných hodnôt do samostatných tabuliek  a sprehľadnenie limitných hodnôt rizikových prvkov do samostatných častí.  </w:t>
      </w:r>
    </w:p>
    <w:p w14:paraId="48E71E4F" w14:textId="77777777" w:rsidR="00DC4B46" w:rsidRDefault="00DC4B46" w:rsidP="00DC4B46">
      <w:pPr>
        <w:rPr>
          <w:rFonts w:ascii="Times New Roman" w:hAnsi="Times New Roman" w:cs="Times New Roman"/>
          <w:b/>
        </w:rPr>
      </w:pPr>
    </w:p>
    <w:p w14:paraId="65829590"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 xml:space="preserve">K bodu  20 </w:t>
      </w:r>
    </w:p>
    <w:p w14:paraId="5DB09F7C"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 xml:space="preserve">V prílohe č. 14  časti „Určenie rozsahu porušenia podmienky“ sa navrhuje,  aby sa  pri určovaní rozsahu porušenia podmienky posudzoval aj počet hlásení. Súčasne sa navrhuje malú výmeru, na ktorej nebola podmienka dodržaná,  upraviť z doterajších menej ako 1%“  na menej ako 10 %.  </w:t>
      </w:r>
    </w:p>
    <w:p w14:paraId="5BE340A5" w14:textId="77777777" w:rsidR="00DC4B46" w:rsidRDefault="00DC4B46" w:rsidP="00DC4B46">
      <w:pPr>
        <w:rPr>
          <w:rFonts w:ascii="Times New Roman" w:hAnsi="Times New Roman" w:cs="Times New Roman"/>
          <w:b/>
        </w:rPr>
      </w:pPr>
    </w:p>
    <w:p w14:paraId="3833E9A9" w14:textId="77777777" w:rsidR="00DC4B46" w:rsidRPr="007F3800" w:rsidRDefault="00DC4B46" w:rsidP="00DC4B46">
      <w:pPr>
        <w:rPr>
          <w:rFonts w:ascii="Times New Roman" w:hAnsi="Times New Roman" w:cs="Times New Roman"/>
          <w:b/>
        </w:rPr>
      </w:pPr>
      <w:r w:rsidRPr="007F3800">
        <w:rPr>
          <w:rFonts w:ascii="Times New Roman" w:hAnsi="Times New Roman" w:cs="Times New Roman"/>
          <w:b/>
        </w:rPr>
        <w:t>K bodu 21</w:t>
      </w:r>
    </w:p>
    <w:p w14:paraId="3A97CB91" w14:textId="77777777" w:rsidR="00DC4B46" w:rsidRPr="007F3800" w:rsidRDefault="00DC4B46" w:rsidP="00E16308">
      <w:pPr>
        <w:ind w:firstLine="708"/>
        <w:jc w:val="both"/>
        <w:rPr>
          <w:rFonts w:ascii="Times New Roman" w:hAnsi="Times New Roman" w:cs="Times New Roman"/>
        </w:rPr>
      </w:pPr>
      <w:r w:rsidRPr="007F3800">
        <w:rPr>
          <w:rFonts w:ascii="Times New Roman" w:hAnsi="Times New Roman" w:cs="Times New Roman"/>
        </w:rPr>
        <w:t>V prílohe č. 14  časti „Určenie závažnosti porušenia podmienky“ v tretej vete sa navrhuje, aby sa v prípade, ak je porušenie podmienky nepodstatné, prípadne spôsobené faktormi, ktoré môže podnik ovplyvniť len v obmedzenom rozsahu, napríklad nepresnosťou,  ustanovila nepresnosť z doterajších do 3 % na  menej ako 10 %.</w:t>
      </w:r>
    </w:p>
    <w:p w14:paraId="6C6944FA" w14:textId="3C52FDEB" w:rsidR="00DC4B46" w:rsidRDefault="00DC4B46" w:rsidP="00DC4B46">
      <w:pPr>
        <w:jc w:val="both"/>
        <w:rPr>
          <w:rFonts w:ascii="Times New Roman" w:hAnsi="Times New Roman" w:cs="Times New Roman"/>
          <w:b/>
        </w:rPr>
      </w:pPr>
    </w:p>
    <w:p w14:paraId="1D8819B7" w14:textId="77777777" w:rsidR="00DC4B46" w:rsidRPr="00DC4B46" w:rsidRDefault="00DC4B46" w:rsidP="00DC4B46">
      <w:pPr>
        <w:jc w:val="both"/>
        <w:rPr>
          <w:rFonts w:ascii="Times New Roman" w:hAnsi="Times New Roman" w:cs="Times New Roman"/>
          <w:b/>
        </w:rPr>
      </w:pPr>
      <w:r w:rsidRPr="00DC4B46">
        <w:rPr>
          <w:rFonts w:ascii="Times New Roman" w:hAnsi="Times New Roman" w:cs="Times New Roman"/>
          <w:b/>
        </w:rPr>
        <w:t>K článku II</w:t>
      </w:r>
    </w:p>
    <w:p w14:paraId="63F86396" w14:textId="103E49AD" w:rsidR="00DC4B46" w:rsidRDefault="00DC4B46" w:rsidP="00E16308">
      <w:pPr>
        <w:ind w:firstLine="708"/>
        <w:jc w:val="both"/>
        <w:rPr>
          <w:rFonts w:ascii="Times New Roman" w:hAnsi="Times New Roman" w:cs="Times New Roman"/>
        </w:rPr>
      </w:pPr>
      <w:r w:rsidRPr="00DC4B46">
        <w:rPr>
          <w:rFonts w:ascii="Times New Roman" w:hAnsi="Times New Roman" w:cs="Times New Roman"/>
        </w:rPr>
        <w:t>Účinnosť návrhu nariadenia vlády sa navrhuje od 1. januára 2025 z dôvodu zabezpečenia dostatočného časového priestoru na oboznámenie sa prijímateľov podpôr s navrhovanými  úpravami v podmienkach  podporovaných opatrení, ktoré vyplynuli z druhej modifikácie Strategického plánu spoločnej poľnohospodárskej politiky 2023 – 2027  schválenej Európskou komisiou  20. novembra 2024  vrátane možnosti  od roku 2025 vstúpiť a prijať záväzok na dvojročné obdobie  pri operáciách podpory na ekologické poľnohospodárstvo pre nových žiadateľov, a  s  navrhovanými  úpravami, ktoré vyplynuli z poznatkov z aplikačnej praxe, ako aj z dôvodu  zabezpečenia dostatočného časového priestoru na administráciu žiadostí o poskytnutie podpôr  v roku 2025 predkladaných Pôdohospodárskej platobnej agentúre.</w:t>
      </w:r>
      <w:bookmarkStart w:id="0" w:name="_GoBack"/>
      <w:bookmarkEnd w:id="0"/>
    </w:p>
    <w:sectPr w:rsidR="00DC4B46" w:rsidSect="00E16308">
      <w:footerReference w:type="default" r:id="rId8"/>
      <w:pgSz w:w="11906" w:h="16838"/>
      <w:pgMar w:top="1417" w:right="1417" w:bottom="1134" w:left="1417"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B2DFE" w14:textId="77777777" w:rsidR="00916933" w:rsidRDefault="00916933" w:rsidP="00764B9F">
      <w:r>
        <w:separator/>
      </w:r>
    </w:p>
  </w:endnote>
  <w:endnote w:type="continuationSeparator" w:id="0">
    <w:p w14:paraId="73928212" w14:textId="77777777" w:rsidR="00916933" w:rsidRDefault="00916933" w:rsidP="0076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empo Esperanto">
    <w:altName w:val="Courier New"/>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442273174"/>
      <w:docPartObj>
        <w:docPartGallery w:val="Page Numbers (Bottom of Page)"/>
        <w:docPartUnique/>
      </w:docPartObj>
    </w:sdtPr>
    <w:sdtContent>
      <w:p w14:paraId="7011FDA6" w14:textId="710D15BB" w:rsidR="00764B9F" w:rsidRPr="00E16308" w:rsidRDefault="00E16308" w:rsidP="00E16308">
        <w:pPr>
          <w:pStyle w:val="Pta"/>
          <w:jc w:val="center"/>
          <w:rPr>
            <w:rFonts w:ascii="Times New Roman" w:hAnsi="Times New Roman" w:cs="Times New Roman"/>
            <w:sz w:val="20"/>
          </w:rPr>
        </w:pPr>
        <w:r w:rsidRPr="00E16308">
          <w:rPr>
            <w:rFonts w:ascii="Times New Roman" w:hAnsi="Times New Roman" w:cs="Times New Roman"/>
            <w:sz w:val="20"/>
          </w:rPr>
          <w:fldChar w:fldCharType="begin"/>
        </w:r>
        <w:r w:rsidRPr="00E16308">
          <w:rPr>
            <w:rFonts w:ascii="Times New Roman" w:hAnsi="Times New Roman" w:cs="Times New Roman"/>
            <w:sz w:val="20"/>
          </w:rPr>
          <w:instrText>PAGE   \* MERGEFORMAT</w:instrText>
        </w:r>
        <w:r w:rsidRPr="00E16308">
          <w:rPr>
            <w:rFonts w:ascii="Times New Roman" w:hAnsi="Times New Roman" w:cs="Times New Roman"/>
            <w:sz w:val="20"/>
          </w:rPr>
          <w:fldChar w:fldCharType="separate"/>
        </w:r>
        <w:r>
          <w:rPr>
            <w:rFonts w:ascii="Times New Roman" w:hAnsi="Times New Roman" w:cs="Times New Roman"/>
            <w:noProof/>
            <w:sz w:val="20"/>
          </w:rPr>
          <w:t>22</w:t>
        </w:r>
        <w:r w:rsidRPr="00E16308">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CB009" w14:textId="77777777" w:rsidR="00916933" w:rsidRDefault="00916933" w:rsidP="00764B9F">
      <w:r>
        <w:separator/>
      </w:r>
    </w:p>
  </w:footnote>
  <w:footnote w:type="continuationSeparator" w:id="0">
    <w:p w14:paraId="6AEDA1E6" w14:textId="77777777" w:rsidR="00916933" w:rsidRDefault="00916933" w:rsidP="00764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FB"/>
    <w:rsid w:val="0002434C"/>
    <w:rsid w:val="00074798"/>
    <w:rsid w:val="000D2E94"/>
    <w:rsid w:val="001A422C"/>
    <w:rsid w:val="001A4EAF"/>
    <w:rsid w:val="001B7066"/>
    <w:rsid w:val="001C15FB"/>
    <w:rsid w:val="002E0C82"/>
    <w:rsid w:val="003047D4"/>
    <w:rsid w:val="00346E7C"/>
    <w:rsid w:val="003F6879"/>
    <w:rsid w:val="004077F7"/>
    <w:rsid w:val="00413EDD"/>
    <w:rsid w:val="004751E2"/>
    <w:rsid w:val="00485022"/>
    <w:rsid w:val="004D75D9"/>
    <w:rsid w:val="004F48DB"/>
    <w:rsid w:val="005B319B"/>
    <w:rsid w:val="005C7859"/>
    <w:rsid w:val="00717807"/>
    <w:rsid w:val="00763483"/>
    <w:rsid w:val="00764B9F"/>
    <w:rsid w:val="007B69C9"/>
    <w:rsid w:val="007F2A28"/>
    <w:rsid w:val="007F4AEA"/>
    <w:rsid w:val="008014CC"/>
    <w:rsid w:val="008438DE"/>
    <w:rsid w:val="008806C3"/>
    <w:rsid w:val="008831CF"/>
    <w:rsid w:val="008A083D"/>
    <w:rsid w:val="008C1A91"/>
    <w:rsid w:val="008E40A6"/>
    <w:rsid w:val="00916933"/>
    <w:rsid w:val="0096671C"/>
    <w:rsid w:val="00A12C8E"/>
    <w:rsid w:val="00AF058C"/>
    <w:rsid w:val="00BD22EB"/>
    <w:rsid w:val="00C10A1C"/>
    <w:rsid w:val="00C17B95"/>
    <w:rsid w:val="00C22366"/>
    <w:rsid w:val="00D2757B"/>
    <w:rsid w:val="00D40284"/>
    <w:rsid w:val="00DC4B46"/>
    <w:rsid w:val="00DF4B62"/>
    <w:rsid w:val="00E16308"/>
    <w:rsid w:val="00E3197C"/>
    <w:rsid w:val="00EC37F3"/>
    <w:rsid w:val="00F629F9"/>
    <w:rsid w:val="00F66181"/>
    <w:rsid w:val="00F756B4"/>
    <w:rsid w:val="00FB58AE"/>
    <w:rsid w:val="00FC21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04946"/>
  <w15:chartTrackingRefBased/>
  <w15:docId w15:val="{67D330F6-E269-494D-BA0C-183A36E7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15FB"/>
    <w:pPr>
      <w:spacing w:after="0" w:line="240" w:lineRule="auto"/>
    </w:pPr>
    <w:rPr>
      <w:rFonts w:ascii="Tempo Esperanto" w:eastAsia="Times New Roman" w:hAnsi="Tempo Esperanto" w:cs="Tempo Esperanto"/>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C15FB"/>
    <w:rPr>
      <w:rFonts w:ascii="Times New Roman" w:hAnsi="Times New Roman" w:cs="Times New Roman" w:hint="default"/>
      <w:color w:val="808080"/>
    </w:rPr>
  </w:style>
  <w:style w:type="character" w:customStyle="1" w:styleId="apple-converted-space">
    <w:name w:val="apple-converted-space"/>
    <w:basedOn w:val="Predvolenpsmoodseku"/>
    <w:rsid w:val="001C15FB"/>
  </w:style>
  <w:style w:type="character" w:styleId="Siln">
    <w:name w:val="Strong"/>
    <w:basedOn w:val="Predvolenpsmoodseku"/>
    <w:uiPriority w:val="22"/>
    <w:qFormat/>
    <w:rsid w:val="001C15FB"/>
    <w:rPr>
      <w:b/>
      <w:bCs/>
    </w:rPr>
  </w:style>
  <w:style w:type="paragraph" w:customStyle="1" w:styleId="CM1">
    <w:name w:val="CM1"/>
    <w:basedOn w:val="Normlny"/>
    <w:next w:val="Normlny"/>
    <w:uiPriority w:val="99"/>
    <w:rsid w:val="00EC37F3"/>
    <w:pPr>
      <w:autoSpaceDE w:val="0"/>
      <w:autoSpaceDN w:val="0"/>
      <w:adjustRightInd w:val="0"/>
    </w:pPr>
    <w:rPr>
      <w:rFonts w:ascii="EUAlbertina" w:hAnsi="EUAlbertina" w:cs="Times New Roman"/>
    </w:rPr>
  </w:style>
  <w:style w:type="character" w:styleId="Odkaznakomentr">
    <w:name w:val="annotation reference"/>
    <w:basedOn w:val="Predvolenpsmoodseku"/>
    <w:uiPriority w:val="99"/>
    <w:semiHidden/>
    <w:unhideWhenUsed/>
    <w:rsid w:val="00763483"/>
    <w:rPr>
      <w:sz w:val="16"/>
      <w:szCs w:val="16"/>
    </w:rPr>
  </w:style>
  <w:style w:type="paragraph" w:styleId="Textkomentra">
    <w:name w:val="annotation text"/>
    <w:basedOn w:val="Normlny"/>
    <w:link w:val="TextkomentraChar"/>
    <w:uiPriority w:val="99"/>
    <w:semiHidden/>
    <w:unhideWhenUsed/>
    <w:rsid w:val="00763483"/>
    <w:rPr>
      <w:sz w:val="20"/>
      <w:szCs w:val="20"/>
    </w:rPr>
  </w:style>
  <w:style w:type="character" w:customStyle="1" w:styleId="TextkomentraChar">
    <w:name w:val="Text komentára Char"/>
    <w:basedOn w:val="Predvolenpsmoodseku"/>
    <w:link w:val="Textkomentra"/>
    <w:uiPriority w:val="99"/>
    <w:semiHidden/>
    <w:rsid w:val="00763483"/>
    <w:rPr>
      <w:rFonts w:ascii="Tempo Esperanto" w:eastAsia="Times New Roman" w:hAnsi="Tempo Esperanto" w:cs="Tempo Esperanto"/>
      <w:sz w:val="20"/>
      <w:szCs w:val="20"/>
      <w:lang w:eastAsia="sk-SK"/>
    </w:rPr>
  </w:style>
  <w:style w:type="paragraph" w:styleId="Predmetkomentra">
    <w:name w:val="annotation subject"/>
    <w:basedOn w:val="Textkomentra"/>
    <w:next w:val="Textkomentra"/>
    <w:link w:val="PredmetkomentraChar"/>
    <w:uiPriority w:val="99"/>
    <w:semiHidden/>
    <w:unhideWhenUsed/>
    <w:rsid w:val="00763483"/>
    <w:rPr>
      <w:b/>
      <w:bCs/>
    </w:rPr>
  </w:style>
  <w:style w:type="character" w:customStyle="1" w:styleId="PredmetkomentraChar">
    <w:name w:val="Predmet komentára Char"/>
    <w:basedOn w:val="TextkomentraChar"/>
    <w:link w:val="Predmetkomentra"/>
    <w:uiPriority w:val="99"/>
    <w:semiHidden/>
    <w:rsid w:val="00763483"/>
    <w:rPr>
      <w:rFonts w:ascii="Tempo Esperanto" w:eastAsia="Times New Roman" w:hAnsi="Tempo Esperanto" w:cs="Tempo Esperanto"/>
      <w:b/>
      <w:bCs/>
      <w:sz w:val="20"/>
      <w:szCs w:val="20"/>
      <w:lang w:eastAsia="sk-SK"/>
    </w:rPr>
  </w:style>
  <w:style w:type="paragraph" w:styleId="Textbubliny">
    <w:name w:val="Balloon Text"/>
    <w:basedOn w:val="Normlny"/>
    <w:link w:val="TextbublinyChar"/>
    <w:uiPriority w:val="99"/>
    <w:semiHidden/>
    <w:unhideWhenUsed/>
    <w:rsid w:val="007634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763483"/>
    <w:rPr>
      <w:rFonts w:ascii="Segoe UI" w:eastAsia="Times New Roman" w:hAnsi="Segoe UI" w:cs="Segoe UI"/>
      <w:sz w:val="18"/>
      <w:szCs w:val="18"/>
      <w:lang w:eastAsia="sk-SK"/>
    </w:rPr>
  </w:style>
  <w:style w:type="character" w:customStyle="1" w:styleId="awspan">
    <w:name w:val="awspan"/>
    <w:basedOn w:val="Predvolenpsmoodseku"/>
    <w:rsid w:val="00FC2163"/>
  </w:style>
  <w:style w:type="paragraph" w:styleId="Hlavika">
    <w:name w:val="header"/>
    <w:basedOn w:val="Normlny"/>
    <w:link w:val="HlavikaChar"/>
    <w:uiPriority w:val="99"/>
    <w:unhideWhenUsed/>
    <w:rsid w:val="00764B9F"/>
    <w:pPr>
      <w:tabs>
        <w:tab w:val="center" w:pos="4536"/>
        <w:tab w:val="right" w:pos="9072"/>
      </w:tabs>
    </w:pPr>
  </w:style>
  <w:style w:type="character" w:customStyle="1" w:styleId="HlavikaChar">
    <w:name w:val="Hlavička Char"/>
    <w:basedOn w:val="Predvolenpsmoodseku"/>
    <w:link w:val="Hlavika"/>
    <w:uiPriority w:val="99"/>
    <w:rsid w:val="00764B9F"/>
    <w:rPr>
      <w:rFonts w:ascii="Tempo Esperanto" w:eastAsia="Times New Roman" w:hAnsi="Tempo Esperanto" w:cs="Tempo Esperanto"/>
      <w:sz w:val="24"/>
      <w:szCs w:val="24"/>
      <w:lang w:eastAsia="sk-SK"/>
    </w:rPr>
  </w:style>
  <w:style w:type="paragraph" w:styleId="Pta">
    <w:name w:val="footer"/>
    <w:basedOn w:val="Normlny"/>
    <w:link w:val="PtaChar"/>
    <w:uiPriority w:val="99"/>
    <w:unhideWhenUsed/>
    <w:rsid w:val="00764B9F"/>
    <w:pPr>
      <w:tabs>
        <w:tab w:val="center" w:pos="4536"/>
        <w:tab w:val="right" w:pos="9072"/>
      </w:tabs>
    </w:pPr>
  </w:style>
  <w:style w:type="character" w:customStyle="1" w:styleId="PtaChar">
    <w:name w:val="Päta Char"/>
    <w:basedOn w:val="Predvolenpsmoodseku"/>
    <w:link w:val="Pta"/>
    <w:uiPriority w:val="99"/>
    <w:rsid w:val="00764B9F"/>
    <w:rPr>
      <w:rFonts w:ascii="Tempo Esperanto" w:eastAsia="Times New Roman" w:hAnsi="Tempo Esperanto" w:cs="Tempo Esperanto"/>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6162">
      <w:bodyDiv w:val="1"/>
      <w:marLeft w:val="0"/>
      <w:marRight w:val="0"/>
      <w:marTop w:val="0"/>
      <w:marBottom w:val="0"/>
      <w:divBdr>
        <w:top w:val="none" w:sz="0" w:space="0" w:color="auto"/>
        <w:left w:val="none" w:sz="0" w:space="0" w:color="auto"/>
        <w:bottom w:val="none" w:sz="0" w:space="0" w:color="auto"/>
        <w:right w:val="none" w:sz="0" w:space="0" w:color="auto"/>
      </w:divBdr>
    </w:div>
    <w:div w:id="3255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5. Dôcvodová správa - všeobecná časť" edit="true"/>
    <f:field ref="objsubject" par="" text="" edit="true"/>
    <f:field ref="objcreatedby" par="" text="Gergeľová, Zuzana, Ing."/>
    <f:field ref="objcreatedat" par="" date="2024-10-22T12:36:05" text="22.10.2024 12:36:05"/>
    <f:field ref="objchangedby" par="" text="Bosáková, Oľga, Mgr."/>
    <f:field ref="objmodifiedat" par="" date="2024-10-22T13:27:37" text="22.10.2024 13:27:37"/>
    <f:field ref="doc_FSCFOLIO_1_1001_FieldDocumentNumber" par="" text=""/>
    <f:field ref="doc_FSCFOLIO_1_1001_FieldSubject" par="" text=""/>
    <f:field ref="FSCFOLIO_1_1001_FieldCurrentUser" par="" text="Mgr. Barbora Kozlíková"/>
    <f:field ref="CCAPRECONFIG_15_1001_Objektname" par="" text="5. Dôcvodová správa - všeobecná časť"/>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95A7AB7-3A44-4ACB-A8B1-595B9692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1382</Words>
  <Characters>7879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Martiška Marián</dc:creator>
  <cp:keywords/>
  <dc:description/>
  <cp:lastModifiedBy>Benová Tímea</cp:lastModifiedBy>
  <cp:revision>3</cp:revision>
  <cp:lastPrinted>2024-12-04T09:48:00Z</cp:lastPrinted>
  <dcterms:created xsi:type="dcterms:W3CDTF">2024-12-04T09:41:00Z</dcterms:created>
  <dcterms:modified xsi:type="dcterms:W3CDTF">2024-12-04T09:48:00Z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Tibor Hlinka, PhD.</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22. 10. 2024, 12:36</vt:lpwstr>
  </property>
  <property fmtid="{D5CDD505-2E9C-101B-9397-08002B2CF9AE}" pid="65" name="FSC#SKEDITIONREG@103.510:curruserrolegroup">
    <vt:lpwstr>Odbor legislatívy</vt:lpwstr>
  </property>
  <property fmtid="{D5CDD505-2E9C-101B-9397-08002B2CF9AE}" pid="66" name="FSC#SKEDITIONREG@103.510:currusersubst">
    <vt:lpwstr>Mgr. Barbora Kozlíková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22. 10. 2024</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22.10.2024, 12:36</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Hlinka, Tibor, Mgr., PhD.</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22.10.2024</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*COO.2296.100.2.6372814*</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13</vt:lpwstr>
  </property>
  <property fmtid="{D5CDD505-2E9C-101B-9397-08002B2CF9AE}" pid="362" name="FSC#COOELAK@1.1001:CurrentUserEmail">
    <vt:lpwstr>barbora.kozlikova@land.gov.sk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COO.2296.100.2.6372814</vt:lpwstr>
  </property>
  <property fmtid="{D5CDD505-2E9C-101B-9397-08002B2CF9AE}" pid="395" name="FSC#FSCFOLIO@1.1001:docpropproject">
    <vt:lpwstr/>
  </property>
</Properties>
</file>