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A283" w14:textId="77777777" w:rsidR="00054C41" w:rsidRPr="00313721" w:rsidRDefault="00054C41" w:rsidP="00054C41">
      <w:pPr>
        <w:jc w:val="center"/>
        <w:rPr>
          <w:rFonts w:ascii="Times New Roman" w:eastAsia="Calibri" w:hAnsi="Times New Roman" w:cs="Times New Roman"/>
          <w:b/>
          <w:sz w:val="28"/>
          <w:szCs w:val="28"/>
        </w:rPr>
      </w:pPr>
      <w:r w:rsidRPr="00313721">
        <w:rPr>
          <w:rFonts w:ascii="Times New Roman" w:eastAsia="Calibri" w:hAnsi="Times New Roman" w:cs="Times New Roman"/>
          <w:b/>
          <w:sz w:val="28"/>
          <w:szCs w:val="28"/>
        </w:rPr>
        <w:t>Analýza vplyvov na podnikateľské prostredie</w:t>
      </w:r>
    </w:p>
    <w:p w14:paraId="7AF84A90" w14:textId="77777777" w:rsidR="00054C41" w:rsidRPr="00313721" w:rsidRDefault="00054C41" w:rsidP="00054C41">
      <w:pPr>
        <w:jc w:val="both"/>
        <w:rPr>
          <w:rFonts w:ascii="Times New Roman" w:eastAsia="Calibri" w:hAnsi="Times New Roman" w:cs="Times New Roman"/>
          <w:b/>
          <w:sz w:val="24"/>
          <w:szCs w:val="24"/>
        </w:rPr>
      </w:pPr>
    </w:p>
    <w:p w14:paraId="048DD11B" w14:textId="12F0AE25" w:rsidR="00DA1415" w:rsidRPr="00313721" w:rsidRDefault="00054C41" w:rsidP="00DA1415">
      <w:pPr>
        <w:autoSpaceDE w:val="0"/>
        <w:autoSpaceDN w:val="0"/>
        <w:adjustRightInd w:val="0"/>
        <w:spacing w:after="0" w:line="240" w:lineRule="auto"/>
        <w:ind w:left="1985" w:hanging="1985"/>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Názov materiálu:</w:t>
      </w:r>
      <w:r w:rsidR="00DA1415" w:rsidRPr="00313721">
        <w:rPr>
          <w:rFonts w:ascii="Times New Roman" w:eastAsia="Calibri" w:hAnsi="Times New Roman" w:cs="Times New Roman"/>
          <w:b/>
          <w:sz w:val="24"/>
          <w:szCs w:val="24"/>
        </w:rPr>
        <w:tab/>
      </w:r>
      <w:r w:rsidR="00DA1415" w:rsidRPr="00313721">
        <w:rPr>
          <w:rFonts w:ascii="Times New Roman" w:hAnsi="Times New Roman" w:cs="Times New Roman"/>
          <w:sz w:val="24"/>
          <w:szCs w:val="24"/>
        </w:rPr>
        <w:t>Návrh zákona, ktorým sa mení a dopĺňa zákon č. 435/2001 Z. z. o patentoch, dodatkových ochranných osvedčeniach a o zmene a doplnení niektorých zákonov (patentový zákon) v znení neskorších predpisov a</w:t>
      </w:r>
      <w:r w:rsidR="003C202B" w:rsidRPr="00313721">
        <w:rPr>
          <w:rFonts w:ascii="Times New Roman" w:hAnsi="Times New Roman" w:cs="Times New Roman"/>
          <w:sz w:val="24"/>
          <w:szCs w:val="24"/>
        </w:rPr>
        <w:t> ktorým sa menia a dopĺňajú niektoré zákony</w:t>
      </w:r>
      <w:r w:rsidR="00DA1415" w:rsidRPr="00313721">
        <w:rPr>
          <w:rFonts w:ascii="Times New Roman" w:eastAsia="Calibri" w:hAnsi="Times New Roman" w:cs="Times New Roman"/>
          <w:b/>
          <w:sz w:val="24"/>
          <w:szCs w:val="24"/>
        </w:rPr>
        <w:tab/>
      </w:r>
    </w:p>
    <w:p w14:paraId="22516163" w14:textId="3C903D56" w:rsidR="00054C41" w:rsidRPr="00313721" w:rsidRDefault="00DA1415" w:rsidP="00DA1415">
      <w:pPr>
        <w:autoSpaceDE w:val="0"/>
        <w:autoSpaceDN w:val="0"/>
        <w:adjustRightInd w:val="0"/>
        <w:spacing w:after="0" w:line="240" w:lineRule="auto"/>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 xml:space="preserve"> </w:t>
      </w:r>
    </w:p>
    <w:p w14:paraId="2711DC2C" w14:textId="15B81EA9" w:rsidR="00054C41" w:rsidRPr="00313721" w:rsidRDefault="00054C41" w:rsidP="00054C41">
      <w:pPr>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Predkladateľ:</w:t>
      </w:r>
      <w:r w:rsidR="00DA1415" w:rsidRPr="00313721">
        <w:rPr>
          <w:rFonts w:ascii="Times New Roman" w:eastAsia="Calibri" w:hAnsi="Times New Roman" w:cs="Times New Roman"/>
          <w:b/>
          <w:sz w:val="24"/>
          <w:szCs w:val="24"/>
        </w:rPr>
        <w:t xml:space="preserve">         </w:t>
      </w:r>
      <w:r w:rsidR="00DA1415" w:rsidRPr="00313721">
        <w:rPr>
          <w:rFonts w:ascii="Times New Roman" w:eastAsia="Calibri" w:hAnsi="Times New Roman" w:cs="Times New Roman"/>
          <w:bCs/>
          <w:sz w:val="24"/>
          <w:szCs w:val="24"/>
        </w:rPr>
        <w:t>Úrad priemyselného vlastníctva Slovenskej republiky</w:t>
      </w:r>
    </w:p>
    <w:p w14:paraId="73384937" w14:textId="77777777" w:rsidR="00054C41" w:rsidRPr="00313721" w:rsidRDefault="00054C41" w:rsidP="00054C41">
      <w:pPr>
        <w:jc w:val="both"/>
        <w:rPr>
          <w:rFonts w:ascii="Times New Roman" w:eastAsia="Calibri" w:hAnsi="Times New Roman" w:cs="Times New Roman"/>
          <w:b/>
          <w:sz w:val="24"/>
          <w:szCs w:val="24"/>
        </w:rPr>
      </w:pPr>
    </w:p>
    <w:p w14:paraId="515DBCE3" w14:textId="77777777" w:rsidR="00054C41" w:rsidRPr="00313721" w:rsidRDefault="00054C41" w:rsidP="00054C41">
      <w:pPr>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3.1 Náklady regulácie</w:t>
      </w:r>
    </w:p>
    <w:p w14:paraId="14243EB0" w14:textId="77777777" w:rsidR="00054C41" w:rsidRPr="00313721" w:rsidRDefault="00054C41" w:rsidP="00C21399">
      <w:pPr>
        <w:tabs>
          <w:tab w:val="left" w:pos="8025"/>
        </w:tabs>
        <w:rPr>
          <w:rFonts w:ascii="Times New Roman" w:eastAsia="Calibri" w:hAnsi="Times New Roman" w:cs="Times New Roman"/>
          <w:bCs/>
          <w:i/>
          <w:iCs/>
          <w:sz w:val="24"/>
          <w:szCs w:val="24"/>
        </w:rPr>
      </w:pPr>
      <w:r w:rsidRPr="00313721">
        <w:rPr>
          <w:rFonts w:ascii="Times New Roman" w:eastAsia="Calibri" w:hAnsi="Times New Roman" w:cs="Times New Roman"/>
          <w:b/>
          <w:i/>
          <w:iCs/>
          <w:sz w:val="24"/>
          <w:szCs w:val="24"/>
        </w:rPr>
        <w:t xml:space="preserve">3.1.1 Súhrnná tabuľka nákladov regulácie </w:t>
      </w:r>
      <w:r w:rsidR="00C21399" w:rsidRPr="00313721">
        <w:rPr>
          <w:rFonts w:ascii="Times New Roman" w:eastAsia="Calibri" w:hAnsi="Times New Roman" w:cs="Times New Roman"/>
          <w:b/>
          <w:i/>
          <w:iCs/>
          <w:sz w:val="24"/>
          <w:szCs w:val="24"/>
        </w:rPr>
        <w:tab/>
      </w:r>
    </w:p>
    <w:p w14:paraId="4D85A0D5" w14:textId="77777777" w:rsidR="00054C41" w:rsidRPr="00313721" w:rsidRDefault="00054C41" w:rsidP="00054C41">
      <w:pPr>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313721">
        <w:rPr>
          <w:rFonts w:ascii="Times New Roman" w:eastAsia="Calibri" w:hAnsi="Times New Roman" w:cs="Times New Roman"/>
          <w:i/>
          <w:sz w:val="24"/>
          <w:szCs w:val="24"/>
        </w:rPr>
        <w:t>v</w:t>
      </w:r>
      <w:r w:rsidR="00C929AE" w:rsidRPr="00313721">
        <w:rPr>
          <w:rFonts w:ascii="Times New Roman" w:eastAsia="Calibri" w:hAnsi="Times New Roman" w:cs="Times New Roman"/>
          <w:i/>
          <w:sz w:val="24"/>
          <w:szCs w:val="24"/>
        </w:rPr>
        <w:t xml:space="preserve">, náklady </w:t>
      </w:r>
      <w:proofErr w:type="spellStart"/>
      <w:r w:rsidR="00C929AE" w:rsidRPr="00313721">
        <w:rPr>
          <w:rFonts w:ascii="Times New Roman" w:eastAsia="Calibri" w:hAnsi="Times New Roman" w:cs="Times New Roman"/>
          <w:i/>
          <w:sz w:val="24"/>
          <w:szCs w:val="24"/>
        </w:rPr>
        <w:t>goldplatingu</w:t>
      </w:r>
      <w:proofErr w:type="spellEnd"/>
      <w:r w:rsidR="00C929AE" w:rsidRPr="00313721">
        <w:rPr>
          <w:rStyle w:val="Odkaznapoznmkupodiarou"/>
          <w:rFonts w:ascii="Times New Roman" w:eastAsia="Calibri" w:hAnsi="Times New Roman" w:cs="Times New Roman"/>
          <w:i/>
          <w:sz w:val="24"/>
          <w:szCs w:val="24"/>
        </w:rPr>
        <w:footnoteReference w:id="1"/>
      </w:r>
      <w:r w:rsidR="000A6B7F" w:rsidRPr="00313721">
        <w:rPr>
          <w:rFonts w:ascii="Times New Roman" w:eastAsia="Calibri" w:hAnsi="Times New Roman" w:cs="Times New Roman"/>
          <w:i/>
          <w:sz w:val="24"/>
          <w:szCs w:val="24"/>
        </w:rPr>
        <w:t xml:space="preserve"> </w:t>
      </w:r>
      <w:r w:rsidR="00C929AE" w:rsidRPr="00313721">
        <w:rPr>
          <w:rFonts w:ascii="Times New Roman" w:eastAsia="Calibri" w:hAnsi="Times New Roman" w:cs="Times New Roman"/>
          <w:i/>
          <w:sz w:val="24"/>
          <w:szCs w:val="24"/>
        </w:rPr>
        <w:t>na podnikateľské prostredie</w:t>
      </w:r>
      <w:r w:rsidRPr="00313721">
        <w:rPr>
          <w:rFonts w:ascii="Times New Roman" w:eastAsia="Calibri" w:hAnsi="Times New Roman" w:cs="Times New Roman"/>
          <w:i/>
          <w:sz w:val="24"/>
          <w:szCs w:val="24"/>
        </w:rPr>
        <w:t xml:space="preserve">. </w:t>
      </w:r>
    </w:p>
    <w:p w14:paraId="1A77DC61" w14:textId="632AA4E8" w:rsidR="00054C41" w:rsidRPr="00313721" w:rsidRDefault="00054C41" w:rsidP="00054C41">
      <w:pPr>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313721">
          <w:rPr>
            <w:rFonts w:ascii="Times New Roman" w:eastAsia="Calibri" w:hAnsi="Times New Roman" w:cs="Times New Roman"/>
            <w:i/>
            <w:color w:val="0563C1"/>
            <w:sz w:val="24"/>
            <w:szCs w:val="24"/>
            <w:u w:val="single"/>
          </w:rPr>
          <w:t>webovom sídle MH SR</w:t>
        </w:r>
      </w:hyperlink>
      <w:r w:rsidRPr="00313721">
        <w:rPr>
          <w:rFonts w:ascii="Times New Roman" w:eastAsia="Calibri" w:hAnsi="Times New Roman" w:cs="Times New Roman"/>
          <w:i/>
          <w:sz w:val="24"/>
          <w:szCs w:val="24"/>
        </w:rPr>
        <w:t>, (ďalej len „Kalkulačka nákladov“):</w:t>
      </w:r>
    </w:p>
    <w:tbl>
      <w:tblPr>
        <w:tblW w:w="8300" w:type="dxa"/>
        <w:tblCellMar>
          <w:left w:w="70" w:type="dxa"/>
          <w:right w:w="70" w:type="dxa"/>
        </w:tblCellMar>
        <w:tblLook w:val="04A0" w:firstRow="1" w:lastRow="0" w:firstColumn="1" w:lastColumn="0" w:noHBand="0" w:noVBand="1"/>
      </w:tblPr>
      <w:tblGrid>
        <w:gridCol w:w="4540"/>
        <w:gridCol w:w="1880"/>
        <w:gridCol w:w="1880"/>
      </w:tblGrid>
      <w:tr w:rsidR="000D6F29" w:rsidRPr="00313721" w14:paraId="5B07056A" w14:textId="77777777" w:rsidTr="000D6F29">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627C97" w14:textId="77777777" w:rsidR="000D6F29" w:rsidRPr="00313721" w:rsidRDefault="000D6F29" w:rsidP="000D6F29">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0528BA3"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9C3E3CD"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Zníženie nákladov v € na PP</w:t>
            </w:r>
          </w:p>
        </w:tc>
      </w:tr>
      <w:tr w:rsidR="000D6F29" w:rsidRPr="00313721" w14:paraId="3F2659D3" w14:textId="77777777" w:rsidTr="000D6F29">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7679A76"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proofErr w:type="spellStart"/>
            <w:r w:rsidRPr="00313721">
              <w:rPr>
                <w:rFonts w:ascii="Times New Roman" w:eastAsia="Times New Roman" w:hAnsi="Times New Roman" w:cs="Times New Roman"/>
                <w:b/>
                <w:bCs/>
                <w:i/>
                <w:iCs/>
                <w:color w:val="000000"/>
                <w:sz w:val="20"/>
                <w:szCs w:val="20"/>
                <w:lang w:eastAsia="sk-SK"/>
              </w:rPr>
              <w:t>A.Dane</w:t>
            </w:r>
            <w:proofErr w:type="spellEnd"/>
            <w:r w:rsidRPr="00313721">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313721">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1C9D6A60"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E069F9E"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r>
      <w:tr w:rsidR="000D6F29" w:rsidRPr="00313721" w14:paraId="17447241" w14:textId="77777777" w:rsidTr="000D6F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D50BCEF"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5D6CE906" w14:textId="37B3157B" w:rsidR="005235BA" w:rsidRPr="00313721" w:rsidRDefault="000D6F29" w:rsidP="00F6116D">
            <w:pPr>
              <w:spacing w:after="0" w:line="240" w:lineRule="auto"/>
              <w:jc w:val="center"/>
              <w:rPr>
                <w:rFonts w:ascii="Times New Roman" w:eastAsia="Times New Roman" w:hAnsi="Times New Roman" w:cs="Times New Roman"/>
                <w:b/>
                <w:bCs/>
                <w:color w:val="FF0000"/>
                <w:sz w:val="20"/>
                <w:szCs w:val="20"/>
                <w:lang w:eastAsia="sk-SK"/>
              </w:rPr>
            </w:pPr>
            <w:r w:rsidRPr="00313721">
              <w:rPr>
                <w:rFonts w:ascii="Times New Roman" w:eastAsia="Times New Roman" w:hAnsi="Times New Roman" w:cs="Times New Roman"/>
                <w:b/>
                <w:bCs/>
                <w:color w:val="000000"/>
                <w:sz w:val="20"/>
                <w:szCs w:val="20"/>
                <w:lang w:eastAsia="sk-SK"/>
              </w:rPr>
              <w:t>1</w:t>
            </w:r>
            <w:r w:rsidR="000C0EAF" w:rsidRPr="00313721">
              <w:rPr>
                <w:rFonts w:ascii="Times New Roman" w:eastAsia="Times New Roman" w:hAnsi="Times New Roman" w:cs="Times New Roman"/>
                <w:b/>
                <w:bCs/>
                <w:color w:val="000000"/>
                <w:sz w:val="20"/>
                <w:szCs w:val="20"/>
                <w:lang w:eastAsia="sk-SK"/>
              </w:rPr>
              <w:t> 2</w:t>
            </w:r>
            <w:r w:rsidR="002E6A9C" w:rsidRPr="00313721">
              <w:rPr>
                <w:rFonts w:ascii="Times New Roman" w:eastAsia="Times New Roman" w:hAnsi="Times New Roman" w:cs="Times New Roman"/>
                <w:b/>
                <w:bCs/>
                <w:color w:val="000000"/>
                <w:sz w:val="20"/>
                <w:szCs w:val="20"/>
                <w:lang w:eastAsia="sk-SK"/>
              </w:rPr>
              <w:t>49</w:t>
            </w:r>
            <w:r w:rsidR="000C0EAF" w:rsidRPr="00313721">
              <w:rPr>
                <w:rFonts w:ascii="Times New Roman" w:eastAsia="Times New Roman" w:hAnsi="Times New Roman" w:cs="Times New Roman"/>
                <w:b/>
                <w:bCs/>
                <w:color w:val="000000"/>
                <w:sz w:val="20"/>
                <w:szCs w:val="20"/>
                <w:lang w:eastAsia="sk-SK"/>
              </w:rPr>
              <w:t xml:space="preserve"> </w:t>
            </w:r>
            <w:r w:rsidR="002E6A9C" w:rsidRPr="00313721">
              <w:rPr>
                <w:rFonts w:ascii="Times New Roman" w:eastAsia="Times New Roman" w:hAnsi="Times New Roman" w:cs="Times New Roman"/>
                <w:b/>
                <w:bCs/>
                <w:color w:val="000000"/>
                <w:sz w:val="20"/>
                <w:szCs w:val="20"/>
                <w:lang w:eastAsia="sk-SK"/>
              </w:rPr>
              <w:t>430</w:t>
            </w:r>
            <w:r w:rsidR="00F6116D" w:rsidRPr="00313721">
              <w:rPr>
                <w:rFonts w:ascii="Times New Roman" w:eastAsia="Times New Roman" w:hAnsi="Times New Roman" w:cs="Times New Roman"/>
                <w:b/>
                <w:bCs/>
                <w:color w:val="000000"/>
                <w:sz w:val="20"/>
                <w:szCs w:val="20"/>
                <w:lang w:eastAsia="sk-SK"/>
              </w:rPr>
              <w:t xml:space="preserve"> </w:t>
            </w:r>
          </w:p>
        </w:tc>
        <w:tc>
          <w:tcPr>
            <w:tcW w:w="1880" w:type="dxa"/>
            <w:tcBorders>
              <w:top w:val="nil"/>
              <w:left w:val="nil"/>
              <w:bottom w:val="single" w:sz="4" w:space="0" w:color="auto"/>
              <w:right w:val="single" w:sz="8" w:space="0" w:color="auto"/>
            </w:tcBorders>
            <w:shd w:val="clear" w:color="000000" w:fill="92D050"/>
            <w:vAlign w:val="center"/>
            <w:hideMark/>
          </w:tcPr>
          <w:p w14:paraId="363480F8" w14:textId="28210465"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1 6</w:t>
            </w:r>
            <w:r w:rsidR="00A8284E" w:rsidRPr="00313721">
              <w:rPr>
                <w:rFonts w:ascii="Times New Roman" w:eastAsia="Times New Roman" w:hAnsi="Times New Roman" w:cs="Times New Roman"/>
                <w:b/>
                <w:bCs/>
                <w:color w:val="000000"/>
                <w:sz w:val="20"/>
                <w:szCs w:val="20"/>
                <w:lang w:eastAsia="sk-SK"/>
              </w:rPr>
              <w:t>6</w:t>
            </w:r>
            <w:r w:rsidRPr="00313721">
              <w:rPr>
                <w:rFonts w:ascii="Times New Roman" w:eastAsia="Times New Roman" w:hAnsi="Times New Roman" w:cs="Times New Roman"/>
                <w:b/>
                <w:bCs/>
                <w:color w:val="000000"/>
                <w:sz w:val="20"/>
                <w:szCs w:val="20"/>
                <w:lang w:eastAsia="sk-SK"/>
              </w:rPr>
              <w:t>0</w:t>
            </w:r>
          </w:p>
        </w:tc>
      </w:tr>
      <w:tr w:rsidR="000D6F29" w:rsidRPr="00313721" w14:paraId="7172A2BC" w14:textId="77777777" w:rsidTr="000D6F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7DFD805"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216EF855"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939976A"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r>
      <w:tr w:rsidR="000D6F29" w:rsidRPr="00313721" w14:paraId="1573613B" w14:textId="77777777" w:rsidTr="000D6F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5D9EF58"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24BFF649"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35816E6" w14:textId="6464279D" w:rsidR="000D6F29" w:rsidRPr="00313721" w:rsidRDefault="00CC4D7E"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5 </w:t>
            </w:r>
            <w:r w:rsidR="00DE3E91" w:rsidRPr="00313721">
              <w:rPr>
                <w:rFonts w:ascii="Times New Roman" w:eastAsia="Times New Roman" w:hAnsi="Times New Roman" w:cs="Times New Roman"/>
                <w:b/>
                <w:bCs/>
                <w:color w:val="000000"/>
                <w:sz w:val="20"/>
                <w:szCs w:val="20"/>
                <w:lang w:eastAsia="sk-SK"/>
              </w:rPr>
              <w:t>344</w:t>
            </w:r>
          </w:p>
        </w:tc>
      </w:tr>
      <w:tr w:rsidR="000D6F29" w:rsidRPr="00313721" w14:paraId="4C5E4D2E" w14:textId="77777777" w:rsidTr="000D6F29">
        <w:trPr>
          <w:trHeight w:val="300"/>
        </w:trPr>
        <w:tc>
          <w:tcPr>
            <w:tcW w:w="4540" w:type="dxa"/>
            <w:tcBorders>
              <w:top w:val="nil"/>
              <w:left w:val="single" w:sz="8" w:space="0" w:color="auto"/>
              <w:bottom w:val="nil"/>
              <w:right w:val="single" w:sz="4" w:space="0" w:color="auto"/>
            </w:tcBorders>
            <w:shd w:val="clear" w:color="auto" w:fill="auto"/>
            <w:vAlign w:val="center"/>
            <w:hideMark/>
          </w:tcPr>
          <w:p w14:paraId="0665C8AA"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09CFC607"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02ECAABA" w14:textId="63F7BF83" w:rsidR="000D6F29" w:rsidRPr="00313721" w:rsidRDefault="00CC4D7E"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3</w:t>
            </w:r>
            <w:r w:rsidR="003C3290" w:rsidRPr="00313721">
              <w:rPr>
                <w:rFonts w:ascii="Times New Roman" w:eastAsia="Times New Roman" w:hAnsi="Times New Roman" w:cs="Times New Roman"/>
                <w:b/>
                <w:bCs/>
                <w:color w:val="000000"/>
                <w:sz w:val="20"/>
                <w:szCs w:val="20"/>
                <w:lang w:eastAsia="sk-SK"/>
              </w:rPr>
              <w:t>8 904</w:t>
            </w:r>
          </w:p>
        </w:tc>
      </w:tr>
      <w:tr w:rsidR="000D6F29" w:rsidRPr="00313721" w14:paraId="3B88382F" w14:textId="77777777" w:rsidTr="000D6F29">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C3AC9D"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5C1D7C7" w14:textId="2E73A44C" w:rsidR="005235BA" w:rsidRPr="00313721" w:rsidRDefault="00F6116D"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1</w:t>
            </w:r>
            <w:r w:rsidR="000C0EAF" w:rsidRPr="00313721">
              <w:rPr>
                <w:rFonts w:ascii="Times New Roman" w:eastAsia="Times New Roman" w:hAnsi="Times New Roman" w:cs="Times New Roman"/>
                <w:b/>
                <w:bCs/>
                <w:color w:val="000000"/>
                <w:sz w:val="20"/>
                <w:szCs w:val="20"/>
                <w:lang w:eastAsia="sk-SK"/>
              </w:rPr>
              <w:t> 2</w:t>
            </w:r>
            <w:r w:rsidR="002E6A9C" w:rsidRPr="00313721">
              <w:rPr>
                <w:rFonts w:ascii="Times New Roman" w:eastAsia="Times New Roman" w:hAnsi="Times New Roman" w:cs="Times New Roman"/>
                <w:b/>
                <w:bCs/>
                <w:color w:val="000000"/>
                <w:sz w:val="20"/>
                <w:szCs w:val="20"/>
                <w:lang w:eastAsia="sk-SK"/>
              </w:rPr>
              <w:t>49</w:t>
            </w:r>
            <w:r w:rsidR="000C0EAF" w:rsidRPr="00313721">
              <w:rPr>
                <w:rFonts w:ascii="Times New Roman" w:eastAsia="Times New Roman" w:hAnsi="Times New Roman" w:cs="Times New Roman"/>
                <w:b/>
                <w:bCs/>
                <w:color w:val="000000"/>
                <w:sz w:val="20"/>
                <w:szCs w:val="20"/>
                <w:lang w:eastAsia="sk-SK"/>
              </w:rPr>
              <w:t xml:space="preserve"> </w:t>
            </w:r>
            <w:r w:rsidR="002E6A9C" w:rsidRPr="00313721">
              <w:rPr>
                <w:rFonts w:ascii="Times New Roman" w:eastAsia="Times New Roman" w:hAnsi="Times New Roman" w:cs="Times New Roman"/>
                <w:b/>
                <w:bCs/>
                <w:color w:val="000000"/>
                <w:sz w:val="20"/>
                <w:szCs w:val="20"/>
                <w:lang w:eastAsia="sk-SK"/>
              </w:rPr>
              <w:t>430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87FD7D7" w14:textId="270F347F" w:rsidR="000D6F29" w:rsidRPr="00313721" w:rsidRDefault="00CC4D7E"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45 </w:t>
            </w:r>
            <w:r w:rsidR="00A8284E" w:rsidRPr="00313721">
              <w:rPr>
                <w:rFonts w:ascii="Times New Roman" w:eastAsia="Times New Roman" w:hAnsi="Times New Roman" w:cs="Times New Roman"/>
                <w:b/>
                <w:bCs/>
                <w:color w:val="000000"/>
                <w:sz w:val="20"/>
                <w:szCs w:val="20"/>
                <w:lang w:eastAsia="sk-SK"/>
              </w:rPr>
              <w:t>908</w:t>
            </w:r>
          </w:p>
        </w:tc>
      </w:tr>
      <w:tr w:rsidR="000D6F29" w:rsidRPr="00313721" w14:paraId="2E176F91" w14:textId="77777777" w:rsidTr="000D6F29">
        <w:trPr>
          <w:trHeight w:val="300"/>
        </w:trPr>
        <w:tc>
          <w:tcPr>
            <w:tcW w:w="4540" w:type="dxa"/>
            <w:tcBorders>
              <w:top w:val="nil"/>
              <w:left w:val="nil"/>
              <w:bottom w:val="nil"/>
              <w:right w:val="nil"/>
            </w:tcBorders>
            <w:shd w:val="clear" w:color="auto" w:fill="auto"/>
            <w:vAlign w:val="center"/>
            <w:hideMark/>
          </w:tcPr>
          <w:p w14:paraId="73E03E2F"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7CBE8C7A"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35202AD1"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0D6F29" w:rsidRPr="00313721" w14:paraId="4832F892" w14:textId="77777777" w:rsidTr="000D6F29">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41FC6C5"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2195D23"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217054C"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Zníženie nákladov v € na PP</w:t>
            </w:r>
          </w:p>
        </w:tc>
      </w:tr>
      <w:tr w:rsidR="000D6F29" w:rsidRPr="00313721" w14:paraId="1BAEB459" w14:textId="77777777" w:rsidTr="000D6F29">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676C936"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F. Úplná harmonizácia práva EÚ</w:t>
            </w:r>
            <w:r w:rsidRPr="00313721">
              <w:rPr>
                <w:rFonts w:ascii="Times New Roman" w:eastAsia="Times New Roman" w:hAnsi="Times New Roman" w:cs="Times New Roman"/>
                <w:b/>
                <w:bCs/>
                <w:i/>
                <w:iCs/>
                <w:color w:val="000000"/>
                <w:sz w:val="20"/>
                <w:szCs w:val="20"/>
                <w:lang w:eastAsia="sk-SK"/>
              </w:rPr>
              <w:br/>
            </w:r>
            <w:r w:rsidRPr="00313721">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313721">
              <w:rPr>
                <w:rFonts w:ascii="Times New Roman" w:eastAsia="Times New Roman" w:hAnsi="Times New Roman" w:cs="Times New Roman"/>
                <w:i/>
                <w:iCs/>
                <w:color w:val="000000"/>
                <w:sz w:val="16"/>
                <w:szCs w:val="16"/>
                <w:lang w:eastAsia="sk-SK"/>
              </w:rPr>
              <w:t>externality</w:t>
            </w:r>
            <w:proofErr w:type="spellEnd"/>
            <w:r w:rsidRPr="00313721">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76121B18"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2FA658F0"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r>
      <w:tr w:rsidR="000D6F29" w:rsidRPr="00313721" w14:paraId="33E00C92" w14:textId="77777777" w:rsidTr="000D6F29">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4986E9" w14:textId="77777777" w:rsidR="000D6F29" w:rsidRPr="00313721" w:rsidRDefault="000D6F29" w:rsidP="000D6F29">
            <w:pPr>
              <w:spacing w:after="0" w:line="240" w:lineRule="auto"/>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 xml:space="preserve">G. </w:t>
            </w:r>
            <w:proofErr w:type="spellStart"/>
            <w:r w:rsidRPr="00313721">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7C9648C"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42328C5"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0</w:t>
            </w:r>
          </w:p>
        </w:tc>
      </w:tr>
      <w:tr w:rsidR="000D6F29" w:rsidRPr="00313721" w14:paraId="48DC59A0" w14:textId="77777777" w:rsidTr="000D6F29">
        <w:trPr>
          <w:trHeight w:val="270"/>
        </w:trPr>
        <w:tc>
          <w:tcPr>
            <w:tcW w:w="4540" w:type="dxa"/>
            <w:tcBorders>
              <w:top w:val="nil"/>
              <w:left w:val="nil"/>
              <w:bottom w:val="nil"/>
              <w:right w:val="nil"/>
            </w:tcBorders>
            <w:shd w:val="clear" w:color="auto" w:fill="auto"/>
            <w:noWrap/>
            <w:vAlign w:val="bottom"/>
            <w:hideMark/>
          </w:tcPr>
          <w:p w14:paraId="354F124F"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57E2F4D"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4E96534"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0D6F29" w:rsidRPr="00313721" w14:paraId="3840488E" w14:textId="77777777" w:rsidTr="000D6F29">
        <w:trPr>
          <w:trHeight w:val="270"/>
        </w:trPr>
        <w:tc>
          <w:tcPr>
            <w:tcW w:w="4540" w:type="dxa"/>
            <w:tcBorders>
              <w:top w:val="nil"/>
              <w:left w:val="nil"/>
              <w:bottom w:val="nil"/>
              <w:right w:val="nil"/>
            </w:tcBorders>
            <w:shd w:val="clear" w:color="auto" w:fill="auto"/>
            <w:noWrap/>
            <w:vAlign w:val="bottom"/>
            <w:hideMark/>
          </w:tcPr>
          <w:p w14:paraId="486731E1"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39F16E03"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7E164ACB"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0D6F29" w:rsidRPr="00313721" w14:paraId="122074B9" w14:textId="77777777" w:rsidTr="000D6F29">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2C3E57" w14:textId="77777777" w:rsidR="000D6F29" w:rsidRPr="00313721" w:rsidRDefault="000D6F29" w:rsidP="000D6F29">
            <w:pPr>
              <w:spacing w:after="0" w:line="240" w:lineRule="auto"/>
              <w:rPr>
                <w:rFonts w:ascii="Times New Roman" w:eastAsia="Times New Roman" w:hAnsi="Times New Roman" w:cs="Times New Roman"/>
                <w:i/>
                <w:iCs/>
                <w:color w:val="000000"/>
                <w:sz w:val="20"/>
                <w:szCs w:val="20"/>
                <w:lang w:eastAsia="sk-SK"/>
              </w:rPr>
            </w:pPr>
            <w:r w:rsidRPr="00313721">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5D603F69"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506D74A3"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OUT</w:t>
            </w:r>
          </w:p>
        </w:tc>
      </w:tr>
      <w:tr w:rsidR="000D6F29" w:rsidRPr="00313721" w14:paraId="07AAF4BC" w14:textId="77777777" w:rsidTr="000D6F29">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022A9914" w14:textId="77777777" w:rsidR="000D6F29" w:rsidRPr="00313721" w:rsidRDefault="000D6F29" w:rsidP="000D6F29">
            <w:pPr>
              <w:spacing w:after="0" w:line="240" w:lineRule="auto"/>
              <w:rPr>
                <w:rFonts w:ascii="Times New Roman" w:eastAsia="Times New Roman" w:hAnsi="Times New Roman" w:cs="Times New Roman"/>
                <w:i/>
                <w:iCs/>
                <w:color w:val="000000"/>
                <w:sz w:val="20"/>
                <w:szCs w:val="20"/>
                <w:lang w:eastAsia="sk-SK"/>
              </w:rPr>
            </w:pPr>
            <w:r w:rsidRPr="00313721">
              <w:rPr>
                <w:rFonts w:ascii="Times New Roman" w:eastAsia="Times New Roman" w:hAnsi="Times New Roman" w:cs="Times New Roman"/>
                <w:i/>
                <w:iCs/>
                <w:color w:val="000000"/>
                <w:sz w:val="20"/>
                <w:szCs w:val="20"/>
                <w:lang w:eastAsia="sk-SK"/>
              </w:rPr>
              <w:t>H</w:t>
            </w:r>
            <w:r w:rsidRPr="00313721">
              <w:rPr>
                <w:rFonts w:ascii="Times New Roman" w:eastAsia="Times New Roman" w:hAnsi="Times New Roman" w:cs="Times New Roman"/>
                <w:b/>
                <w:bCs/>
                <w:i/>
                <w:iCs/>
                <w:color w:val="000000"/>
                <w:sz w:val="20"/>
                <w:szCs w:val="20"/>
                <w:lang w:eastAsia="sk-SK"/>
              </w:rPr>
              <w:t>.</w:t>
            </w:r>
            <w:r w:rsidRPr="00313721">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73F4CC3" w14:textId="57667313" w:rsidR="005235BA" w:rsidRPr="00313721" w:rsidRDefault="00F6116D"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1</w:t>
            </w:r>
            <w:r w:rsidR="000C0EAF" w:rsidRPr="00313721">
              <w:rPr>
                <w:rFonts w:ascii="Times New Roman" w:eastAsia="Times New Roman" w:hAnsi="Times New Roman" w:cs="Times New Roman"/>
                <w:b/>
                <w:bCs/>
                <w:color w:val="000000"/>
                <w:sz w:val="20"/>
                <w:szCs w:val="20"/>
                <w:lang w:eastAsia="sk-SK"/>
              </w:rPr>
              <w:t> 2</w:t>
            </w:r>
            <w:r w:rsidR="002E6A9C" w:rsidRPr="00313721">
              <w:rPr>
                <w:rFonts w:ascii="Times New Roman" w:eastAsia="Times New Roman" w:hAnsi="Times New Roman" w:cs="Times New Roman"/>
                <w:b/>
                <w:bCs/>
                <w:color w:val="000000"/>
                <w:sz w:val="20"/>
                <w:szCs w:val="20"/>
                <w:lang w:eastAsia="sk-SK"/>
              </w:rPr>
              <w:t>49</w:t>
            </w:r>
            <w:r w:rsidR="000C0EAF" w:rsidRPr="00313721">
              <w:rPr>
                <w:rFonts w:ascii="Times New Roman" w:eastAsia="Times New Roman" w:hAnsi="Times New Roman" w:cs="Times New Roman"/>
                <w:b/>
                <w:bCs/>
                <w:color w:val="000000"/>
                <w:sz w:val="20"/>
                <w:szCs w:val="20"/>
                <w:lang w:eastAsia="sk-SK"/>
              </w:rPr>
              <w:t xml:space="preserve"> </w:t>
            </w:r>
            <w:r w:rsidR="002E6A9C" w:rsidRPr="00313721">
              <w:rPr>
                <w:rFonts w:ascii="Times New Roman" w:eastAsia="Times New Roman" w:hAnsi="Times New Roman" w:cs="Times New Roman"/>
                <w:b/>
                <w:bCs/>
                <w:color w:val="000000"/>
                <w:sz w:val="20"/>
                <w:szCs w:val="20"/>
                <w:lang w:eastAsia="sk-SK"/>
              </w:rPr>
              <w:t>430</w:t>
            </w:r>
          </w:p>
        </w:tc>
        <w:tc>
          <w:tcPr>
            <w:tcW w:w="1880" w:type="dxa"/>
            <w:tcBorders>
              <w:top w:val="nil"/>
              <w:left w:val="nil"/>
              <w:bottom w:val="single" w:sz="8" w:space="0" w:color="auto"/>
              <w:right w:val="single" w:sz="8" w:space="0" w:color="auto"/>
            </w:tcBorders>
            <w:shd w:val="clear" w:color="000000" w:fill="92D050"/>
            <w:vAlign w:val="center"/>
            <w:hideMark/>
          </w:tcPr>
          <w:p w14:paraId="1270AD09" w14:textId="2A29E11C" w:rsidR="000D6F29" w:rsidRPr="00313721" w:rsidRDefault="00CC4D7E"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45 </w:t>
            </w:r>
            <w:r w:rsidR="00A8284E" w:rsidRPr="00313721">
              <w:rPr>
                <w:rFonts w:ascii="Times New Roman" w:eastAsia="Times New Roman" w:hAnsi="Times New Roman" w:cs="Times New Roman"/>
                <w:b/>
                <w:bCs/>
                <w:color w:val="000000"/>
                <w:sz w:val="20"/>
                <w:szCs w:val="20"/>
                <w:lang w:eastAsia="sk-SK"/>
              </w:rPr>
              <w:t>908</w:t>
            </w:r>
          </w:p>
        </w:tc>
      </w:tr>
    </w:tbl>
    <w:p w14:paraId="76054D17" w14:textId="20C1E234" w:rsidR="000D6F29" w:rsidRPr="00313721" w:rsidRDefault="000D6F29" w:rsidP="00054C41">
      <w:pPr>
        <w:jc w:val="both"/>
        <w:rPr>
          <w:rFonts w:ascii="Times New Roman" w:eastAsia="Calibri" w:hAnsi="Times New Roman" w:cs="Times New Roman"/>
          <w:i/>
          <w:sz w:val="24"/>
          <w:szCs w:val="24"/>
        </w:rPr>
      </w:pPr>
    </w:p>
    <w:p w14:paraId="4D087E5F" w14:textId="77777777" w:rsidR="00D6551F" w:rsidRPr="00313721" w:rsidRDefault="00D6551F" w:rsidP="00054C41">
      <w:pPr>
        <w:rPr>
          <w:rFonts w:ascii="Times New Roman" w:eastAsia="Calibri" w:hAnsi="Times New Roman" w:cs="Times New Roman"/>
          <w:b/>
          <w:i/>
          <w:iCs/>
          <w:sz w:val="24"/>
          <w:szCs w:val="24"/>
        </w:rPr>
        <w:sectPr w:rsidR="00D6551F" w:rsidRPr="00313721" w:rsidSect="00197216">
          <w:footerReference w:type="default" r:id="rId10"/>
          <w:pgSz w:w="11906" w:h="16838"/>
          <w:pgMar w:top="1417" w:right="1417" w:bottom="1417" w:left="1417" w:header="708" w:footer="708" w:gutter="0"/>
          <w:cols w:space="708"/>
          <w:docGrid w:linePitch="360"/>
        </w:sectPr>
      </w:pPr>
    </w:p>
    <w:p w14:paraId="29CDFA2A" w14:textId="409C7385" w:rsidR="00054C41" w:rsidRPr="00313721" w:rsidRDefault="00054C41" w:rsidP="00054C41">
      <w:pPr>
        <w:rPr>
          <w:rFonts w:ascii="Times New Roman" w:eastAsia="Calibri" w:hAnsi="Times New Roman" w:cs="Times New Roman"/>
          <w:b/>
          <w:i/>
          <w:iCs/>
          <w:sz w:val="24"/>
          <w:szCs w:val="24"/>
        </w:rPr>
      </w:pPr>
      <w:r w:rsidRPr="00313721">
        <w:rPr>
          <w:rFonts w:ascii="Times New Roman" w:eastAsia="Calibri" w:hAnsi="Times New Roman" w:cs="Times New Roman"/>
          <w:b/>
          <w:i/>
          <w:iCs/>
          <w:sz w:val="24"/>
          <w:szCs w:val="24"/>
        </w:rPr>
        <w:lastRenderedPageBreak/>
        <w:t>3.1.2 Výpočty vplyvov jednotlivých regulácií na zmeny v nákladoch podnikateľov</w:t>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r w:rsidRPr="00313721">
        <w:rPr>
          <w:rFonts w:ascii="Times New Roman" w:eastAsia="Calibri" w:hAnsi="Times New Roman" w:cs="Times New Roman"/>
          <w:i/>
          <w:sz w:val="24"/>
          <w:szCs w:val="24"/>
        </w:rPr>
        <w:tab/>
      </w:r>
    </w:p>
    <w:p w14:paraId="5E02E2DD" w14:textId="08C9CB75" w:rsidR="00054C41" w:rsidRPr="00313721" w:rsidRDefault="00054C41" w:rsidP="00054C41">
      <w:pPr>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Tabuľka č. 2: Výpočet vplyvov jednotlivých regulácií (nahraďte rovnakou tabuľkou po vyplnení Kalkulačky nákladov):</w:t>
      </w:r>
    </w:p>
    <w:tbl>
      <w:tblPr>
        <w:tblW w:w="15965" w:type="dxa"/>
        <w:tblInd w:w="-426" w:type="dxa"/>
        <w:tblCellMar>
          <w:left w:w="70" w:type="dxa"/>
          <w:right w:w="70" w:type="dxa"/>
        </w:tblCellMar>
        <w:tblLook w:val="04A0" w:firstRow="1" w:lastRow="0" w:firstColumn="1" w:lastColumn="0" w:noHBand="0" w:noVBand="1"/>
      </w:tblPr>
      <w:tblGrid>
        <w:gridCol w:w="495"/>
        <w:gridCol w:w="1667"/>
        <w:gridCol w:w="1045"/>
        <w:gridCol w:w="1239"/>
        <w:gridCol w:w="1100"/>
        <w:gridCol w:w="938"/>
        <w:gridCol w:w="2073"/>
        <w:gridCol w:w="974"/>
        <w:gridCol w:w="1090"/>
        <w:gridCol w:w="1134"/>
        <w:gridCol w:w="1021"/>
        <w:gridCol w:w="1258"/>
        <w:gridCol w:w="1163"/>
        <w:gridCol w:w="768"/>
      </w:tblGrid>
      <w:tr w:rsidR="00197216" w:rsidRPr="00313721" w14:paraId="2F143587" w14:textId="77777777" w:rsidTr="004C313F">
        <w:trPr>
          <w:gridAfter w:val="1"/>
          <w:wAfter w:w="768" w:type="dxa"/>
          <w:trHeight w:val="278"/>
        </w:trPr>
        <w:tc>
          <w:tcPr>
            <w:tcW w:w="5546" w:type="dxa"/>
            <w:gridSpan w:val="5"/>
            <w:tcBorders>
              <w:top w:val="nil"/>
              <w:left w:val="nil"/>
              <w:bottom w:val="single" w:sz="4" w:space="0" w:color="auto"/>
              <w:right w:val="nil"/>
            </w:tcBorders>
            <w:shd w:val="clear" w:color="auto" w:fill="auto"/>
            <w:vAlign w:val="center"/>
            <w:hideMark/>
          </w:tcPr>
          <w:p w14:paraId="13520E8C" w14:textId="421A07A7" w:rsidR="000D6F29" w:rsidRPr="00313721" w:rsidRDefault="000D6F29" w:rsidP="000D6F29">
            <w:pPr>
              <w:spacing w:after="0" w:line="240" w:lineRule="auto"/>
              <w:rPr>
                <w:rFonts w:ascii="Times New Roman" w:eastAsia="Times New Roman" w:hAnsi="Times New Roman" w:cs="Times New Roman"/>
                <w:b/>
                <w:bCs/>
                <w:color w:val="000000"/>
                <w:sz w:val="24"/>
                <w:szCs w:val="24"/>
                <w:lang w:eastAsia="sk-SK"/>
              </w:rPr>
            </w:pPr>
            <w:r w:rsidRPr="00313721">
              <w:rPr>
                <w:rFonts w:ascii="Times New Roman" w:eastAsia="Times New Roman" w:hAnsi="Times New Roman" w:cs="Times New Roman"/>
                <w:b/>
                <w:bCs/>
                <w:color w:val="000000"/>
                <w:sz w:val="24"/>
                <w:szCs w:val="24"/>
                <w:lang w:eastAsia="sk-SK"/>
              </w:rPr>
              <w:t xml:space="preserve">Tabuľka č. 2: Výpočet vplyvov jednotlivých regulácií </w:t>
            </w:r>
          </w:p>
        </w:tc>
        <w:tc>
          <w:tcPr>
            <w:tcW w:w="938" w:type="dxa"/>
            <w:tcBorders>
              <w:top w:val="nil"/>
              <w:left w:val="nil"/>
              <w:bottom w:val="nil"/>
              <w:right w:val="nil"/>
            </w:tcBorders>
            <w:shd w:val="clear" w:color="auto" w:fill="auto"/>
            <w:vAlign w:val="center"/>
            <w:hideMark/>
          </w:tcPr>
          <w:p w14:paraId="4E04CAA1" w14:textId="77777777" w:rsidR="000D6F29" w:rsidRPr="00313721" w:rsidRDefault="000D6F29" w:rsidP="000D6F29">
            <w:pPr>
              <w:spacing w:after="0" w:line="240" w:lineRule="auto"/>
              <w:rPr>
                <w:rFonts w:ascii="Times New Roman" w:eastAsia="Times New Roman" w:hAnsi="Times New Roman" w:cs="Times New Roman"/>
                <w:b/>
                <w:bCs/>
                <w:color w:val="000000"/>
                <w:sz w:val="24"/>
                <w:szCs w:val="24"/>
                <w:lang w:eastAsia="sk-SK"/>
              </w:rPr>
            </w:pPr>
          </w:p>
        </w:tc>
        <w:tc>
          <w:tcPr>
            <w:tcW w:w="2073" w:type="dxa"/>
            <w:tcBorders>
              <w:top w:val="nil"/>
              <w:left w:val="nil"/>
              <w:bottom w:val="nil"/>
              <w:right w:val="nil"/>
            </w:tcBorders>
            <w:shd w:val="clear" w:color="auto" w:fill="auto"/>
            <w:vAlign w:val="center"/>
            <w:hideMark/>
          </w:tcPr>
          <w:p w14:paraId="28DE5E0D"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974" w:type="dxa"/>
            <w:tcBorders>
              <w:top w:val="nil"/>
              <w:left w:val="nil"/>
              <w:bottom w:val="nil"/>
              <w:right w:val="nil"/>
            </w:tcBorders>
            <w:shd w:val="clear" w:color="auto" w:fill="auto"/>
            <w:vAlign w:val="center"/>
            <w:hideMark/>
          </w:tcPr>
          <w:p w14:paraId="75CAF136"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090" w:type="dxa"/>
            <w:tcBorders>
              <w:top w:val="nil"/>
              <w:left w:val="nil"/>
              <w:bottom w:val="nil"/>
              <w:right w:val="nil"/>
            </w:tcBorders>
            <w:shd w:val="clear" w:color="auto" w:fill="auto"/>
            <w:vAlign w:val="center"/>
            <w:hideMark/>
          </w:tcPr>
          <w:p w14:paraId="05949251"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134" w:type="dxa"/>
            <w:tcBorders>
              <w:top w:val="nil"/>
              <w:left w:val="nil"/>
              <w:bottom w:val="nil"/>
              <w:right w:val="nil"/>
            </w:tcBorders>
            <w:shd w:val="clear" w:color="auto" w:fill="auto"/>
            <w:noWrap/>
            <w:vAlign w:val="bottom"/>
            <w:hideMark/>
          </w:tcPr>
          <w:p w14:paraId="2FBDDDE8"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021" w:type="dxa"/>
            <w:tcBorders>
              <w:top w:val="nil"/>
              <w:left w:val="nil"/>
              <w:bottom w:val="nil"/>
              <w:right w:val="nil"/>
            </w:tcBorders>
            <w:shd w:val="clear" w:color="auto" w:fill="auto"/>
            <w:noWrap/>
            <w:vAlign w:val="bottom"/>
            <w:hideMark/>
          </w:tcPr>
          <w:p w14:paraId="21F6D4C4"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258" w:type="dxa"/>
            <w:tcBorders>
              <w:top w:val="nil"/>
              <w:left w:val="nil"/>
              <w:bottom w:val="nil"/>
              <w:right w:val="nil"/>
            </w:tcBorders>
            <w:shd w:val="clear" w:color="auto" w:fill="auto"/>
            <w:noWrap/>
            <w:vAlign w:val="bottom"/>
            <w:hideMark/>
          </w:tcPr>
          <w:p w14:paraId="154D219F"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c>
          <w:tcPr>
            <w:tcW w:w="1163" w:type="dxa"/>
            <w:tcBorders>
              <w:top w:val="nil"/>
              <w:left w:val="nil"/>
              <w:bottom w:val="nil"/>
              <w:right w:val="nil"/>
            </w:tcBorders>
            <w:shd w:val="clear" w:color="auto" w:fill="auto"/>
            <w:noWrap/>
            <w:vAlign w:val="bottom"/>
            <w:hideMark/>
          </w:tcPr>
          <w:p w14:paraId="4B0F9000"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55AE56A3" w14:textId="77777777" w:rsidTr="004C313F">
        <w:trPr>
          <w:gridAfter w:val="1"/>
          <w:wAfter w:w="768" w:type="dxa"/>
          <w:trHeight w:val="615"/>
        </w:trPr>
        <w:tc>
          <w:tcPr>
            <w:tcW w:w="495" w:type="dxa"/>
            <w:vMerge w:val="restart"/>
            <w:tcBorders>
              <w:top w:val="nil"/>
              <w:left w:val="single" w:sz="4" w:space="0" w:color="auto"/>
              <w:bottom w:val="single" w:sz="4" w:space="0" w:color="auto"/>
              <w:right w:val="single" w:sz="4" w:space="0" w:color="auto"/>
            </w:tcBorders>
            <w:shd w:val="clear" w:color="000000" w:fill="BFBFBF"/>
            <w:vAlign w:val="center"/>
            <w:hideMark/>
          </w:tcPr>
          <w:p w14:paraId="35565A9A"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313721">
              <w:rPr>
                <w:rFonts w:ascii="Times New Roman" w:eastAsia="Times New Roman" w:hAnsi="Times New Roman" w:cs="Times New Roman"/>
                <w:b/>
                <w:bCs/>
                <w:color w:val="000000"/>
                <w:sz w:val="20"/>
                <w:szCs w:val="20"/>
                <w:lang w:eastAsia="sk-SK"/>
              </w:rPr>
              <w:t>P.č</w:t>
            </w:r>
            <w:proofErr w:type="spellEnd"/>
            <w:r w:rsidRPr="00313721">
              <w:rPr>
                <w:rFonts w:ascii="Times New Roman" w:eastAsia="Times New Roman" w:hAnsi="Times New Roman" w:cs="Times New Roman"/>
                <w:b/>
                <w:bCs/>
                <w:color w:val="000000"/>
                <w:sz w:val="20"/>
                <w:szCs w:val="20"/>
                <w:lang w:eastAsia="sk-SK"/>
              </w:rPr>
              <w:t>.</w:t>
            </w:r>
          </w:p>
        </w:tc>
        <w:tc>
          <w:tcPr>
            <w:tcW w:w="1667" w:type="dxa"/>
            <w:vMerge w:val="restart"/>
            <w:tcBorders>
              <w:top w:val="nil"/>
              <w:left w:val="single" w:sz="4" w:space="0" w:color="auto"/>
              <w:bottom w:val="single" w:sz="4" w:space="0" w:color="auto"/>
              <w:right w:val="single" w:sz="4" w:space="0" w:color="auto"/>
            </w:tcBorders>
            <w:shd w:val="clear" w:color="000000" w:fill="BFBFBF"/>
            <w:vAlign w:val="center"/>
            <w:hideMark/>
          </w:tcPr>
          <w:p w14:paraId="4CDEA8A0"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Zrozumiteľný a stručný opis regulácie </w:t>
            </w:r>
            <w:r w:rsidRPr="00313721">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313721">
              <w:rPr>
                <w:rFonts w:ascii="Times New Roman" w:eastAsia="Times New Roman" w:hAnsi="Times New Roman" w:cs="Times New Roman"/>
                <w:b/>
                <w:bCs/>
                <w:color w:val="000000"/>
                <w:sz w:val="20"/>
                <w:szCs w:val="20"/>
                <w:lang w:eastAsia="sk-SK"/>
              </w:rPr>
              <w:t>su</w:t>
            </w:r>
            <w:proofErr w:type="spellEnd"/>
            <w:r w:rsidRPr="00313721">
              <w:rPr>
                <w:rFonts w:ascii="Times New Roman" w:eastAsia="Times New Roman" w:hAnsi="Times New Roman" w:cs="Times New Roman"/>
                <w:b/>
                <w:bCs/>
                <w:color w:val="000000"/>
                <w:sz w:val="20"/>
                <w:szCs w:val="20"/>
                <w:lang w:eastAsia="sk-SK"/>
              </w:rPr>
              <w:t xml:space="preserve"> </w:t>
            </w:r>
            <w:proofErr w:type="spellStart"/>
            <w:r w:rsidRPr="00313721">
              <w:rPr>
                <w:rFonts w:ascii="Times New Roman" w:eastAsia="Times New Roman" w:hAnsi="Times New Roman" w:cs="Times New Roman"/>
                <w:b/>
                <w:bCs/>
                <w:color w:val="000000"/>
                <w:sz w:val="20"/>
                <w:szCs w:val="20"/>
                <w:lang w:eastAsia="sk-SK"/>
              </w:rPr>
              <w:t>goldplatingom</w:t>
            </w:r>
            <w:proofErr w:type="spellEnd"/>
            <w:r w:rsidRPr="00313721">
              <w:rPr>
                <w:rFonts w:ascii="Times New Roman" w:eastAsia="Times New Roman" w:hAnsi="Times New Roman" w:cs="Times New Roman"/>
                <w:b/>
                <w:bCs/>
                <w:color w:val="000000"/>
                <w:sz w:val="20"/>
                <w:szCs w:val="20"/>
                <w:lang w:eastAsia="sk-SK"/>
              </w:rPr>
              <w:t>)</w:t>
            </w:r>
          </w:p>
        </w:tc>
        <w:tc>
          <w:tcPr>
            <w:tcW w:w="104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4F7E46F"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Číslo normy</w:t>
            </w:r>
            <w:r w:rsidRPr="00313721">
              <w:rPr>
                <w:rFonts w:ascii="Times New Roman" w:eastAsia="Times New Roman" w:hAnsi="Times New Roman" w:cs="Times New Roman"/>
                <w:b/>
                <w:bCs/>
                <w:color w:val="000000"/>
                <w:sz w:val="20"/>
                <w:szCs w:val="20"/>
                <w:lang w:eastAsia="sk-SK"/>
              </w:rPr>
              <w:br/>
            </w:r>
            <w:r w:rsidRPr="00313721">
              <w:rPr>
                <w:rFonts w:ascii="Times New Roman" w:eastAsia="Times New Roman" w:hAnsi="Times New Roman" w:cs="Times New Roman"/>
                <w:color w:val="000000"/>
                <w:sz w:val="20"/>
                <w:szCs w:val="20"/>
                <w:lang w:eastAsia="sk-SK"/>
              </w:rPr>
              <w:t>(zákona, vyhlášky a pod.)</w:t>
            </w:r>
          </w:p>
        </w:tc>
        <w:tc>
          <w:tcPr>
            <w:tcW w:w="123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0335CB"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Lokalizácia</w:t>
            </w:r>
            <w:r w:rsidRPr="00313721">
              <w:rPr>
                <w:rFonts w:ascii="Times New Roman" w:eastAsia="Times New Roman" w:hAnsi="Times New Roman" w:cs="Times New Roman"/>
                <w:b/>
                <w:bCs/>
                <w:color w:val="000000"/>
                <w:sz w:val="20"/>
                <w:szCs w:val="20"/>
                <w:lang w:eastAsia="sk-SK"/>
              </w:rPr>
              <w:br/>
              <w:t>(§, ods., čl.,...)</w:t>
            </w:r>
          </w:p>
        </w:tc>
        <w:tc>
          <w:tcPr>
            <w:tcW w:w="11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7335A73"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Pôvod regulácie: </w:t>
            </w:r>
            <w:r w:rsidRPr="00313721">
              <w:rPr>
                <w:rFonts w:ascii="Times New Roman" w:eastAsia="Times New Roman" w:hAnsi="Times New Roman" w:cs="Times New Roman"/>
                <w:b/>
                <w:bCs/>
                <w:color w:val="000000"/>
                <w:sz w:val="20"/>
                <w:szCs w:val="20"/>
                <w:lang w:eastAsia="sk-SK"/>
              </w:rPr>
              <w:br/>
            </w:r>
            <w:r w:rsidRPr="00313721">
              <w:rPr>
                <w:rFonts w:ascii="Times New Roman" w:eastAsia="Times New Roman" w:hAnsi="Times New Roman" w:cs="Times New Roman"/>
                <w:color w:val="000000"/>
                <w:sz w:val="20"/>
                <w:szCs w:val="20"/>
                <w:lang w:eastAsia="sk-SK"/>
              </w:rPr>
              <w:t xml:space="preserve">SK/EÚ úplná </w:t>
            </w:r>
            <w:proofErr w:type="spellStart"/>
            <w:r w:rsidRPr="00313721">
              <w:rPr>
                <w:rFonts w:ascii="Times New Roman" w:eastAsia="Times New Roman" w:hAnsi="Times New Roman" w:cs="Times New Roman"/>
                <w:color w:val="000000"/>
                <w:sz w:val="20"/>
                <w:szCs w:val="20"/>
                <w:lang w:eastAsia="sk-SK"/>
              </w:rPr>
              <w:t>harm</w:t>
            </w:r>
            <w:proofErr w:type="spellEnd"/>
            <w:r w:rsidRPr="00313721">
              <w:rPr>
                <w:rFonts w:ascii="Times New Roman" w:eastAsia="Times New Roman" w:hAnsi="Times New Roman" w:cs="Times New Roman"/>
                <w:color w:val="000000"/>
                <w:sz w:val="20"/>
                <w:szCs w:val="20"/>
                <w:lang w:eastAsia="sk-SK"/>
              </w:rPr>
              <w:t>./</w:t>
            </w:r>
            <w:r w:rsidRPr="00313721">
              <w:rPr>
                <w:rFonts w:ascii="Times New Roman" w:eastAsia="Times New Roman" w:hAnsi="Times New Roman" w:cs="Times New Roman"/>
                <w:color w:val="000000"/>
                <w:sz w:val="20"/>
                <w:szCs w:val="20"/>
                <w:lang w:eastAsia="sk-SK"/>
              </w:rPr>
              <w:br/>
            </w:r>
            <w:proofErr w:type="spellStart"/>
            <w:r w:rsidRPr="00313721">
              <w:rPr>
                <w:rFonts w:ascii="Times New Roman" w:eastAsia="Times New Roman" w:hAnsi="Times New Roman" w:cs="Times New Roman"/>
                <w:color w:val="000000"/>
                <w:sz w:val="20"/>
                <w:szCs w:val="20"/>
                <w:lang w:eastAsia="sk-SK"/>
              </w:rPr>
              <w:t>goldplating</w:t>
            </w:r>
            <w:proofErr w:type="spellEnd"/>
          </w:p>
        </w:tc>
        <w:tc>
          <w:tcPr>
            <w:tcW w:w="93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21E656"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Účinnosť regulácie</w:t>
            </w:r>
          </w:p>
        </w:tc>
        <w:tc>
          <w:tcPr>
            <w:tcW w:w="207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78E550D"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Kategória </w:t>
            </w:r>
            <w:proofErr w:type="spellStart"/>
            <w:r w:rsidRPr="00313721">
              <w:rPr>
                <w:rFonts w:ascii="Times New Roman" w:eastAsia="Times New Roman" w:hAnsi="Times New Roman" w:cs="Times New Roman"/>
                <w:b/>
                <w:bCs/>
                <w:color w:val="000000"/>
                <w:sz w:val="20"/>
                <w:szCs w:val="20"/>
                <w:lang w:eastAsia="sk-SK"/>
              </w:rPr>
              <w:t>dotk</w:t>
            </w:r>
            <w:proofErr w:type="spellEnd"/>
            <w:r w:rsidRPr="00313721">
              <w:rPr>
                <w:rFonts w:ascii="Times New Roman" w:eastAsia="Times New Roman" w:hAnsi="Times New Roman" w:cs="Times New Roman"/>
                <w:b/>
                <w:bCs/>
                <w:color w:val="000000"/>
                <w:sz w:val="20"/>
                <w:szCs w:val="20"/>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618519"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Počet </w:t>
            </w:r>
            <w:proofErr w:type="spellStart"/>
            <w:r w:rsidRPr="00313721">
              <w:rPr>
                <w:rFonts w:ascii="Times New Roman" w:eastAsia="Times New Roman" w:hAnsi="Times New Roman" w:cs="Times New Roman"/>
                <w:b/>
                <w:bCs/>
                <w:color w:val="000000"/>
                <w:sz w:val="20"/>
                <w:szCs w:val="20"/>
                <w:lang w:eastAsia="sk-SK"/>
              </w:rPr>
              <w:t>dotk</w:t>
            </w:r>
            <w:proofErr w:type="spellEnd"/>
            <w:r w:rsidRPr="00313721">
              <w:rPr>
                <w:rFonts w:ascii="Times New Roman" w:eastAsia="Times New Roman" w:hAnsi="Times New Roman" w:cs="Times New Roman"/>
                <w:b/>
                <w:bCs/>
                <w:color w:val="000000"/>
                <w:sz w:val="20"/>
                <w:szCs w:val="20"/>
                <w:lang w:eastAsia="sk-SK"/>
              </w:rPr>
              <w:t xml:space="preserve">. subjektov spolu </w:t>
            </w:r>
          </w:p>
        </w:tc>
        <w:tc>
          <w:tcPr>
            <w:tcW w:w="10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3C04D3"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Vplyv na 1 podnik.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91C621"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Vplyv na kategóriu </w:t>
            </w:r>
            <w:proofErr w:type="spellStart"/>
            <w:r w:rsidRPr="00313721">
              <w:rPr>
                <w:rFonts w:ascii="Times New Roman" w:eastAsia="Times New Roman" w:hAnsi="Times New Roman" w:cs="Times New Roman"/>
                <w:b/>
                <w:bCs/>
                <w:color w:val="000000"/>
                <w:sz w:val="20"/>
                <w:szCs w:val="20"/>
                <w:lang w:eastAsia="sk-SK"/>
              </w:rPr>
              <w:t>dotk</w:t>
            </w:r>
            <w:proofErr w:type="spellEnd"/>
            <w:r w:rsidRPr="00313721">
              <w:rPr>
                <w:rFonts w:ascii="Times New Roman" w:eastAsia="Times New Roman" w:hAnsi="Times New Roman" w:cs="Times New Roman"/>
                <w:b/>
                <w:bCs/>
                <w:color w:val="000000"/>
                <w:sz w:val="20"/>
                <w:szCs w:val="20"/>
                <w:lang w:eastAsia="sk-SK"/>
              </w:rPr>
              <w:t>. subjektov v €</w:t>
            </w:r>
          </w:p>
        </w:tc>
        <w:tc>
          <w:tcPr>
            <w:tcW w:w="102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6AB1A9"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Druh vplyvu</w:t>
            </w:r>
            <w:r w:rsidRPr="00313721">
              <w:rPr>
                <w:rFonts w:ascii="Times New Roman" w:eastAsia="Times New Roman" w:hAnsi="Times New Roman" w:cs="Times New Roman"/>
                <w:b/>
                <w:bCs/>
                <w:color w:val="000000"/>
                <w:sz w:val="20"/>
                <w:szCs w:val="20"/>
                <w:lang w:eastAsia="sk-SK"/>
              </w:rPr>
              <w:br/>
            </w:r>
            <w:r w:rsidRPr="00313721">
              <w:rPr>
                <w:rFonts w:ascii="Times New Roman" w:eastAsia="Times New Roman" w:hAnsi="Times New Roman" w:cs="Times New Roman"/>
                <w:color w:val="000000"/>
                <w:sz w:val="20"/>
                <w:szCs w:val="20"/>
                <w:lang w:eastAsia="sk-SK"/>
              </w:rPr>
              <w:t xml:space="preserve">In (zvyšuje náklady) / </w:t>
            </w:r>
            <w:r w:rsidRPr="00313721">
              <w:rPr>
                <w:rFonts w:ascii="Times New Roman" w:eastAsia="Times New Roman" w:hAnsi="Times New Roman" w:cs="Times New Roman"/>
                <w:color w:val="000000"/>
                <w:sz w:val="20"/>
                <w:szCs w:val="20"/>
                <w:lang w:eastAsia="sk-SK"/>
              </w:rPr>
              <w:br/>
            </w:r>
            <w:proofErr w:type="spellStart"/>
            <w:r w:rsidRPr="00313721">
              <w:rPr>
                <w:rFonts w:ascii="Times New Roman" w:eastAsia="Times New Roman" w:hAnsi="Times New Roman" w:cs="Times New Roman"/>
                <w:color w:val="000000"/>
                <w:sz w:val="20"/>
                <w:szCs w:val="20"/>
                <w:lang w:eastAsia="sk-SK"/>
              </w:rPr>
              <w:t>Out</w:t>
            </w:r>
            <w:proofErr w:type="spellEnd"/>
            <w:r w:rsidRPr="00313721">
              <w:rPr>
                <w:rFonts w:ascii="Times New Roman" w:eastAsia="Times New Roman" w:hAnsi="Times New Roman" w:cs="Times New Roman"/>
                <w:color w:val="000000"/>
                <w:sz w:val="20"/>
                <w:szCs w:val="20"/>
                <w:lang w:eastAsia="sk-SK"/>
              </w:rPr>
              <w:t xml:space="preserve"> (znižuje náklady) / Nemení sa</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2E79C9"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1in2out </w:t>
            </w:r>
            <w:r w:rsidRPr="00313721">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02E23F"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313721">
              <w:rPr>
                <w:rFonts w:ascii="Times New Roman" w:eastAsia="Times New Roman" w:hAnsi="Times New Roman" w:cs="Times New Roman"/>
                <w:b/>
                <w:bCs/>
                <w:color w:val="000000"/>
                <w:sz w:val="20"/>
                <w:szCs w:val="20"/>
                <w:lang w:eastAsia="sk-SK"/>
              </w:rPr>
              <w:t>Goldplating</w:t>
            </w:r>
            <w:proofErr w:type="spellEnd"/>
            <w:r w:rsidRPr="00313721">
              <w:rPr>
                <w:rFonts w:ascii="Times New Roman" w:eastAsia="Times New Roman" w:hAnsi="Times New Roman" w:cs="Times New Roman"/>
                <w:b/>
                <w:bCs/>
                <w:color w:val="000000"/>
                <w:sz w:val="20"/>
                <w:szCs w:val="20"/>
                <w:lang w:eastAsia="sk-SK"/>
              </w:rPr>
              <w:t xml:space="preserve"> celkom</w:t>
            </w:r>
          </w:p>
        </w:tc>
      </w:tr>
      <w:tr w:rsidR="008B78D6" w:rsidRPr="00313721" w14:paraId="30EEBE76" w14:textId="77777777" w:rsidTr="004C313F">
        <w:trPr>
          <w:trHeight w:val="225"/>
        </w:trPr>
        <w:tc>
          <w:tcPr>
            <w:tcW w:w="495" w:type="dxa"/>
            <w:vMerge/>
            <w:tcBorders>
              <w:top w:val="nil"/>
              <w:left w:val="single" w:sz="4" w:space="0" w:color="auto"/>
              <w:bottom w:val="single" w:sz="4" w:space="0" w:color="auto"/>
              <w:right w:val="single" w:sz="4" w:space="0" w:color="auto"/>
            </w:tcBorders>
            <w:vAlign w:val="center"/>
            <w:hideMark/>
          </w:tcPr>
          <w:p w14:paraId="1C3E9D8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667" w:type="dxa"/>
            <w:vMerge/>
            <w:tcBorders>
              <w:top w:val="nil"/>
              <w:left w:val="single" w:sz="4" w:space="0" w:color="auto"/>
              <w:bottom w:val="single" w:sz="4" w:space="0" w:color="auto"/>
              <w:right w:val="single" w:sz="4" w:space="0" w:color="auto"/>
            </w:tcBorders>
            <w:vAlign w:val="center"/>
            <w:hideMark/>
          </w:tcPr>
          <w:p w14:paraId="292F317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45" w:type="dxa"/>
            <w:vMerge/>
            <w:tcBorders>
              <w:top w:val="nil"/>
              <w:left w:val="single" w:sz="4" w:space="0" w:color="auto"/>
              <w:bottom w:val="single" w:sz="4" w:space="0" w:color="000000"/>
              <w:right w:val="single" w:sz="4" w:space="0" w:color="auto"/>
            </w:tcBorders>
            <w:vAlign w:val="center"/>
            <w:hideMark/>
          </w:tcPr>
          <w:p w14:paraId="12899D1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39" w:type="dxa"/>
            <w:vMerge/>
            <w:tcBorders>
              <w:top w:val="nil"/>
              <w:left w:val="single" w:sz="4" w:space="0" w:color="auto"/>
              <w:bottom w:val="single" w:sz="4" w:space="0" w:color="000000"/>
              <w:right w:val="single" w:sz="4" w:space="0" w:color="auto"/>
            </w:tcBorders>
            <w:vAlign w:val="center"/>
            <w:hideMark/>
          </w:tcPr>
          <w:p w14:paraId="445D372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nil"/>
              <w:left w:val="single" w:sz="4" w:space="0" w:color="auto"/>
              <w:bottom w:val="single" w:sz="4" w:space="0" w:color="auto"/>
              <w:right w:val="single" w:sz="4" w:space="0" w:color="auto"/>
            </w:tcBorders>
            <w:vAlign w:val="center"/>
            <w:hideMark/>
          </w:tcPr>
          <w:p w14:paraId="471AAAC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6516E15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39D0D91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C264B6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0427CA1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1CBF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5F7AD896"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D3D720"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F097E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768" w:type="dxa"/>
            <w:tcBorders>
              <w:top w:val="nil"/>
              <w:left w:val="nil"/>
              <w:bottom w:val="nil"/>
              <w:right w:val="nil"/>
            </w:tcBorders>
            <w:shd w:val="clear" w:color="auto" w:fill="auto"/>
            <w:noWrap/>
            <w:vAlign w:val="bottom"/>
            <w:hideMark/>
          </w:tcPr>
          <w:p w14:paraId="34014CDE" w14:textId="77777777" w:rsidR="000D6F29" w:rsidRPr="00313721" w:rsidRDefault="000D6F29" w:rsidP="000D6F29">
            <w:pPr>
              <w:spacing w:after="0" w:line="240" w:lineRule="auto"/>
              <w:jc w:val="center"/>
              <w:rPr>
                <w:rFonts w:ascii="Times New Roman" w:eastAsia="Times New Roman" w:hAnsi="Times New Roman" w:cs="Times New Roman"/>
                <w:b/>
                <w:bCs/>
                <w:color w:val="000000"/>
                <w:sz w:val="20"/>
                <w:szCs w:val="20"/>
                <w:lang w:eastAsia="sk-SK"/>
              </w:rPr>
            </w:pPr>
          </w:p>
        </w:tc>
      </w:tr>
      <w:tr w:rsidR="008B78D6" w:rsidRPr="00313721" w14:paraId="25A0426F" w14:textId="77777777" w:rsidTr="004C313F">
        <w:trPr>
          <w:trHeight w:val="225"/>
        </w:trPr>
        <w:tc>
          <w:tcPr>
            <w:tcW w:w="495" w:type="dxa"/>
            <w:vMerge/>
            <w:tcBorders>
              <w:top w:val="nil"/>
              <w:left w:val="single" w:sz="4" w:space="0" w:color="auto"/>
              <w:bottom w:val="single" w:sz="4" w:space="0" w:color="auto"/>
              <w:right w:val="single" w:sz="4" w:space="0" w:color="auto"/>
            </w:tcBorders>
            <w:vAlign w:val="center"/>
            <w:hideMark/>
          </w:tcPr>
          <w:p w14:paraId="520D783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667" w:type="dxa"/>
            <w:vMerge/>
            <w:tcBorders>
              <w:top w:val="nil"/>
              <w:left w:val="single" w:sz="4" w:space="0" w:color="auto"/>
              <w:bottom w:val="single" w:sz="4" w:space="0" w:color="auto"/>
              <w:right w:val="single" w:sz="4" w:space="0" w:color="auto"/>
            </w:tcBorders>
            <w:vAlign w:val="center"/>
            <w:hideMark/>
          </w:tcPr>
          <w:p w14:paraId="69CA2E3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45" w:type="dxa"/>
            <w:vMerge/>
            <w:tcBorders>
              <w:top w:val="nil"/>
              <w:left w:val="single" w:sz="4" w:space="0" w:color="auto"/>
              <w:bottom w:val="single" w:sz="4" w:space="0" w:color="000000"/>
              <w:right w:val="single" w:sz="4" w:space="0" w:color="auto"/>
            </w:tcBorders>
            <w:vAlign w:val="center"/>
            <w:hideMark/>
          </w:tcPr>
          <w:p w14:paraId="0C5C22CB"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39" w:type="dxa"/>
            <w:vMerge/>
            <w:tcBorders>
              <w:top w:val="nil"/>
              <w:left w:val="single" w:sz="4" w:space="0" w:color="auto"/>
              <w:bottom w:val="single" w:sz="4" w:space="0" w:color="000000"/>
              <w:right w:val="single" w:sz="4" w:space="0" w:color="auto"/>
            </w:tcBorders>
            <w:vAlign w:val="center"/>
            <w:hideMark/>
          </w:tcPr>
          <w:p w14:paraId="45AF704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nil"/>
              <w:left w:val="single" w:sz="4" w:space="0" w:color="auto"/>
              <w:bottom w:val="single" w:sz="4" w:space="0" w:color="auto"/>
              <w:right w:val="single" w:sz="4" w:space="0" w:color="auto"/>
            </w:tcBorders>
            <w:vAlign w:val="center"/>
            <w:hideMark/>
          </w:tcPr>
          <w:p w14:paraId="767440C4"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64E596A3"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56D0D9BC"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53DD811"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5096C4B0"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047CD6"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1E3602F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1CCD2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6D13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768" w:type="dxa"/>
            <w:tcBorders>
              <w:top w:val="nil"/>
              <w:left w:val="nil"/>
              <w:bottom w:val="nil"/>
              <w:right w:val="nil"/>
            </w:tcBorders>
            <w:shd w:val="clear" w:color="auto" w:fill="auto"/>
            <w:noWrap/>
            <w:vAlign w:val="bottom"/>
            <w:hideMark/>
          </w:tcPr>
          <w:p w14:paraId="17C61855"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7AC39BE7" w14:textId="77777777" w:rsidTr="004C313F">
        <w:trPr>
          <w:trHeight w:val="225"/>
        </w:trPr>
        <w:tc>
          <w:tcPr>
            <w:tcW w:w="495" w:type="dxa"/>
            <w:vMerge/>
            <w:tcBorders>
              <w:top w:val="nil"/>
              <w:left w:val="single" w:sz="4" w:space="0" w:color="auto"/>
              <w:bottom w:val="single" w:sz="4" w:space="0" w:color="auto"/>
              <w:right w:val="single" w:sz="4" w:space="0" w:color="auto"/>
            </w:tcBorders>
            <w:vAlign w:val="center"/>
            <w:hideMark/>
          </w:tcPr>
          <w:p w14:paraId="10215B3B"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667" w:type="dxa"/>
            <w:vMerge/>
            <w:tcBorders>
              <w:top w:val="nil"/>
              <w:left w:val="single" w:sz="4" w:space="0" w:color="auto"/>
              <w:bottom w:val="single" w:sz="4" w:space="0" w:color="auto"/>
              <w:right w:val="single" w:sz="4" w:space="0" w:color="auto"/>
            </w:tcBorders>
            <w:vAlign w:val="center"/>
            <w:hideMark/>
          </w:tcPr>
          <w:p w14:paraId="6AB5996C"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45" w:type="dxa"/>
            <w:vMerge/>
            <w:tcBorders>
              <w:top w:val="nil"/>
              <w:left w:val="single" w:sz="4" w:space="0" w:color="auto"/>
              <w:bottom w:val="single" w:sz="4" w:space="0" w:color="000000"/>
              <w:right w:val="single" w:sz="4" w:space="0" w:color="auto"/>
            </w:tcBorders>
            <w:vAlign w:val="center"/>
            <w:hideMark/>
          </w:tcPr>
          <w:p w14:paraId="53CBA22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39" w:type="dxa"/>
            <w:vMerge/>
            <w:tcBorders>
              <w:top w:val="nil"/>
              <w:left w:val="single" w:sz="4" w:space="0" w:color="auto"/>
              <w:bottom w:val="single" w:sz="4" w:space="0" w:color="000000"/>
              <w:right w:val="single" w:sz="4" w:space="0" w:color="auto"/>
            </w:tcBorders>
            <w:vAlign w:val="center"/>
            <w:hideMark/>
          </w:tcPr>
          <w:p w14:paraId="4618B97D"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nil"/>
              <w:left w:val="single" w:sz="4" w:space="0" w:color="auto"/>
              <w:bottom w:val="single" w:sz="4" w:space="0" w:color="auto"/>
              <w:right w:val="single" w:sz="4" w:space="0" w:color="auto"/>
            </w:tcBorders>
            <w:vAlign w:val="center"/>
            <w:hideMark/>
          </w:tcPr>
          <w:p w14:paraId="3D90CBE6"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76EB0813"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31A1B2B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3521363"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1EBE8EF0"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7E5C17"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7D9F9C1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4385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61F93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768" w:type="dxa"/>
            <w:tcBorders>
              <w:top w:val="nil"/>
              <w:left w:val="nil"/>
              <w:bottom w:val="nil"/>
              <w:right w:val="nil"/>
            </w:tcBorders>
            <w:shd w:val="clear" w:color="auto" w:fill="auto"/>
            <w:noWrap/>
            <w:vAlign w:val="bottom"/>
            <w:hideMark/>
          </w:tcPr>
          <w:p w14:paraId="66A2487C"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15F3151D" w14:textId="77777777" w:rsidTr="004C313F">
        <w:trPr>
          <w:trHeight w:val="225"/>
        </w:trPr>
        <w:tc>
          <w:tcPr>
            <w:tcW w:w="495" w:type="dxa"/>
            <w:vMerge/>
            <w:tcBorders>
              <w:top w:val="nil"/>
              <w:left w:val="single" w:sz="4" w:space="0" w:color="auto"/>
              <w:bottom w:val="single" w:sz="4" w:space="0" w:color="auto"/>
              <w:right w:val="single" w:sz="4" w:space="0" w:color="auto"/>
            </w:tcBorders>
            <w:vAlign w:val="center"/>
            <w:hideMark/>
          </w:tcPr>
          <w:p w14:paraId="3D40EB7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667" w:type="dxa"/>
            <w:vMerge/>
            <w:tcBorders>
              <w:top w:val="nil"/>
              <w:left w:val="single" w:sz="4" w:space="0" w:color="auto"/>
              <w:bottom w:val="single" w:sz="4" w:space="0" w:color="auto"/>
              <w:right w:val="single" w:sz="4" w:space="0" w:color="auto"/>
            </w:tcBorders>
            <w:vAlign w:val="center"/>
            <w:hideMark/>
          </w:tcPr>
          <w:p w14:paraId="7E9652D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45" w:type="dxa"/>
            <w:vMerge/>
            <w:tcBorders>
              <w:top w:val="nil"/>
              <w:left w:val="single" w:sz="4" w:space="0" w:color="auto"/>
              <w:bottom w:val="single" w:sz="4" w:space="0" w:color="000000"/>
              <w:right w:val="single" w:sz="4" w:space="0" w:color="auto"/>
            </w:tcBorders>
            <w:vAlign w:val="center"/>
            <w:hideMark/>
          </w:tcPr>
          <w:p w14:paraId="67F5637D"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39" w:type="dxa"/>
            <w:vMerge/>
            <w:tcBorders>
              <w:top w:val="nil"/>
              <w:left w:val="single" w:sz="4" w:space="0" w:color="auto"/>
              <w:bottom w:val="single" w:sz="4" w:space="0" w:color="000000"/>
              <w:right w:val="single" w:sz="4" w:space="0" w:color="auto"/>
            </w:tcBorders>
            <w:vAlign w:val="center"/>
            <w:hideMark/>
          </w:tcPr>
          <w:p w14:paraId="4BF69AA3"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nil"/>
              <w:left w:val="single" w:sz="4" w:space="0" w:color="auto"/>
              <w:bottom w:val="single" w:sz="4" w:space="0" w:color="auto"/>
              <w:right w:val="single" w:sz="4" w:space="0" w:color="auto"/>
            </w:tcBorders>
            <w:vAlign w:val="center"/>
            <w:hideMark/>
          </w:tcPr>
          <w:p w14:paraId="4E972C17"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18835622"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018C1FC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7AC15CB"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1FCCFA4B"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AAE3B1"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57EDCBF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B7050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486A6F"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768" w:type="dxa"/>
            <w:tcBorders>
              <w:top w:val="nil"/>
              <w:left w:val="nil"/>
              <w:bottom w:val="nil"/>
              <w:right w:val="nil"/>
            </w:tcBorders>
            <w:shd w:val="clear" w:color="auto" w:fill="auto"/>
            <w:noWrap/>
            <w:vAlign w:val="bottom"/>
            <w:hideMark/>
          </w:tcPr>
          <w:p w14:paraId="7527E117"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7CD42C9C" w14:textId="77777777" w:rsidTr="004C313F">
        <w:trPr>
          <w:trHeight w:val="225"/>
        </w:trPr>
        <w:tc>
          <w:tcPr>
            <w:tcW w:w="495" w:type="dxa"/>
            <w:vMerge/>
            <w:tcBorders>
              <w:top w:val="nil"/>
              <w:left w:val="single" w:sz="4" w:space="0" w:color="auto"/>
              <w:bottom w:val="single" w:sz="4" w:space="0" w:color="auto"/>
              <w:right w:val="single" w:sz="4" w:space="0" w:color="auto"/>
            </w:tcBorders>
            <w:vAlign w:val="center"/>
            <w:hideMark/>
          </w:tcPr>
          <w:p w14:paraId="297DAEA9"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667" w:type="dxa"/>
            <w:vMerge/>
            <w:tcBorders>
              <w:top w:val="nil"/>
              <w:left w:val="single" w:sz="4" w:space="0" w:color="auto"/>
              <w:bottom w:val="single" w:sz="4" w:space="0" w:color="auto"/>
              <w:right w:val="single" w:sz="4" w:space="0" w:color="auto"/>
            </w:tcBorders>
            <w:vAlign w:val="center"/>
            <w:hideMark/>
          </w:tcPr>
          <w:p w14:paraId="55A25AE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45" w:type="dxa"/>
            <w:vMerge/>
            <w:tcBorders>
              <w:top w:val="nil"/>
              <w:left w:val="single" w:sz="4" w:space="0" w:color="auto"/>
              <w:bottom w:val="single" w:sz="4" w:space="0" w:color="000000"/>
              <w:right w:val="single" w:sz="4" w:space="0" w:color="auto"/>
            </w:tcBorders>
            <w:vAlign w:val="center"/>
            <w:hideMark/>
          </w:tcPr>
          <w:p w14:paraId="5086B4D3"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39" w:type="dxa"/>
            <w:vMerge/>
            <w:tcBorders>
              <w:top w:val="nil"/>
              <w:left w:val="single" w:sz="4" w:space="0" w:color="auto"/>
              <w:bottom w:val="single" w:sz="4" w:space="0" w:color="000000"/>
              <w:right w:val="single" w:sz="4" w:space="0" w:color="auto"/>
            </w:tcBorders>
            <w:vAlign w:val="center"/>
            <w:hideMark/>
          </w:tcPr>
          <w:p w14:paraId="5AD3D91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nil"/>
              <w:left w:val="single" w:sz="4" w:space="0" w:color="auto"/>
              <w:bottom w:val="single" w:sz="4" w:space="0" w:color="auto"/>
              <w:right w:val="single" w:sz="4" w:space="0" w:color="auto"/>
            </w:tcBorders>
            <w:vAlign w:val="center"/>
            <w:hideMark/>
          </w:tcPr>
          <w:p w14:paraId="0C3D454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259714BA"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3002E0F0"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97C27F5"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2B15DADD"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7A29AE"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699DA012"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2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2C4A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0F3878" w14:textId="77777777" w:rsidR="000D6F29" w:rsidRPr="00313721" w:rsidRDefault="000D6F29" w:rsidP="000D6F29">
            <w:pPr>
              <w:spacing w:after="0" w:line="240" w:lineRule="auto"/>
              <w:rPr>
                <w:rFonts w:ascii="Times New Roman" w:eastAsia="Times New Roman" w:hAnsi="Times New Roman" w:cs="Times New Roman"/>
                <w:b/>
                <w:bCs/>
                <w:color w:val="000000"/>
                <w:sz w:val="20"/>
                <w:szCs w:val="20"/>
                <w:lang w:eastAsia="sk-SK"/>
              </w:rPr>
            </w:pPr>
          </w:p>
        </w:tc>
        <w:tc>
          <w:tcPr>
            <w:tcW w:w="768" w:type="dxa"/>
            <w:tcBorders>
              <w:top w:val="nil"/>
              <w:left w:val="nil"/>
              <w:bottom w:val="nil"/>
              <w:right w:val="nil"/>
            </w:tcBorders>
            <w:shd w:val="clear" w:color="auto" w:fill="auto"/>
            <w:noWrap/>
            <w:vAlign w:val="bottom"/>
            <w:hideMark/>
          </w:tcPr>
          <w:p w14:paraId="58F652D2"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45ECBFA8" w14:textId="77777777" w:rsidTr="004C313F">
        <w:trPr>
          <w:trHeight w:val="292"/>
        </w:trPr>
        <w:tc>
          <w:tcPr>
            <w:tcW w:w="495" w:type="dxa"/>
            <w:tcBorders>
              <w:top w:val="nil"/>
              <w:left w:val="single" w:sz="4" w:space="0" w:color="auto"/>
              <w:bottom w:val="single" w:sz="4" w:space="0" w:color="auto"/>
              <w:right w:val="single" w:sz="4" w:space="0" w:color="auto"/>
            </w:tcBorders>
            <w:shd w:val="clear" w:color="auto" w:fill="auto"/>
            <w:vAlign w:val="center"/>
            <w:hideMark/>
          </w:tcPr>
          <w:p w14:paraId="72C05335"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w:t>
            </w:r>
          </w:p>
        </w:tc>
        <w:tc>
          <w:tcPr>
            <w:tcW w:w="1667" w:type="dxa"/>
            <w:tcBorders>
              <w:top w:val="nil"/>
              <w:left w:val="nil"/>
              <w:bottom w:val="single" w:sz="4" w:space="0" w:color="auto"/>
              <w:right w:val="single" w:sz="4" w:space="0" w:color="auto"/>
            </w:tcBorders>
            <w:shd w:val="clear" w:color="auto" w:fill="auto"/>
            <w:vAlign w:val="center"/>
            <w:hideMark/>
          </w:tcPr>
          <w:p w14:paraId="5744FFE1"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Náhrada trov konania</w:t>
            </w:r>
          </w:p>
        </w:tc>
        <w:tc>
          <w:tcPr>
            <w:tcW w:w="1045" w:type="dxa"/>
            <w:tcBorders>
              <w:top w:val="nil"/>
              <w:left w:val="nil"/>
              <w:bottom w:val="single" w:sz="4" w:space="0" w:color="auto"/>
              <w:right w:val="single" w:sz="4" w:space="0" w:color="auto"/>
            </w:tcBorders>
            <w:shd w:val="clear" w:color="auto" w:fill="auto"/>
            <w:vAlign w:val="center"/>
            <w:hideMark/>
          </w:tcPr>
          <w:p w14:paraId="0D193CAC"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zákon č. 435/2001 Z. z. </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zákon č. 444/2002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zákon č. 517/2007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zákon č. 506/2009 Z. z.</w:t>
            </w:r>
          </w:p>
        </w:tc>
        <w:tc>
          <w:tcPr>
            <w:tcW w:w="1239" w:type="dxa"/>
            <w:tcBorders>
              <w:top w:val="nil"/>
              <w:left w:val="nil"/>
              <w:bottom w:val="single" w:sz="4" w:space="0" w:color="auto"/>
              <w:right w:val="single" w:sz="4" w:space="0" w:color="auto"/>
            </w:tcBorders>
            <w:shd w:val="clear" w:color="auto" w:fill="auto"/>
            <w:vAlign w:val="center"/>
            <w:hideMark/>
          </w:tcPr>
          <w:p w14:paraId="1C395579"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47a, zákon č. 435/2001 Z. z.</w:t>
            </w:r>
            <w:r w:rsidRPr="00313721">
              <w:rPr>
                <w:rFonts w:ascii="Times New Roman" w:eastAsia="Times New Roman" w:hAnsi="Times New Roman" w:cs="Times New Roman"/>
                <w:color w:val="000000"/>
                <w:sz w:val="20"/>
                <w:szCs w:val="20"/>
                <w:lang w:eastAsia="sk-SK"/>
              </w:rPr>
              <w:br/>
              <w:t>§ 39,  zákon č. 444/2002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 xml:space="preserve">§ 46, zákon č. 517/2007 Z. z. </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 xml:space="preserve">§ 42a,  zákon č. 506/2009 Z. z. </w:t>
            </w:r>
          </w:p>
        </w:tc>
        <w:tc>
          <w:tcPr>
            <w:tcW w:w="1100" w:type="dxa"/>
            <w:tcBorders>
              <w:top w:val="nil"/>
              <w:left w:val="nil"/>
              <w:bottom w:val="single" w:sz="4" w:space="0" w:color="auto"/>
              <w:right w:val="single" w:sz="4" w:space="0" w:color="auto"/>
            </w:tcBorders>
            <w:shd w:val="clear" w:color="auto" w:fill="auto"/>
            <w:vAlign w:val="center"/>
            <w:hideMark/>
          </w:tcPr>
          <w:p w14:paraId="5E90C544"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hideMark/>
          </w:tcPr>
          <w:p w14:paraId="72ECB863"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hideMark/>
          </w:tcPr>
          <w:p w14:paraId="7E6AA360" w14:textId="75143975" w:rsidR="000D6F29" w:rsidRPr="00313721" w:rsidRDefault="0020178E"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neúspešní účastníci sporových konaní -</w:t>
            </w:r>
            <w:r w:rsidR="000D6F29" w:rsidRPr="00313721">
              <w:rPr>
                <w:rFonts w:ascii="Times New Roman" w:eastAsia="Times New Roman" w:hAnsi="Times New Roman" w:cs="Times New Roman"/>
                <w:color w:val="000000"/>
                <w:sz w:val="20"/>
                <w:szCs w:val="20"/>
                <w:lang w:eastAsia="sk-SK"/>
              </w:rPr>
              <w:t>majitelia/prihlasovatelia patentov, dizajnov, úžitkových vzorov, ochranných známok/ podnikatelia, patentoví zástupcovia, advokáti</w:t>
            </w:r>
            <w:r w:rsidR="00A41B32" w:rsidRPr="00313721">
              <w:rPr>
                <w:rFonts w:ascii="Times New Roman" w:eastAsia="Times New Roman" w:hAnsi="Times New Roman" w:cs="Times New Roman"/>
                <w:color w:val="000000"/>
                <w:sz w:val="20"/>
                <w:szCs w:val="20"/>
                <w:lang w:eastAsia="sk-SK"/>
              </w:rPr>
              <w:t xml:space="preserve"> </w:t>
            </w:r>
            <w:r w:rsidR="000D6F29" w:rsidRPr="00313721">
              <w:rPr>
                <w:rFonts w:ascii="Times New Roman" w:eastAsia="Times New Roman" w:hAnsi="Times New Roman" w:cs="Times New Roman"/>
                <w:color w:val="000000"/>
                <w:sz w:val="20"/>
                <w:szCs w:val="20"/>
                <w:lang w:eastAsia="sk-SK"/>
              </w:rPr>
              <w:t xml:space="preserve"> </w:t>
            </w:r>
          </w:p>
        </w:tc>
        <w:tc>
          <w:tcPr>
            <w:tcW w:w="974" w:type="dxa"/>
            <w:tcBorders>
              <w:top w:val="nil"/>
              <w:left w:val="nil"/>
              <w:bottom w:val="single" w:sz="4" w:space="0" w:color="auto"/>
              <w:right w:val="single" w:sz="4" w:space="0" w:color="auto"/>
            </w:tcBorders>
            <w:shd w:val="clear" w:color="auto" w:fill="auto"/>
            <w:vAlign w:val="center"/>
            <w:hideMark/>
          </w:tcPr>
          <w:p w14:paraId="5C0A8BFD" w14:textId="47706C9F" w:rsidR="000D6F29" w:rsidRPr="00313721" w:rsidRDefault="0020178E" w:rsidP="00B979CD">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100</w:t>
            </w:r>
          </w:p>
        </w:tc>
        <w:tc>
          <w:tcPr>
            <w:tcW w:w="1090" w:type="dxa"/>
            <w:tcBorders>
              <w:top w:val="nil"/>
              <w:left w:val="nil"/>
              <w:bottom w:val="single" w:sz="4" w:space="0" w:color="auto"/>
              <w:right w:val="single" w:sz="4" w:space="0" w:color="auto"/>
            </w:tcBorders>
            <w:shd w:val="clear" w:color="000000" w:fill="FFFFFF"/>
            <w:vAlign w:val="center"/>
            <w:hideMark/>
          </w:tcPr>
          <w:p w14:paraId="1BA95B54" w14:textId="7E0C52FB" w:rsidR="000D6F29" w:rsidRPr="00313721" w:rsidRDefault="0020178E"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20</w:t>
            </w:r>
            <w:r w:rsidR="000F7600" w:rsidRPr="00313721">
              <w:rPr>
                <w:rFonts w:ascii="Times New Roman" w:eastAsia="Times New Roman" w:hAnsi="Times New Roman" w:cs="Times New Roman"/>
                <w:color w:val="000000"/>
                <w:sz w:val="20"/>
                <w:szCs w:val="20"/>
                <w:lang w:eastAsia="sk-SK"/>
              </w:rPr>
              <w:t>3</w:t>
            </w:r>
          </w:p>
        </w:tc>
        <w:tc>
          <w:tcPr>
            <w:tcW w:w="1134" w:type="dxa"/>
            <w:tcBorders>
              <w:top w:val="nil"/>
              <w:left w:val="nil"/>
              <w:bottom w:val="single" w:sz="4" w:space="0" w:color="auto"/>
              <w:right w:val="single" w:sz="4" w:space="0" w:color="auto"/>
            </w:tcBorders>
            <w:shd w:val="clear" w:color="auto" w:fill="auto"/>
            <w:vAlign w:val="center"/>
            <w:hideMark/>
          </w:tcPr>
          <w:p w14:paraId="4B216701" w14:textId="329622EA" w:rsidR="000D6F29" w:rsidRPr="00313721" w:rsidRDefault="0020178E"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20 </w:t>
            </w:r>
            <w:r w:rsidR="00E632B8" w:rsidRPr="00313721">
              <w:rPr>
                <w:rFonts w:ascii="Times New Roman" w:eastAsia="Times New Roman" w:hAnsi="Times New Roman" w:cs="Times New Roman"/>
                <w:color w:val="000000"/>
                <w:sz w:val="20"/>
                <w:szCs w:val="20"/>
                <w:lang w:eastAsia="sk-SK"/>
              </w:rPr>
              <w:t>3</w:t>
            </w:r>
            <w:r w:rsidRPr="00313721">
              <w:rPr>
                <w:rFonts w:ascii="Times New Roman" w:eastAsia="Times New Roman" w:hAnsi="Times New Roman" w:cs="Times New Roman"/>
                <w:color w:val="000000"/>
                <w:sz w:val="20"/>
                <w:szCs w:val="20"/>
                <w:lang w:eastAsia="sk-SK"/>
              </w:rPr>
              <w:t>00</w:t>
            </w:r>
          </w:p>
        </w:tc>
        <w:tc>
          <w:tcPr>
            <w:tcW w:w="1021" w:type="dxa"/>
            <w:tcBorders>
              <w:top w:val="nil"/>
              <w:left w:val="nil"/>
              <w:bottom w:val="single" w:sz="4" w:space="0" w:color="auto"/>
              <w:right w:val="single" w:sz="4" w:space="0" w:color="auto"/>
            </w:tcBorders>
            <w:shd w:val="clear" w:color="auto" w:fill="auto"/>
            <w:vAlign w:val="center"/>
            <w:hideMark/>
          </w:tcPr>
          <w:p w14:paraId="5B7961C3" w14:textId="6DC9259D" w:rsidR="000D6F29" w:rsidRPr="00313721" w:rsidRDefault="00A41B32"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In (zvyšuje náklady)</w:t>
            </w:r>
          </w:p>
        </w:tc>
        <w:tc>
          <w:tcPr>
            <w:tcW w:w="1258" w:type="dxa"/>
            <w:tcBorders>
              <w:top w:val="nil"/>
              <w:left w:val="nil"/>
              <w:bottom w:val="single" w:sz="4" w:space="0" w:color="auto"/>
              <w:right w:val="single" w:sz="4" w:space="0" w:color="auto"/>
            </w:tcBorders>
            <w:shd w:val="clear" w:color="auto" w:fill="auto"/>
            <w:vAlign w:val="center"/>
            <w:hideMark/>
          </w:tcPr>
          <w:p w14:paraId="5AA84BDB" w14:textId="0415987A" w:rsidR="000D6F29" w:rsidRPr="00313721" w:rsidRDefault="0020178E"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20 </w:t>
            </w:r>
            <w:r w:rsidR="00E632B8" w:rsidRPr="00313721">
              <w:rPr>
                <w:rFonts w:ascii="Times New Roman" w:eastAsia="Times New Roman" w:hAnsi="Times New Roman" w:cs="Times New Roman"/>
                <w:sz w:val="20"/>
                <w:szCs w:val="20"/>
                <w:lang w:eastAsia="sk-SK"/>
              </w:rPr>
              <w:t>3</w:t>
            </w:r>
            <w:r w:rsidRPr="00313721">
              <w:rPr>
                <w:rFonts w:ascii="Times New Roman" w:eastAsia="Times New Roman" w:hAnsi="Times New Roman" w:cs="Times New Roman"/>
                <w:sz w:val="20"/>
                <w:szCs w:val="20"/>
                <w:lang w:eastAsia="sk-SK"/>
              </w:rPr>
              <w:t>0</w:t>
            </w:r>
            <w:r w:rsidR="000C0EAF" w:rsidRPr="00313721">
              <w:rPr>
                <w:rFonts w:ascii="Times New Roman" w:eastAsia="Times New Roman" w:hAnsi="Times New Roman" w:cs="Times New Roman"/>
                <w:sz w:val="20"/>
                <w:szCs w:val="20"/>
                <w:lang w:eastAsia="sk-SK"/>
              </w:rPr>
              <w:t>0</w:t>
            </w:r>
          </w:p>
        </w:tc>
        <w:tc>
          <w:tcPr>
            <w:tcW w:w="1163" w:type="dxa"/>
            <w:tcBorders>
              <w:top w:val="nil"/>
              <w:left w:val="nil"/>
              <w:bottom w:val="single" w:sz="4" w:space="0" w:color="auto"/>
              <w:right w:val="single" w:sz="4" w:space="0" w:color="auto"/>
            </w:tcBorders>
            <w:shd w:val="clear" w:color="auto" w:fill="auto"/>
            <w:vAlign w:val="center"/>
            <w:hideMark/>
          </w:tcPr>
          <w:p w14:paraId="0572FE7B"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w:t>
            </w:r>
          </w:p>
        </w:tc>
        <w:tc>
          <w:tcPr>
            <w:tcW w:w="768" w:type="dxa"/>
            <w:vAlign w:val="center"/>
            <w:hideMark/>
          </w:tcPr>
          <w:p w14:paraId="27997A12"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3E446427"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hideMark/>
          </w:tcPr>
          <w:p w14:paraId="268175F0"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lastRenderedPageBreak/>
              <w:t>2</w:t>
            </w:r>
          </w:p>
        </w:tc>
        <w:tc>
          <w:tcPr>
            <w:tcW w:w="1667" w:type="dxa"/>
            <w:tcBorders>
              <w:top w:val="nil"/>
              <w:left w:val="nil"/>
              <w:bottom w:val="single" w:sz="4" w:space="0" w:color="auto"/>
              <w:right w:val="single" w:sz="4" w:space="0" w:color="auto"/>
            </w:tcBorders>
            <w:shd w:val="clear" w:color="auto" w:fill="auto"/>
            <w:vAlign w:val="center"/>
            <w:hideMark/>
          </w:tcPr>
          <w:p w14:paraId="4F962CDD"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Vypustenie kaucie v niektorých sporových konaniach</w:t>
            </w:r>
          </w:p>
        </w:tc>
        <w:tc>
          <w:tcPr>
            <w:tcW w:w="1045" w:type="dxa"/>
            <w:tcBorders>
              <w:top w:val="nil"/>
              <w:left w:val="nil"/>
              <w:bottom w:val="single" w:sz="4" w:space="0" w:color="auto"/>
              <w:right w:val="single" w:sz="4" w:space="0" w:color="auto"/>
            </w:tcBorders>
            <w:shd w:val="clear" w:color="auto" w:fill="auto"/>
            <w:vAlign w:val="center"/>
            <w:hideMark/>
          </w:tcPr>
          <w:p w14:paraId="4F43E85C"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zákon č. 444/2002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zákon č. 517/2007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zákon č. 506/2009 Z. z.</w:t>
            </w:r>
          </w:p>
        </w:tc>
        <w:tc>
          <w:tcPr>
            <w:tcW w:w="1239" w:type="dxa"/>
            <w:tcBorders>
              <w:top w:val="nil"/>
              <w:left w:val="nil"/>
              <w:bottom w:val="single" w:sz="4" w:space="0" w:color="auto"/>
              <w:right w:val="single" w:sz="4" w:space="0" w:color="auto"/>
            </w:tcBorders>
            <w:shd w:val="clear" w:color="auto" w:fill="auto"/>
            <w:vAlign w:val="center"/>
            <w:hideMark/>
          </w:tcPr>
          <w:p w14:paraId="7B35F599" w14:textId="77777777" w:rsidR="000D6F29" w:rsidRPr="00313721" w:rsidRDefault="000D6F29"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39,  zákon č. 444/2002 Z. z.</w:t>
            </w:r>
            <w:r w:rsidRPr="00313721">
              <w:rPr>
                <w:rFonts w:ascii="Times New Roman" w:eastAsia="Times New Roman" w:hAnsi="Times New Roman" w:cs="Times New Roman"/>
                <w:color w:val="000000"/>
                <w:sz w:val="20"/>
                <w:szCs w:val="20"/>
                <w:lang w:eastAsia="sk-SK"/>
              </w:rPr>
              <w:br/>
            </w:r>
            <w:r w:rsidRPr="00313721">
              <w:rPr>
                <w:rFonts w:ascii="Times New Roman" w:eastAsia="Times New Roman" w:hAnsi="Times New Roman" w:cs="Times New Roman"/>
                <w:color w:val="000000"/>
                <w:sz w:val="20"/>
                <w:szCs w:val="20"/>
                <w:lang w:eastAsia="sk-SK"/>
              </w:rPr>
              <w:br/>
              <w:t xml:space="preserve">§ 46, zákon č. 517/2007 Z. z. </w:t>
            </w:r>
            <w:r w:rsidRPr="00313721">
              <w:rPr>
                <w:rFonts w:ascii="Times New Roman" w:eastAsia="Times New Roman" w:hAnsi="Times New Roman" w:cs="Times New Roman"/>
                <w:color w:val="000000"/>
                <w:sz w:val="20"/>
                <w:szCs w:val="20"/>
                <w:lang w:eastAsia="sk-SK"/>
              </w:rPr>
              <w:br/>
              <w:t>§ 37 ods. 9, zákon č. 506/2009 Z. z.</w:t>
            </w:r>
          </w:p>
        </w:tc>
        <w:tc>
          <w:tcPr>
            <w:tcW w:w="1100" w:type="dxa"/>
            <w:tcBorders>
              <w:top w:val="nil"/>
              <w:left w:val="nil"/>
              <w:bottom w:val="single" w:sz="4" w:space="0" w:color="auto"/>
              <w:right w:val="single" w:sz="4" w:space="0" w:color="auto"/>
            </w:tcBorders>
            <w:shd w:val="clear" w:color="auto" w:fill="auto"/>
            <w:vAlign w:val="center"/>
            <w:hideMark/>
          </w:tcPr>
          <w:p w14:paraId="601BE92A"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hideMark/>
          </w:tcPr>
          <w:p w14:paraId="29CCD064"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hideMark/>
          </w:tcPr>
          <w:p w14:paraId="316367E4"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navrhovatelia na výmaz dizajnu, úžitkového vzoru/na zrušenie alebo vyhlásenie OZ za neplatnú  </w:t>
            </w:r>
          </w:p>
        </w:tc>
        <w:tc>
          <w:tcPr>
            <w:tcW w:w="974" w:type="dxa"/>
            <w:tcBorders>
              <w:top w:val="nil"/>
              <w:left w:val="nil"/>
              <w:bottom w:val="single" w:sz="4" w:space="0" w:color="auto"/>
              <w:right w:val="single" w:sz="4" w:space="0" w:color="auto"/>
            </w:tcBorders>
            <w:shd w:val="clear" w:color="auto" w:fill="auto"/>
            <w:vAlign w:val="center"/>
            <w:hideMark/>
          </w:tcPr>
          <w:p w14:paraId="4D956E51" w14:textId="6B7F9A3D" w:rsidR="000D6F29" w:rsidRPr="00313721" w:rsidRDefault="000D6F29" w:rsidP="00B979CD">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w:t>
            </w:r>
            <w:r w:rsidR="00A8284E" w:rsidRPr="00313721">
              <w:rPr>
                <w:rFonts w:ascii="Times New Roman" w:eastAsia="Times New Roman" w:hAnsi="Times New Roman" w:cs="Times New Roman"/>
                <w:color w:val="000000"/>
                <w:sz w:val="20"/>
                <w:szCs w:val="20"/>
                <w:lang w:eastAsia="sk-SK"/>
              </w:rPr>
              <w:t>7</w:t>
            </w:r>
          </w:p>
        </w:tc>
        <w:tc>
          <w:tcPr>
            <w:tcW w:w="1090" w:type="dxa"/>
            <w:tcBorders>
              <w:top w:val="nil"/>
              <w:left w:val="nil"/>
              <w:bottom w:val="single" w:sz="4" w:space="0" w:color="auto"/>
              <w:right w:val="single" w:sz="4" w:space="0" w:color="auto"/>
            </w:tcBorders>
            <w:shd w:val="clear" w:color="auto" w:fill="auto"/>
            <w:vAlign w:val="center"/>
            <w:hideMark/>
          </w:tcPr>
          <w:p w14:paraId="78B6071E"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100</w:t>
            </w:r>
          </w:p>
        </w:tc>
        <w:tc>
          <w:tcPr>
            <w:tcW w:w="1134" w:type="dxa"/>
            <w:tcBorders>
              <w:top w:val="nil"/>
              <w:left w:val="nil"/>
              <w:bottom w:val="single" w:sz="4" w:space="0" w:color="auto"/>
              <w:right w:val="single" w:sz="4" w:space="0" w:color="auto"/>
            </w:tcBorders>
            <w:shd w:val="clear" w:color="auto" w:fill="auto"/>
            <w:vAlign w:val="center"/>
            <w:hideMark/>
          </w:tcPr>
          <w:p w14:paraId="7A3C071A" w14:textId="3B06FAA3"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1 6</w:t>
            </w:r>
            <w:r w:rsidR="00A8284E" w:rsidRPr="00313721">
              <w:rPr>
                <w:rFonts w:ascii="Times New Roman" w:eastAsia="Times New Roman" w:hAnsi="Times New Roman" w:cs="Times New Roman"/>
                <w:color w:val="000000"/>
                <w:sz w:val="20"/>
                <w:szCs w:val="20"/>
                <w:lang w:eastAsia="sk-SK"/>
              </w:rPr>
              <w:t>6</w:t>
            </w:r>
            <w:r w:rsidRPr="00313721">
              <w:rPr>
                <w:rFonts w:ascii="Times New Roman" w:eastAsia="Times New Roman" w:hAnsi="Times New Roman" w:cs="Times New Roman"/>
                <w:color w:val="000000"/>
                <w:sz w:val="20"/>
                <w:szCs w:val="20"/>
                <w:lang w:eastAsia="sk-SK"/>
              </w:rPr>
              <w:t>0</w:t>
            </w:r>
          </w:p>
        </w:tc>
        <w:tc>
          <w:tcPr>
            <w:tcW w:w="1021" w:type="dxa"/>
            <w:tcBorders>
              <w:top w:val="nil"/>
              <w:left w:val="nil"/>
              <w:bottom w:val="single" w:sz="4" w:space="0" w:color="auto"/>
              <w:right w:val="single" w:sz="4" w:space="0" w:color="auto"/>
            </w:tcBorders>
            <w:shd w:val="clear" w:color="auto" w:fill="auto"/>
            <w:vAlign w:val="center"/>
            <w:hideMark/>
          </w:tcPr>
          <w:p w14:paraId="6BE95E5D"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proofErr w:type="spellStart"/>
            <w:r w:rsidRPr="00313721">
              <w:rPr>
                <w:rFonts w:ascii="Times New Roman" w:eastAsia="Times New Roman" w:hAnsi="Times New Roman" w:cs="Times New Roman"/>
                <w:color w:val="000000"/>
                <w:sz w:val="20"/>
                <w:szCs w:val="20"/>
                <w:lang w:eastAsia="sk-SK"/>
              </w:rPr>
              <w:t>Out</w:t>
            </w:r>
            <w:proofErr w:type="spellEnd"/>
            <w:r w:rsidRPr="00313721">
              <w:rPr>
                <w:rFonts w:ascii="Times New Roman" w:eastAsia="Times New Roman" w:hAnsi="Times New Roman" w:cs="Times New Roman"/>
                <w:color w:val="000000"/>
                <w:sz w:val="20"/>
                <w:szCs w:val="20"/>
                <w:lang w:eastAsia="sk-SK"/>
              </w:rPr>
              <w:t xml:space="preserve"> (znižuje náklady)</w:t>
            </w:r>
          </w:p>
        </w:tc>
        <w:tc>
          <w:tcPr>
            <w:tcW w:w="1258" w:type="dxa"/>
            <w:tcBorders>
              <w:top w:val="nil"/>
              <w:left w:val="nil"/>
              <w:bottom w:val="single" w:sz="4" w:space="0" w:color="auto"/>
              <w:right w:val="single" w:sz="4" w:space="0" w:color="auto"/>
            </w:tcBorders>
            <w:shd w:val="clear" w:color="auto" w:fill="auto"/>
            <w:vAlign w:val="center"/>
            <w:hideMark/>
          </w:tcPr>
          <w:p w14:paraId="72D6019B" w14:textId="040DACD3" w:rsidR="000D6F29" w:rsidRPr="00313721" w:rsidRDefault="000D6F2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1 6</w:t>
            </w:r>
            <w:r w:rsidR="00A8284E" w:rsidRPr="00313721">
              <w:rPr>
                <w:rFonts w:ascii="Times New Roman" w:eastAsia="Times New Roman" w:hAnsi="Times New Roman" w:cs="Times New Roman"/>
                <w:sz w:val="20"/>
                <w:szCs w:val="20"/>
                <w:lang w:eastAsia="sk-SK"/>
              </w:rPr>
              <w:t>6</w:t>
            </w:r>
            <w:r w:rsidRPr="00313721">
              <w:rPr>
                <w:rFonts w:ascii="Times New Roman" w:eastAsia="Times New Roman" w:hAnsi="Times New Roman" w:cs="Times New Roman"/>
                <w:sz w:val="20"/>
                <w:szCs w:val="20"/>
                <w:lang w:eastAsia="sk-SK"/>
              </w:rPr>
              <w:t>0</w:t>
            </w:r>
          </w:p>
        </w:tc>
        <w:tc>
          <w:tcPr>
            <w:tcW w:w="1163" w:type="dxa"/>
            <w:tcBorders>
              <w:top w:val="nil"/>
              <w:left w:val="nil"/>
              <w:bottom w:val="single" w:sz="4" w:space="0" w:color="auto"/>
              <w:right w:val="single" w:sz="4" w:space="0" w:color="auto"/>
            </w:tcBorders>
            <w:shd w:val="clear" w:color="auto" w:fill="auto"/>
            <w:vAlign w:val="center"/>
            <w:hideMark/>
          </w:tcPr>
          <w:p w14:paraId="17087FD6" w14:textId="77777777" w:rsidR="000D6F29" w:rsidRPr="00313721" w:rsidRDefault="000D6F2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w:t>
            </w:r>
          </w:p>
        </w:tc>
        <w:tc>
          <w:tcPr>
            <w:tcW w:w="768" w:type="dxa"/>
            <w:vAlign w:val="center"/>
            <w:hideMark/>
          </w:tcPr>
          <w:p w14:paraId="3C1CF734" w14:textId="77777777" w:rsidR="000D6F29" w:rsidRPr="00313721" w:rsidRDefault="000D6F29" w:rsidP="000D6F29">
            <w:pPr>
              <w:spacing w:after="0" w:line="240" w:lineRule="auto"/>
              <w:rPr>
                <w:rFonts w:ascii="Times New Roman" w:eastAsia="Times New Roman" w:hAnsi="Times New Roman" w:cs="Times New Roman"/>
                <w:sz w:val="20"/>
                <w:szCs w:val="20"/>
                <w:lang w:eastAsia="sk-SK"/>
              </w:rPr>
            </w:pPr>
          </w:p>
        </w:tc>
      </w:tr>
      <w:tr w:rsidR="008B78D6" w:rsidRPr="00313721" w14:paraId="5EEEF688"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43DBED2E" w14:textId="6C27B071"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3</w:t>
            </w:r>
          </w:p>
        </w:tc>
        <w:tc>
          <w:tcPr>
            <w:tcW w:w="1667" w:type="dxa"/>
            <w:tcBorders>
              <w:top w:val="nil"/>
              <w:left w:val="nil"/>
              <w:bottom w:val="single" w:sz="4" w:space="0" w:color="auto"/>
              <w:right w:val="single" w:sz="4" w:space="0" w:color="auto"/>
            </w:tcBorders>
            <w:shd w:val="clear" w:color="auto" w:fill="auto"/>
            <w:vAlign w:val="center"/>
          </w:tcPr>
          <w:p w14:paraId="6726E124" w14:textId="240D5438"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Zmeny vybraných správnych poplatkov vyberaných Úradom priemyselného vlastníctva SR</w:t>
            </w:r>
          </w:p>
        </w:tc>
        <w:tc>
          <w:tcPr>
            <w:tcW w:w="1045" w:type="dxa"/>
            <w:tcBorders>
              <w:top w:val="nil"/>
              <w:left w:val="nil"/>
              <w:bottom w:val="single" w:sz="4" w:space="0" w:color="auto"/>
              <w:right w:val="single" w:sz="4" w:space="0" w:color="auto"/>
            </w:tcBorders>
            <w:shd w:val="clear" w:color="auto" w:fill="auto"/>
            <w:vAlign w:val="center"/>
          </w:tcPr>
          <w:p w14:paraId="5997FD57" w14:textId="49C84F04"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Zákon </w:t>
            </w:r>
            <w:r w:rsidR="001536C5" w:rsidRPr="00313721">
              <w:rPr>
                <w:rFonts w:ascii="Times New Roman" w:eastAsia="Times New Roman" w:hAnsi="Times New Roman" w:cs="Times New Roman"/>
                <w:color w:val="000000"/>
                <w:sz w:val="20"/>
                <w:szCs w:val="20"/>
                <w:lang w:eastAsia="sk-SK"/>
              </w:rPr>
              <w:t xml:space="preserve">NR SR </w:t>
            </w:r>
            <w:r w:rsidRPr="00313721">
              <w:rPr>
                <w:rFonts w:ascii="Times New Roman" w:eastAsia="Times New Roman" w:hAnsi="Times New Roman" w:cs="Times New Roman"/>
                <w:color w:val="000000"/>
                <w:sz w:val="20"/>
                <w:szCs w:val="20"/>
                <w:lang w:eastAsia="sk-SK"/>
              </w:rPr>
              <w:t>č. 145/1995 Z. z.</w:t>
            </w:r>
          </w:p>
        </w:tc>
        <w:tc>
          <w:tcPr>
            <w:tcW w:w="1239" w:type="dxa"/>
            <w:tcBorders>
              <w:top w:val="nil"/>
              <w:left w:val="nil"/>
              <w:bottom w:val="single" w:sz="4" w:space="0" w:color="auto"/>
              <w:right w:val="single" w:sz="4" w:space="0" w:color="auto"/>
            </w:tcBorders>
            <w:shd w:val="clear" w:color="auto" w:fill="auto"/>
            <w:vAlign w:val="center"/>
          </w:tcPr>
          <w:p w14:paraId="36DED596" w14:textId="4E1F46AA"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Položky 214 až 232</w:t>
            </w:r>
          </w:p>
        </w:tc>
        <w:tc>
          <w:tcPr>
            <w:tcW w:w="1100" w:type="dxa"/>
            <w:tcBorders>
              <w:top w:val="nil"/>
              <w:left w:val="nil"/>
              <w:bottom w:val="single" w:sz="4" w:space="0" w:color="auto"/>
              <w:right w:val="single" w:sz="4" w:space="0" w:color="auto"/>
            </w:tcBorders>
            <w:shd w:val="clear" w:color="auto" w:fill="auto"/>
            <w:vAlign w:val="center"/>
          </w:tcPr>
          <w:p w14:paraId="1DB4B350" w14:textId="06EE49CA" w:rsidR="00702A04" w:rsidRPr="00313721" w:rsidRDefault="00702A04" w:rsidP="00B979CD">
            <w:pPr>
              <w:pStyle w:val="Odsekzoznamu"/>
              <w:spacing w:after="0" w:line="240" w:lineRule="auto"/>
              <w:ind w:left="390"/>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tcPr>
          <w:p w14:paraId="384FB30B" w14:textId="6A631B8A"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64948290" w14:textId="34203A8F"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majitelia/prihlasovatelia patentov, dizajnov, úžitkových vzorov, ochranných známok/ podnikatelia</w:t>
            </w:r>
          </w:p>
        </w:tc>
        <w:tc>
          <w:tcPr>
            <w:tcW w:w="974" w:type="dxa"/>
            <w:tcBorders>
              <w:top w:val="nil"/>
              <w:left w:val="nil"/>
              <w:bottom w:val="single" w:sz="4" w:space="0" w:color="auto"/>
              <w:right w:val="single" w:sz="4" w:space="0" w:color="auto"/>
            </w:tcBorders>
            <w:shd w:val="clear" w:color="auto" w:fill="auto"/>
            <w:vAlign w:val="center"/>
          </w:tcPr>
          <w:p w14:paraId="3061B8C9" w14:textId="0A3E9551" w:rsidR="00702A04" w:rsidRPr="00313721" w:rsidRDefault="00702A04" w:rsidP="000D6F29">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     11 </w:t>
            </w:r>
            <w:r w:rsidR="00A73CA1" w:rsidRPr="00313721">
              <w:rPr>
                <w:rFonts w:ascii="Times New Roman" w:eastAsia="Times New Roman" w:hAnsi="Times New Roman" w:cs="Times New Roman"/>
                <w:color w:val="000000"/>
                <w:sz w:val="20"/>
                <w:szCs w:val="20"/>
                <w:lang w:eastAsia="sk-SK"/>
              </w:rPr>
              <w:t>283</w:t>
            </w:r>
          </w:p>
        </w:tc>
        <w:tc>
          <w:tcPr>
            <w:tcW w:w="1090" w:type="dxa"/>
            <w:tcBorders>
              <w:top w:val="nil"/>
              <w:left w:val="nil"/>
              <w:bottom w:val="single" w:sz="4" w:space="0" w:color="auto"/>
              <w:right w:val="single" w:sz="4" w:space="0" w:color="auto"/>
            </w:tcBorders>
            <w:shd w:val="clear" w:color="auto" w:fill="auto"/>
            <w:vAlign w:val="center"/>
          </w:tcPr>
          <w:p w14:paraId="2FFAD521" w14:textId="4DE1D2D4"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17</w:t>
            </w:r>
          </w:p>
        </w:tc>
        <w:tc>
          <w:tcPr>
            <w:tcW w:w="1134" w:type="dxa"/>
            <w:tcBorders>
              <w:top w:val="nil"/>
              <w:left w:val="nil"/>
              <w:bottom w:val="single" w:sz="4" w:space="0" w:color="auto"/>
              <w:right w:val="single" w:sz="4" w:space="0" w:color="auto"/>
            </w:tcBorders>
            <w:shd w:val="clear" w:color="auto" w:fill="auto"/>
            <w:vAlign w:val="center"/>
          </w:tcPr>
          <w:p w14:paraId="44CF3239" w14:textId="336199AA" w:rsidR="00702A04" w:rsidRPr="00313721" w:rsidRDefault="000B02DA"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190 112</w:t>
            </w:r>
          </w:p>
        </w:tc>
        <w:tc>
          <w:tcPr>
            <w:tcW w:w="1021" w:type="dxa"/>
            <w:tcBorders>
              <w:top w:val="nil"/>
              <w:left w:val="nil"/>
              <w:bottom w:val="single" w:sz="4" w:space="0" w:color="auto"/>
              <w:right w:val="single" w:sz="4" w:space="0" w:color="auto"/>
            </w:tcBorders>
            <w:shd w:val="clear" w:color="auto" w:fill="auto"/>
            <w:vAlign w:val="center"/>
          </w:tcPr>
          <w:p w14:paraId="5BC68960" w14:textId="6AD7A08D"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In (zvyšuje náklady)</w:t>
            </w:r>
          </w:p>
        </w:tc>
        <w:tc>
          <w:tcPr>
            <w:tcW w:w="1258" w:type="dxa"/>
            <w:tcBorders>
              <w:top w:val="nil"/>
              <w:left w:val="nil"/>
              <w:bottom w:val="single" w:sz="4" w:space="0" w:color="auto"/>
              <w:right w:val="single" w:sz="4" w:space="0" w:color="auto"/>
            </w:tcBorders>
            <w:shd w:val="clear" w:color="auto" w:fill="auto"/>
            <w:vAlign w:val="center"/>
          </w:tcPr>
          <w:p w14:paraId="6A910B74" w14:textId="50EFA9D1" w:rsidR="00702A04" w:rsidRPr="00313721" w:rsidRDefault="000B02DA"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color w:val="000000"/>
                <w:sz w:val="20"/>
                <w:szCs w:val="20"/>
                <w:lang w:eastAsia="sk-SK"/>
              </w:rPr>
              <w:t>190 112</w:t>
            </w:r>
          </w:p>
        </w:tc>
        <w:tc>
          <w:tcPr>
            <w:tcW w:w="1163" w:type="dxa"/>
            <w:tcBorders>
              <w:top w:val="nil"/>
              <w:left w:val="nil"/>
              <w:bottom w:val="single" w:sz="4" w:space="0" w:color="auto"/>
              <w:right w:val="single" w:sz="4" w:space="0" w:color="auto"/>
            </w:tcBorders>
            <w:shd w:val="clear" w:color="auto" w:fill="auto"/>
            <w:vAlign w:val="center"/>
          </w:tcPr>
          <w:p w14:paraId="59714A57" w14:textId="258A31CB"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w:t>
            </w:r>
          </w:p>
        </w:tc>
        <w:tc>
          <w:tcPr>
            <w:tcW w:w="768" w:type="dxa"/>
            <w:vAlign w:val="center"/>
          </w:tcPr>
          <w:p w14:paraId="6A3DC657" w14:textId="77777777" w:rsidR="00702A04" w:rsidRPr="00313721" w:rsidRDefault="00702A04" w:rsidP="000D6F29">
            <w:pPr>
              <w:spacing w:after="0" w:line="240" w:lineRule="auto"/>
              <w:rPr>
                <w:rFonts w:ascii="Times New Roman" w:eastAsia="Times New Roman" w:hAnsi="Times New Roman" w:cs="Times New Roman"/>
                <w:sz w:val="20"/>
                <w:szCs w:val="20"/>
                <w:lang w:eastAsia="sk-SK"/>
              </w:rPr>
            </w:pPr>
          </w:p>
        </w:tc>
      </w:tr>
      <w:tr w:rsidR="008B78D6" w:rsidRPr="00313721" w14:paraId="234BE9BE"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0D2DC85E" w14:textId="49A8D19E"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4</w:t>
            </w:r>
          </w:p>
        </w:tc>
        <w:tc>
          <w:tcPr>
            <w:tcW w:w="1667" w:type="dxa"/>
            <w:tcBorders>
              <w:top w:val="nil"/>
              <w:left w:val="nil"/>
              <w:bottom w:val="single" w:sz="4" w:space="0" w:color="auto"/>
              <w:right w:val="single" w:sz="4" w:space="0" w:color="auto"/>
            </w:tcBorders>
            <w:shd w:val="clear" w:color="auto" w:fill="auto"/>
            <w:vAlign w:val="center"/>
          </w:tcPr>
          <w:p w14:paraId="306C743F" w14:textId="7EFF323A"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Zmeny udržiavacích poplatkov za udržiavanie platnosti patentu, za udržiavanie platnosti európskeho patentu s účinkami pre Slovenskú republiku a za udržiavanie platnosti dodatkového ochranného osvedčenia na liečivá a výrobky na ochranu rastlín vyberaných </w:t>
            </w:r>
            <w:r w:rsidRPr="00313721">
              <w:rPr>
                <w:rFonts w:ascii="Times New Roman" w:eastAsia="Times New Roman" w:hAnsi="Times New Roman" w:cs="Times New Roman"/>
                <w:color w:val="000000"/>
                <w:sz w:val="20"/>
                <w:szCs w:val="20"/>
                <w:lang w:eastAsia="sk-SK"/>
              </w:rPr>
              <w:lastRenderedPageBreak/>
              <w:t>Úradom priemyselného vlastníctva SR</w:t>
            </w:r>
          </w:p>
        </w:tc>
        <w:tc>
          <w:tcPr>
            <w:tcW w:w="1045" w:type="dxa"/>
            <w:tcBorders>
              <w:top w:val="nil"/>
              <w:left w:val="nil"/>
              <w:bottom w:val="single" w:sz="4" w:space="0" w:color="auto"/>
              <w:right w:val="single" w:sz="4" w:space="0" w:color="auto"/>
            </w:tcBorders>
            <w:shd w:val="clear" w:color="auto" w:fill="auto"/>
            <w:vAlign w:val="center"/>
          </w:tcPr>
          <w:p w14:paraId="4BB47445" w14:textId="125E8656"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lastRenderedPageBreak/>
              <w:t>Zákon č. 495/2008 Z. z.</w:t>
            </w:r>
          </w:p>
        </w:tc>
        <w:tc>
          <w:tcPr>
            <w:tcW w:w="1239" w:type="dxa"/>
            <w:tcBorders>
              <w:top w:val="nil"/>
              <w:left w:val="nil"/>
              <w:bottom w:val="single" w:sz="4" w:space="0" w:color="auto"/>
              <w:right w:val="single" w:sz="4" w:space="0" w:color="auto"/>
            </w:tcBorders>
            <w:shd w:val="clear" w:color="auto" w:fill="auto"/>
            <w:vAlign w:val="center"/>
          </w:tcPr>
          <w:p w14:paraId="02DF269A" w14:textId="77777777"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Príloha</w:t>
            </w:r>
          </w:p>
          <w:p w14:paraId="64DD5DAC" w14:textId="282ACC32" w:rsidR="00702A04" w:rsidRPr="00313721" w:rsidRDefault="00702A04" w:rsidP="00B26364">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Sadzobník udržiavacích poplatkov</w:t>
            </w:r>
          </w:p>
        </w:tc>
        <w:tc>
          <w:tcPr>
            <w:tcW w:w="1100" w:type="dxa"/>
            <w:tcBorders>
              <w:top w:val="nil"/>
              <w:left w:val="nil"/>
              <w:bottom w:val="single" w:sz="4" w:space="0" w:color="auto"/>
              <w:right w:val="single" w:sz="4" w:space="0" w:color="auto"/>
            </w:tcBorders>
            <w:shd w:val="clear" w:color="auto" w:fill="auto"/>
            <w:vAlign w:val="center"/>
          </w:tcPr>
          <w:p w14:paraId="1B5F6AD3" w14:textId="170CF5FD"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tcPr>
          <w:p w14:paraId="3691E43D" w14:textId="7724644E"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15EDCBDC" w14:textId="07D651E5"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majitelia patentu/európskeho patentu s určením pre SR/DDO</w:t>
            </w:r>
          </w:p>
        </w:tc>
        <w:tc>
          <w:tcPr>
            <w:tcW w:w="974" w:type="dxa"/>
            <w:tcBorders>
              <w:top w:val="nil"/>
              <w:left w:val="nil"/>
              <w:bottom w:val="single" w:sz="4" w:space="0" w:color="auto"/>
              <w:right w:val="single" w:sz="4" w:space="0" w:color="auto"/>
            </w:tcBorders>
            <w:shd w:val="clear" w:color="auto" w:fill="auto"/>
            <w:vAlign w:val="center"/>
          </w:tcPr>
          <w:p w14:paraId="5EB26646" w14:textId="5E699EBA" w:rsidR="00702A04" w:rsidRPr="00313721" w:rsidRDefault="00702A04" w:rsidP="000D6F29">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   </w:t>
            </w:r>
            <w:r w:rsidR="008B78D6" w:rsidRPr="00313721">
              <w:rPr>
                <w:rFonts w:ascii="Times New Roman" w:eastAsia="Times New Roman" w:hAnsi="Times New Roman" w:cs="Times New Roman"/>
                <w:color w:val="000000"/>
                <w:sz w:val="20"/>
                <w:szCs w:val="20"/>
                <w:lang w:eastAsia="sk-SK"/>
              </w:rPr>
              <w:t>19 606</w:t>
            </w:r>
          </w:p>
        </w:tc>
        <w:tc>
          <w:tcPr>
            <w:tcW w:w="1090" w:type="dxa"/>
            <w:tcBorders>
              <w:top w:val="nil"/>
              <w:left w:val="nil"/>
              <w:bottom w:val="single" w:sz="4" w:space="0" w:color="auto"/>
              <w:right w:val="single" w:sz="4" w:space="0" w:color="auto"/>
            </w:tcBorders>
            <w:shd w:val="clear" w:color="auto" w:fill="auto"/>
            <w:vAlign w:val="center"/>
          </w:tcPr>
          <w:p w14:paraId="7D0A83D6" w14:textId="5C5FB394" w:rsidR="00702A04" w:rsidRPr="00313721" w:rsidRDefault="00F76559"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52</w:t>
            </w:r>
          </w:p>
        </w:tc>
        <w:tc>
          <w:tcPr>
            <w:tcW w:w="1134" w:type="dxa"/>
            <w:tcBorders>
              <w:top w:val="nil"/>
              <w:left w:val="nil"/>
              <w:bottom w:val="single" w:sz="4" w:space="0" w:color="auto"/>
              <w:right w:val="single" w:sz="4" w:space="0" w:color="auto"/>
            </w:tcBorders>
            <w:shd w:val="clear" w:color="auto" w:fill="auto"/>
            <w:vAlign w:val="center"/>
          </w:tcPr>
          <w:p w14:paraId="7D1B35FB" w14:textId="5E906E49" w:rsidR="00702A04" w:rsidRPr="00313721" w:rsidRDefault="00702A04"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w:t>
            </w:r>
            <w:r w:rsidR="000B02DA" w:rsidRPr="00313721">
              <w:rPr>
                <w:rFonts w:ascii="Times New Roman" w:eastAsia="Times New Roman" w:hAnsi="Times New Roman" w:cs="Times New Roman"/>
                <w:color w:val="000000"/>
                <w:sz w:val="20"/>
                <w:szCs w:val="20"/>
                <w:lang w:eastAsia="sk-SK"/>
              </w:rPr>
              <w:t> </w:t>
            </w:r>
            <w:r w:rsidR="00F6116D" w:rsidRPr="00313721">
              <w:rPr>
                <w:rFonts w:ascii="Times New Roman" w:eastAsia="Times New Roman" w:hAnsi="Times New Roman" w:cs="Times New Roman"/>
                <w:color w:val="000000"/>
                <w:sz w:val="20"/>
                <w:szCs w:val="20"/>
                <w:lang w:eastAsia="sk-SK"/>
              </w:rPr>
              <w:t>0</w:t>
            </w:r>
            <w:r w:rsidR="002E6A9C" w:rsidRPr="00313721">
              <w:rPr>
                <w:rFonts w:ascii="Times New Roman" w:eastAsia="Times New Roman" w:hAnsi="Times New Roman" w:cs="Times New Roman"/>
                <w:color w:val="000000"/>
                <w:sz w:val="20"/>
                <w:szCs w:val="20"/>
                <w:lang w:eastAsia="sk-SK"/>
              </w:rPr>
              <w:t>39</w:t>
            </w:r>
            <w:r w:rsidR="000B02DA" w:rsidRPr="00313721">
              <w:rPr>
                <w:rFonts w:ascii="Times New Roman" w:eastAsia="Times New Roman" w:hAnsi="Times New Roman" w:cs="Times New Roman"/>
                <w:color w:val="000000"/>
                <w:sz w:val="20"/>
                <w:szCs w:val="20"/>
                <w:lang w:eastAsia="sk-SK"/>
              </w:rPr>
              <w:t xml:space="preserve"> </w:t>
            </w:r>
            <w:r w:rsidR="002E6A9C" w:rsidRPr="00313721">
              <w:rPr>
                <w:rFonts w:ascii="Times New Roman" w:eastAsia="Times New Roman" w:hAnsi="Times New Roman" w:cs="Times New Roman"/>
                <w:color w:val="000000"/>
                <w:sz w:val="20"/>
                <w:szCs w:val="20"/>
                <w:lang w:eastAsia="sk-SK"/>
              </w:rPr>
              <w:t>018</w:t>
            </w:r>
          </w:p>
          <w:p w14:paraId="1770A4FA" w14:textId="1788058E" w:rsidR="005235BA" w:rsidRPr="00313721" w:rsidRDefault="005235BA" w:rsidP="000D6F29">
            <w:pPr>
              <w:spacing w:after="0" w:line="240" w:lineRule="auto"/>
              <w:jc w:val="center"/>
              <w:rPr>
                <w:rFonts w:ascii="Times New Roman" w:eastAsia="Times New Roman" w:hAnsi="Times New Roman" w:cs="Times New Roman"/>
                <w:color w:val="FF0000"/>
                <w:sz w:val="20"/>
                <w:szCs w:val="20"/>
                <w:lang w:eastAsia="sk-SK"/>
              </w:rPr>
            </w:pPr>
          </w:p>
        </w:tc>
        <w:tc>
          <w:tcPr>
            <w:tcW w:w="1021" w:type="dxa"/>
            <w:tcBorders>
              <w:top w:val="nil"/>
              <w:left w:val="nil"/>
              <w:bottom w:val="single" w:sz="4" w:space="0" w:color="auto"/>
              <w:right w:val="single" w:sz="4" w:space="0" w:color="auto"/>
            </w:tcBorders>
            <w:shd w:val="clear" w:color="auto" w:fill="auto"/>
            <w:vAlign w:val="center"/>
          </w:tcPr>
          <w:p w14:paraId="5775C497" w14:textId="6D371F2E"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In (zvyšuje náklady)</w:t>
            </w:r>
          </w:p>
        </w:tc>
        <w:tc>
          <w:tcPr>
            <w:tcW w:w="1258" w:type="dxa"/>
            <w:tcBorders>
              <w:top w:val="nil"/>
              <w:left w:val="nil"/>
              <w:bottom w:val="single" w:sz="4" w:space="0" w:color="auto"/>
              <w:right w:val="single" w:sz="4" w:space="0" w:color="auto"/>
            </w:tcBorders>
            <w:shd w:val="clear" w:color="auto" w:fill="auto"/>
            <w:vAlign w:val="center"/>
          </w:tcPr>
          <w:p w14:paraId="5C03B06B" w14:textId="71492A88" w:rsidR="00702A04" w:rsidRPr="00313721" w:rsidRDefault="00702A04"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color w:val="000000"/>
                <w:sz w:val="20"/>
                <w:szCs w:val="20"/>
                <w:lang w:eastAsia="sk-SK"/>
              </w:rPr>
              <w:t xml:space="preserve">1  </w:t>
            </w:r>
            <w:r w:rsidR="008B78D6" w:rsidRPr="00313721">
              <w:rPr>
                <w:rFonts w:ascii="Times New Roman" w:eastAsia="Times New Roman" w:hAnsi="Times New Roman" w:cs="Times New Roman"/>
                <w:color w:val="000000"/>
                <w:sz w:val="20"/>
                <w:szCs w:val="20"/>
                <w:lang w:eastAsia="sk-SK"/>
              </w:rPr>
              <w:t>0</w:t>
            </w:r>
            <w:r w:rsidR="006D3165" w:rsidRPr="00313721">
              <w:rPr>
                <w:rFonts w:ascii="Times New Roman" w:eastAsia="Times New Roman" w:hAnsi="Times New Roman" w:cs="Times New Roman"/>
                <w:color w:val="000000"/>
                <w:sz w:val="20"/>
                <w:szCs w:val="20"/>
                <w:lang w:eastAsia="sk-SK"/>
              </w:rPr>
              <w:t>39</w:t>
            </w:r>
            <w:r w:rsidR="000B02DA" w:rsidRPr="00313721">
              <w:rPr>
                <w:rFonts w:ascii="Times New Roman" w:eastAsia="Times New Roman" w:hAnsi="Times New Roman" w:cs="Times New Roman"/>
                <w:color w:val="000000"/>
                <w:sz w:val="20"/>
                <w:szCs w:val="20"/>
                <w:lang w:eastAsia="sk-SK"/>
              </w:rPr>
              <w:t xml:space="preserve"> </w:t>
            </w:r>
            <w:r w:rsidR="006D3165" w:rsidRPr="00313721">
              <w:rPr>
                <w:rFonts w:ascii="Times New Roman" w:eastAsia="Times New Roman" w:hAnsi="Times New Roman" w:cs="Times New Roman"/>
                <w:color w:val="000000"/>
                <w:sz w:val="20"/>
                <w:szCs w:val="20"/>
                <w:lang w:eastAsia="sk-SK"/>
              </w:rPr>
              <w:t>018</w:t>
            </w:r>
          </w:p>
        </w:tc>
        <w:tc>
          <w:tcPr>
            <w:tcW w:w="1163" w:type="dxa"/>
            <w:tcBorders>
              <w:top w:val="nil"/>
              <w:left w:val="nil"/>
              <w:bottom w:val="single" w:sz="4" w:space="0" w:color="auto"/>
              <w:right w:val="single" w:sz="4" w:space="0" w:color="auto"/>
            </w:tcBorders>
            <w:shd w:val="clear" w:color="auto" w:fill="auto"/>
            <w:vAlign w:val="center"/>
          </w:tcPr>
          <w:p w14:paraId="1493D15D" w14:textId="41A5064C" w:rsidR="00702A04" w:rsidRPr="00313721" w:rsidRDefault="00334FB1" w:rsidP="000D6F29">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0</w:t>
            </w:r>
          </w:p>
        </w:tc>
        <w:tc>
          <w:tcPr>
            <w:tcW w:w="768" w:type="dxa"/>
            <w:vAlign w:val="center"/>
          </w:tcPr>
          <w:p w14:paraId="05D3A41F" w14:textId="77777777" w:rsidR="00702A04" w:rsidRPr="00313721" w:rsidRDefault="00702A04" w:rsidP="000D6F29">
            <w:pPr>
              <w:spacing w:after="0" w:line="240" w:lineRule="auto"/>
              <w:rPr>
                <w:rFonts w:ascii="Times New Roman" w:eastAsia="Times New Roman" w:hAnsi="Times New Roman" w:cs="Times New Roman"/>
                <w:sz w:val="20"/>
                <w:szCs w:val="20"/>
                <w:lang w:eastAsia="sk-SK"/>
              </w:rPr>
            </w:pPr>
          </w:p>
        </w:tc>
      </w:tr>
      <w:tr w:rsidR="008B78D6" w:rsidRPr="00313721" w14:paraId="1A776C53"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07259157" w14:textId="6C7E69E5" w:rsidR="00F6159F"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5</w:t>
            </w:r>
          </w:p>
        </w:tc>
        <w:tc>
          <w:tcPr>
            <w:tcW w:w="1667" w:type="dxa"/>
            <w:tcBorders>
              <w:top w:val="nil"/>
              <w:left w:val="nil"/>
              <w:bottom w:val="single" w:sz="4" w:space="0" w:color="auto"/>
              <w:right w:val="single" w:sz="4" w:space="0" w:color="auto"/>
            </w:tcBorders>
            <w:shd w:val="clear" w:color="auto" w:fill="auto"/>
            <w:vAlign w:val="center"/>
          </w:tcPr>
          <w:p w14:paraId="47455F37" w14:textId="2166A541" w:rsidR="00F6159F" w:rsidRPr="00313721" w:rsidRDefault="00F6159F" w:rsidP="00B26364">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Zmena formy vydávania a zasielania osvedčení o zápise práva do registra (z listinnej formy na elektronickú)</w:t>
            </w:r>
          </w:p>
        </w:tc>
        <w:tc>
          <w:tcPr>
            <w:tcW w:w="1045" w:type="dxa"/>
            <w:tcBorders>
              <w:top w:val="nil"/>
              <w:left w:val="nil"/>
              <w:bottom w:val="single" w:sz="4" w:space="0" w:color="auto"/>
              <w:right w:val="single" w:sz="4" w:space="0" w:color="auto"/>
            </w:tcBorders>
            <w:shd w:val="clear" w:color="auto" w:fill="auto"/>
            <w:vAlign w:val="center"/>
          </w:tcPr>
          <w:p w14:paraId="14B6F7B1" w14:textId="05A92B3F"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435/2001 Z. z.</w:t>
            </w:r>
          </w:p>
          <w:p w14:paraId="45ECD2DF"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4A48FC45" w14:textId="47483943"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444/2002 Z. z.</w:t>
            </w:r>
          </w:p>
          <w:p w14:paraId="38C98E64"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7FC60C4C" w14:textId="1B2ED219"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517/2007 Z. z.</w:t>
            </w:r>
          </w:p>
          <w:p w14:paraId="6D02BB08" w14:textId="69EB37BC"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w:t>
            </w:r>
          </w:p>
          <w:p w14:paraId="4B62AC0D" w14:textId="6E3EC65F" w:rsidR="00F6159F"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506/2009 Z. z.</w:t>
            </w:r>
          </w:p>
        </w:tc>
        <w:tc>
          <w:tcPr>
            <w:tcW w:w="1239" w:type="dxa"/>
            <w:tcBorders>
              <w:top w:val="nil"/>
              <w:left w:val="nil"/>
              <w:bottom w:val="single" w:sz="4" w:space="0" w:color="auto"/>
              <w:right w:val="single" w:sz="4" w:space="0" w:color="auto"/>
            </w:tcBorders>
            <w:shd w:val="clear" w:color="auto" w:fill="auto"/>
            <w:vAlign w:val="center"/>
          </w:tcPr>
          <w:p w14:paraId="3353A444" w14:textId="249F746D"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44 ods. 4 zákon č. 435/2001 Z. z.</w:t>
            </w:r>
          </w:p>
          <w:p w14:paraId="144251F1"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2AD1A18A" w14:textId="4F4E43F2"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35 ods. 1 zákon č. 444/2002 Z. z.</w:t>
            </w:r>
          </w:p>
          <w:p w14:paraId="08917A00"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472F06FF" w14:textId="500218BB"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43 ods. 2 zákona č. 517/2007 Z. z. </w:t>
            </w:r>
          </w:p>
          <w:p w14:paraId="7B7BA9C1"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236F5E38" w14:textId="722C32A2" w:rsidR="00F6159F"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33 ods. 2 zákona č. 506/2009 Z. z.</w:t>
            </w:r>
          </w:p>
        </w:tc>
        <w:tc>
          <w:tcPr>
            <w:tcW w:w="1100" w:type="dxa"/>
            <w:tcBorders>
              <w:top w:val="nil"/>
              <w:left w:val="nil"/>
              <w:bottom w:val="single" w:sz="4" w:space="0" w:color="auto"/>
              <w:right w:val="single" w:sz="4" w:space="0" w:color="auto"/>
            </w:tcBorders>
            <w:shd w:val="clear" w:color="auto" w:fill="auto"/>
            <w:vAlign w:val="center"/>
          </w:tcPr>
          <w:p w14:paraId="027E489D" w14:textId="50811566" w:rsidR="00F6159F"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tcPr>
          <w:p w14:paraId="41B46057" w14:textId="0C865F44" w:rsidR="00F6159F"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3FE0B104" w14:textId="0B4E6DF9" w:rsidR="00F6159F" w:rsidRPr="00313721" w:rsidRDefault="00F6159F"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patentoví zástupcovia, advokáti</w:t>
            </w:r>
          </w:p>
        </w:tc>
        <w:tc>
          <w:tcPr>
            <w:tcW w:w="974" w:type="dxa"/>
            <w:tcBorders>
              <w:top w:val="nil"/>
              <w:left w:val="nil"/>
              <w:bottom w:val="single" w:sz="4" w:space="0" w:color="auto"/>
              <w:right w:val="single" w:sz="4" w:space="0" w:color="auto"/>
            </w:tcBorders>
            <w:shd w:val="clear" w:color="auto" w:fill="auto"/>
            <w:vAlign w:val="center"/>
          </w:tcPr>
          <w:p w14:paraId="29F3B4E8" w14:textId="0B93C916" w:rsidR="00F6159F" w:rsidRPr="00313721" w:rsidRDefault="005F21D9" w:rsidP="000D6F29">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w:t>
            </w:r>
            <w:r w:rsidR="000B02DA" w:rsidRPr="00313721">
              <w:rPr>
                <w:rFonts w:ascii="Times New Roman" w:eastAsia="Times New Roman" w:hAnsi="Times New Roman" w:cs="Times New Roman"/>
                <w:sz w:val="20"/>
                <w:szCs w:val="20"/>
                <w:lang w:eastAsia="sk-SK"/>
              </w:rPr>
              <w:t xml:space="preserve"> </w:t>
            </w:r>
            <w:r w:rsidRPr="00313721">
              <w:rPr>
                <w:rFonts w:ascii="Times New Roman" w:eastAsia="Times New Roman" w:hAnsi="Times New Roman" w:cs="Times New Roman"/>
                <w:sz w:val="20"/>
                <w:szCs w:val="20"/>
                <w:lang w:eastAsia="sk-SK"/>
              </w:rPr>
              <w:t>622</w:t>
            </w:r>
          </w:p>
        </w:tc>
        <w:tc>
          <w:tcPr>
            <w:tcW w:w="1090" w:type="dxa"/>
            <w:tcBorders>
              <w:top w:val="nil"/>
              <w:left w:val="nil"/>
              <w:bottom w:val="single" w:sz="4" w:space="0" w:color="auto"/>
              <w:right w:val="single" w:sz="4" w:space="0" w:color="auto"/>
            </w:tcBorders>
            <w:shd w:val="clear" w:color="auto" w:fill="auto"/>
            <w:vAlign w:val="center"/>
          </w:tcPr>
          <w:p w14:paraId="056FE294" w14:textId="489BC5CB" w:rsidR="00F6159F" w:rsidRPr="00313721" w:rsidRDefault="005F21D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24</w:t>
            </w:r>
          </w:p>
        </w:tc>
        <w:tc>
          <w:tcPr>
            <w:tcW w:w="1134" w:type="dxa"/>
            <w:tcBorders>
              <w:top w:val="nil"/>
              <w:left w:val="nil"/>
              <w:bottom w:val="single" w:sz="4" w:space="0" w:color="auto"/>
              <w:right w:val="single" w:sz="4" w:space="0" w:color="auto"/>
            </w:tcBorders>
            <w:shd w:val="clear" w:color="auto" w:fill="auto"/>
            <w:vAlign w:val="center"/>
          </w:tcPr>
          <w:p w14:paraId="30540762" w14:textId="218BDF1C" w:rsidR="00F6159F" w:rsidRPr="00313721" w:rsidRDefault="005F21D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38</w:t>
            </w:r>
            <w:r w:rsidR="00334FB1" w:rsidRPr="00313721">
              <w:rPr>
                <w:rFonts w:ascii="Times New Roman" w:eastAsia="Times New Roman" w:hAnsi="Times New Roman" w:cs="Times New Roman"/>
                <w:sz w:val="20"/>
                <w:szCs w:val="20"/>
                <w:lang w:eastAsia="sk-SK"/>
              </w:rPr>
              <w:t xml:space="preserve"> </w:t>
            </w:r>
            <w:r w:rsidRPr="00313721">
              <w:rPr>
                <w:rFonts w:ascii="Times New Roman" w:eastAsia="Times New Roman" w:hAnsi="Times New Roman" w:cs="Times New Roman"/>
                <w:sz w:val="20"/>
                <w:szCs w:val="20"/>
                <w:lang w:eastAsia="sk-SK"/>
              </w:rPr>
              <w:t>756</w:t>
            </w:r>
          </w:p>
        </w:tc>
        <w:tc>
          <w:tcPr>
            <w:tcW w:w="1021" w:type="dxa"/>
            <w:tcBorders>
              <w:top w:val="nil"/>
              <w:left w:val="nil"/>
              <w:bottom w:val="single" w:sz="4" w:space="0" w:color="auto"/>
              <w:right w:val="single" w:sz="4" w:space="0" w:color="auto"/>
            </w:tcBorders>
            <w:shd w:val="clear" w:color="auto" w:fill="auto"/>
            <w:vAlign w:val="center"/>
          </w:tcPr>
          <w:p w14:paraId="22ABF63F" w14:textId="5151E3AD" w:rsidR="00F6159F" w:rsidRPr="00313721" w:rsidRDefault="00825C43" w:rsidP="000D6F29">
            <w:pPr>
              <w:spacing w:after="0" w:line="240" w:lineRule="auto"/>
              <w:jc w:val="center"/>
              <w:rPr>
                <w:rFonts w:ascii="Times New Roman" w:eastAsia="Times New Roman" w:hAnsi="Times New Roman" w:cs="Times New Roman"/>
                <w:sz w:val="20"/>
                <w:szCs w:val="20"/>
                <w:lang w:eastAsia="sk-SK"/>
              </w:rPr>
            </w:pPr>
            <w:proofErr w:type="spellStart"/>
            <w:r w:rsidRPr="00313721">
              <w:rPr>
                <w:rFonts w:ascii="Times New Roman" w:eastAsia="Times New Roman" w:hAnsi="Times New Roman" w:cs="Times New Roman"/>
                <w:sz w:val="20"/>
                <w:szCs w:val="20"/>
                <w:lang w:eastAsia="sk-SK"/>
              </w:rPr>
              <w:t>Out</w:t>
            </w:r>
            <w:proofErr w:type="spellEnd"/>
            <w:r w:rsidRPr="00313721">
              <w:rPr>
                <w:rFonts w:ascii="Times New Roman" w:eastAsia="Times New Roman" w:hAnsi="Times New Roman" w:cs="Times New Roman"/>
                <w:sz w:val="20"/>
                <w:szCs w:val="20"/>
                <w:lang w:eastAsia="sk-SK"/>
              </w:rPr>
              <w:t xml:space="preserve"> (znižuje náklady)</w:t>
            </w:r>
          </w:p>
        </w:tc>
        <w:tc>
          <w:tcPr>
            <w:tcW w:w="1258" w:type="dxa"/>
            <w:tcBorders>
              <w:top w:val="nil"/>
              <w:left w:val="nil"/>
              <w:bottom w:val="single" w:sz="4" w:space="0" w:color="auto"/>
              <w:right w:val="single" w:sz="4" w:space="0" w:color="auto"/>
            </w:tcBorders>
            <w:shd w:val="clear" w:color="auto" w:fill="auto"/>
            <w:vAlign w:val="center"/>
          </w:tcPr>
          <w:p w14:paraId="3A1298D7" w14:textId="0DFAEFC5" w:rsidR="00F6159F"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38 756</w:t>
            </w:r>
          </w:p>
        </w:tc>
        <w:tc>
          <w:tcPr>
            <w:tcW w:w="1163" w:type="dxa"/>
            <w:tcBorders>
              <w:top w:val="nil"/>
              <w:left w:val="nil"/>
              <w:bottom w:val="single" w:sz="4" w:space="0" w:color="auto"/>
              <w:right w:val="single" w:sz="4" w:space="0" w:color="auto"/>
            </w:tcBorders>
            <w:shd w:val="clear" w:color="auto" w:fill="auto"/>
            <w:vAlign w:val="center"/>
          </w:tcPr>
          <w:p w14:paraId="767E54A8" w14:textId="114BBC84" w:rsidR="00F6159F"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w:t>
            </w:r>
          </w:p>
        </w:tc>
        <w:tc>
          <w:tcPr>
            <w:tcW w:w="768" w:type="dxa"/>
            <w:vAlign w:val="center"/>
          </w:tcPr>
          <w:p w14:paraId="6782A817" w14:textId="77777777" w:rsidR="00F6159F" w:rsidRPr="00313721" w:rsidRDefault="00F6159F" w:rsidP="000D6F29">
            <w:pPr>
              <w:spacing w:after="0" w:line="240" w:lineRule="auto"/>
              <w:rPr>
                <w:rFonts w:ascii="Times New Roman" w:eastAsia="Times New Roman" w:hAnsi="Times New Roman" w:cs="Times New Roman"/>
                <w:sz w:val="20"/>
                <w:szCs w:val="20"/>
                <w:lang w:eastAsia="sk-SK"/>
              </w:rPr>
            </w:pPr>
          </w:p>
        </w:tc>
      </w:tr>
      <w:tr w:rsidR="008B78D6" w:rsidRPr="00313721" w14:paraId="049BAB57"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33367218" w14:textId="48B16BAE" w:rsidR="005F21D9"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6</w:t>
            </w:r>
          </w:p>
        </w:tc>
        <w:tc>
          <w:tcPr>
            <w:tcW w:w="1667" w:type="dxa"/>
            <w:tcBorders>
              <w:top w:val="nil"/>
              <w:left w:val="nil"/>
              <w:bottom w:val="single" w:sz="4" w:space="0" w:color="auto"/>
              <w:right w:val="single" w:sz="4" w:space="0" w:color="auto"/>
            </w:tcBorders>
            <w:shd w:val="clear" w:color="auto" w:fill="auto"/>
            <w:vAlign w:val="center"/>
          </w:tcPr>
          <w:p w14:paraId="4AC3BE83" w14:textId="6859E77E" w:rsidR="005F21D9" w:rsidRPr="00313721" w:rsidRDefault="005F21D9" w:rsidP="00B26364">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Zmena formy vydávania a zasielania osvedčení o zápise práva do registra (z listinnej formy na elektronickú)</w:t>
            </w:r>
          </w:p>
        </w:tc>
        <w:tc>
          <w:tcPr>
            <w:tcW w:w="1045" w:type="dxa"/>
            <w:tcBorders>
              <w:top w:val="nil"/>
              <w:left w:val="nil"/>
              <w:bottom w:val="single" w:sz="4" w:space="0" w:color="auto"/>
              <w:right w:val="single" w:sz="4" w:space="0" w:color="auto"/>
            </w:tcBorders>
            <w:shd w:val="clear" w:color="auto" w:fill="auto"/>
            <w:vAlign w:val="center"/>
          </w:tcPr>
          <w:p w14:paraId="304B17F3"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435/2001 Z. z.</w:t>
            </w:r>
          </w:p>
          <w:p w14:paraId="4BE2A496"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50D0EA21"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444/2002 Z. z.</w:t>
            </w:r>
          </w:p>
          <w:p w14:paraId="79B2D372"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5C66A5FD"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517/2007 Z. z.</w:t>
            </w:r>
          </w:p>
          <w:p w14:paraId="68FAB233"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 xml:space="preserve"> </w:t>
            </w:r>
          </w:p>
          <w:p w14:paraId="52707F7B" w14:textId="74933FD1" w:rsidR="005F21D9"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506/2009 Z. z.</w:t>
            </w:r>
          </w:p>
        </w:tc>
        <w:tc>
          <w:tcPr>
            <w:tcW w:w="1239" w:type="dxa"/>
            <w:tcBorders>
              <w:top w:val="nil"/>
              <w:left w:val="nil"/>
              <w:bottom w:val="single" w:sz="4" w:space="0" w:color="auto"/>
              <w:right w:val="single" w:sz="4" w:space="0" w:color="auto"/>
            </w:tcBorders>
            <w:shd w:val="clear" w:color="auto" w:fill="auto"/>
            <w:vAlign w:val="center"/>
          </w:tcPr>
          <w:p w14:paraId="0D479F4F"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 44 ods. 4 zákon č. 435/2001 Z. z.</w:t>
            </w:r>
          </w:p>
          <w:p w14:paraId="0FB74469"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04C83828"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35 ods. 1 zákon č. 444/2002 Z. z.</w:t>
            </w:r>
          </w:p>
          <w:p w14:paraId="101EF900"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0F433DC2"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 xml:space="preserve">§ 43 ods. 2 zákona č. 517/2007 Z. z. </w:t>
            </w:r>
          </w:p>
          <w:p w14:paraId="21A4FD44"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40D76DFF" w14:textId="5194DF9C" w:rsidR="005F21D9"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33 ods. 2 zákona č. 506/2009 Z. z.</w:t>
            </w:r>
          </w:p>
        </w:tc>
        <w:tc>
          <w:tcPr>
            <w:tcW w:w="1100" w:type="dxa"/>
            <w:tcBorders>
              <w:top w:val="nil"/>
              <w:left w:val="nil"/>
              <w:bottom w:val="single" w:sz="4" w:space="0" w:color="auto"/>
              <w:right w:val="single" w:sz="4" w:space="0" w:color="auto"/>
            </w:tcBorders>
            <w:shd w:val="clear" w:color="auto" w:fill="auto"/>
            <w:vAlign w:val="center"/>
          </w:tcPr>
          <w:p w14:paraId="23A3A116" w14:textId="583A52A3" w:rsidR="005F21D9"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1.SK</w:t>
            </w:r>
          </w:p>
        </w:tc>
        <w:tc>
          <w:tcPr>
            <w:tcW w:w="938" w:type="dxa"/>
            <w:tcBorders>
              <w:top w:val="nil"/>
              <w:left w:val="nil"/>
              <w:bottom w:val="single" w:sz="4" w:space="0" w:color="auto"/>
              <w:right w:val="single" w:sz="4" w:space="0" w:color="auto"/>
            </w:tcBorders>
            <w:shd w:val="clear" w:color="auto" w:fill="auto"/>
            <w:vAlign w:val="center"/>
          </w:tcPr>
          <w:p w14:paraId="57678D7A" w14:textId="1A01709F" w:rsidR="005F21D9"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3AAB5BE9" w14:textId="59359779" w:rsidR="005F21D9" w:rsidRPr="00313721" w:rsidRDefault="005F21D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majitelia patentov, dizajnov, úžitkových vzorov, ochranných známok/ podnikatelia</w:t>
            </w:r>
          </w:p>
        </w:tc>
        <w:tc>
          <w:tcPr>
            <w:tcW w:w="974" w:type="dxa"/>
            <w:tcBorders>
              <w:top w:val="nil"/>
              <w:left w:val="nil"/>
              <w:bottom w:val="single" w:sz="4" w:space="0" w:color="auto"/>
              <w:right w:val="single" w:sz="4" w:space="0" w:color="auto"/>
            </w:tcBorders>
            <w:shd w:val="clear" w:color="auto" w:fill="auto"/>
            <w:vAlign w:val="center"/>
          </w:tcPr>
          <w:p w14:paraId="5AF1C446" w14:textId="4892807A" w:rsidR="005F21D9" w:rsidRPr="00313721" w:rsidRDefault="005F21D9" w:rsidP="000D6F29">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347</w:t>
            </w:r>
          </w:p>
        </w:tc>
        <w:tc>
          <w:tcPr>
            <w:tcW w:w="1090" w:type="dxa"/>
            <w:tcBorders>
              <w:top w:val="nil"/>
              <w:left w:val="nil"/>
              <w:bottom w:val="single" w:sz="4" w:space="0" w:color="auto"/>
              <w:right w:val="single" w:sz="4" w:space="0" w:color="auto"/>
            </w:tcBorders>
            <w:shd w:val="clear" w:color="auto" w:fill="auto"/>
            <w:vAlign w:val="center"/>
          </w:tcPr>
          <w:p w14:paraId="080387FA" w14:textId="3731595D" w:rsidR="005F21D9" w:rsidRPr="00313721" w:rsidRDefault="005F21D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12</w:t>
            </w:r>
          </w:p>
        </w:tc>
        <w:tc>
          <w:tcPr>
            <w:tcW w:w="1134" w:type="dxa"/>
            <w:tcBorders>
              <w:top w:val="nil"/>
              <w:left w:val="nil"/>
              <w:bottom w:val="single" w:sz="4" w:space="0" w:color="auto"/>
              <w:right w:val="single" w:sz="4" w:space="0" w:color="auto"/>
            </w:tcBorders>
            <w:shd w:val="clear" w:color="auto" w:fill="auto"/>
            <w:vAlign w:val="center"/>
          </w:tcPr>
          <w:p w14:paraId="0A842D6F" w14:textId="6ECD0DB0" w:rsidR="005F21D9" w:rsidRPr="00313721" w:rsidRDefault="005F21D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4</w:t>
            </w:r>
            <w:r w:rsidR="00334FB1" w:rsidRPr="00313721">
              <w:rPr>
                <w:rFonts w:ascii="Times New Roman" w:eastAsia="Times New Roman" w:hAnsi="Times New Roman" w:cs="Times New Roman"/>
                <w:sz w:val="20"/>
                <w:szCs w:val="20"/>
                <w:lang w:eastAsia="sk-SK"/>
              </w:rPr>
              <w:t xml:space="preserve"> </w:t>
            </w:r>
            <w:r w:rsidRPr="00313721">
              <w:rPr>
                <w:rFonts w:ascii="Times New Roman" w:eastAsia="Times New Roman" w:hAnsi="Times New Roman" w:cs="Times New Roman"/>
                <w:sz w:val="20"/>
                <w:szCs w:val="20"/>
                <w:lang w:eastAsia="sk-SK"/>
              </w:rPr>
              <w:t>224</w:t>
            </w:r>
          </w:p>
        </w:tc>
        <w:tc>
          <w:tcPr>
            <w:tcW w:w="1021" w:type="dxa"/>
            <w:tcBorders>
              <w:top w:val="nil"/>
              <w:left w:val="nil"/>
              <w:bottom w:val="single" w:sz="4" w:space="0" w:color="auto"/>
              <w:right w:val="single" w:sz="4" w:space="0" w:color="auto"/>
            </w:tcBorders>
            <w:shd w:val="clear" w:color="auto" w:fill="auto"/>
            <w:vAlign w:val="center"/>
          </w:tcPr>
          <w:p w14:paraId="0BCFA3DD" w14:textId="0DA21609" w:rsidR="005F21D9" w:rsidRPr="00313721" w:rsidRDefault="005F21D9" w:rsidP="000D6F29">
            <w:pPr>
              <w:spacing w:after="0" w:line="240" w:lineRule="auto"/>
              <w:jc w:val="center"/>
              <w:rPr>
                <w:rFonts w:ascii="Times New Roman" w:eastAsia="Times New Roman" w:hAnsi="Times New Roman" w:cs="Times New Roman"/>
                <w:sz w:val="20"/>
                <w:szCs w:val="20"/>
                <w:lang w:eastAsia="sk-SK"/>
              </w:rPr>
            </w:pPr>
            <w:proofErr w:type="spellStart"/>
            <w:r w:rsidRPr="00313721">
              <w:rPr>
                <w:rFonts w:ascii="Times New Roman" w:eastAsia="Times New Roman" w:hAnsi="Times New Roman" w:cs="Times New Roman"/>
                <w:sz w:val="20"/>
                <w:szCs w:val="20"/>
                <w:lang w:eastAsia="sk-SK"/>
              </w:rPr>
              <w:t>Out</w:t>
            </w:r>
            <w:proofErr w:type="spellEnd"/>
            <w:r w:rsidRPr="00313721">
              <w:rPr>
                <w:rFonts w:ascii="Times New Roman" w:eastAsia="Times New Roman" w:hAnsi="Times New Roman" w:cs="Times New Roman"/>
                <w:sz w:val="20"/>
                <w:szCs w:val="20"/>
                <w:lang w:eastAsia="sk-SK"/>
              </w:rPr>
              <w:t xml:space="preserve"> (znižuje náklady)</w:t>
            </w:r>
          </w:p>
        </w:tc>
        <w:tc>
          <w:tcPr>
            <w:tcW w:w="1258" w:type="dxa"/>
            <w:tcBorders>
              <w:top w:val="nil"/>
              <w:left w:val="nil"/>
              <w:bottom w:val="single" w:sz="4" w:space="0" w:color="auto"/>
              <w:right w:val="single" w:sz="4" w:space="0" w:color="auto"/>
            </w:tcBorders>
            <w:shd w:val="clear" w:color="auto" w:fill="auto"/>
            <w:vAlign w:val="center"/>
          </w:tcPr>
          <w:p w14:paraId="37CE1307" w14:textId="6B36F446" w:rsidR="005F21D9"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4 224</w:t>
            </w:r>
          </w:p>
        </w:tc>
        <w:tc>
          <w:tcPr>
            <w:tcW w:w="1163" w:type="dxa"/>
            <w:tcBorders>
              <w:top w:val="nil"/>
              <w:left w:val="nil"/>
              <w:bottom w:val="single" w:sz="4" w:space="0" w:color="auto"/>
              <w:right w:val="single" w:sz="4" w:space="0" w:color="auto"/>
            </w:tcBorders>
            <w:shd w:val="clear" w:color="auto" w:fill="auto"/>
            <w:vAlign w:val="center"/>
          </w:tcPr>
          <w:p w14:paraId="77BCC0CA" w14:textId="364612CC" w:rsidR="005F21D9"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w:t>
            </w:r>
          </w:p>
        </w:tc>
        <w:tc>
          <w:tcPr>
            <w:tcW w:w="768" w:type="dxa"/>
            <w:vAlign w:val="center"/>
          </w:tcPr>
          <w:p w14:paraId="1F3D1001" w14:textId="77777777" w:rsidR="005F21D9" w:rsidRPr="00313721" w:rsidRDefault="005F21D9" w:rsidP="000D6F29">
            <w:pPr>
              <w:spacing w:after="0" w:line="240" w:lineRule="auto"/>
              <w:rPr>
                <w:rFonts w:ascii="Times New Roman" w:eastAsia="Times New Roman" w:hAnsi="Times New Roman" w:cs="Times New Roman"/>
                <w:sz w:val="20"/>
                <w:szCs w:val="20"/>
                <w:lang w:eastAsia="sk-SK"/>
              </w:rPr>
            </w:pPr>
          </w:p>
        </w:tc>
      </w:tr>
      <w:tr w:rsidR="008B78D6" w:rsidRPr="00313721" w14:paraId="0DDDF177"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2F9D5E53" w14:textId="597CC4DB" w:rsidR="00BC2F32"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7</w:t>
            </w:r>
          </w:p>
        </w:tc>
        <w:tc>
          <w:tcPr>
            <w:tcW w:w="1667" w:type="dxa"/>
            <w:tcBorders>
              <w:top w:val="nil"/>
              <w:left w:val="nil"/>
              <w:bottom w:val="single" w:sz="4" w:space="0" w:color="auto"/>
              <w:right w:val="single" w:sz="4" w:space="0" w:color="auto"/>
            </w:tcBorders>
            <w:shd w:val="clear" w:color="auto" w:fill="auto"/>
            <w:vAlign w:val="center"/>
          </w:tcPr>
          <w:p w14:paraId="43385624" w14:textId="2CD1F8FE" w:rsidR="00BC2F32" w:rsidRPr="00313721" w:rsidRDefault="00AC603D" w:rsidP="00B26364">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Zmena formy vydávania a zasielania dokladov o práve prednosti (z listinnej formy na elektronickú)</w:t>
            </w:r>
          </w:p>
        </w:tc>
        <w:tc>
          <w:tcPr>
            <w:tcW w:w="1045" w:type="dxa"/>
            <w:tcBorders>
              <w:top w:val="nil"/>
              <w:left w:val="nil"/>
              <w:bottom w:val="single" w:sz="4" w:space="0" w:color="auto"/>
              <w:right w:val="single" w:sz="4" w:space="0" w:color="auto"/>
            </w:tcBorders>
            <w:shd w:val="clear" w:color="auto" w:fill="auto"/>
            <w:vAlign w:val="center"/>
          </w:tcPr>
          <w:p w14:paraId="4BF49F37"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435/2001 Z. z.</w:t>
            </w:r>
          </w:p>
          <w:p w14:paraId="028CDA73"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70A51C9B"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444/2002 Z. z.</w:t>
            </w:r>
          </w:p>
          <w:p w14:paraId="0947544F"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107A17C5" w14:textId="57534F91"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517/2007 Z. z.</w:t>
            </w:r>
          </w:p>
          <w:p w14:paraId="36EE9577"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w:t>
            </w:r>
          </w:p>
          <w:p w14:paraId="634D8190" w14:textId="32205D18" w:rsidR="00BC2F32"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506/2009 Z. z.</w:t>
            </w:r>
          </w:p>
        </w:tc>
        <w:tc>
          <w:tcPr>
            <w:tcW w:w="1239" w:type="dxa"/>
            <w:tcBorders>
              <w:top w:val="nil"/>
              <w:left w:val="nil"/>
              <w:bottom w:val="single" w:sz="4" w:space="0" w:color="auto"/>
              <w:right w:val="single" w:sz="4" w:space="0" w:color="auto"/>
            </w:tcBorders>
            <w:shd w:val="clear" w:color="auto" w:fill="auto"/>
            <w:vAlign w:val="center"/>
          </w:tcPr>
          <w:p w14:paraId="0270CFA0" w14:textId="4797BCBA"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36 ods. 12 zákon č. 435/2001 Z. z.</w:t>
            </w:r>
          </w:p>
          <w:p w14:paraId="3CD9CFF8"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0B0C2255"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32 ods. 5 zákon č. 444/2002 Z. z.</w:t>
            </w:r>
          </w:p>
          <w:p w14:paraId="6B8DDB10"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3C19D9E4"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34 ods. 7 zákona č. 517/2007 Z. z.</w:t>
            </w:r>
          </w:p>
          <w:p w14:paraId="46C8DB04"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w:t>
            </w:r>
          </w:p>
          <w:p w14:paraId="2F704D07" w14:textId="22870478" w:rsidR="00BC2F32"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26 ods. 5 zákona č. 506/2009 Z. z.</w:t>
            </w:r>
          </w:p>
        </w:tc>
        <w:tc>
          <w:tcPr>
            <w:tcW w:w="1100" w:type="dxa"/>
            <w:tcBorders>
              <w:top w:val="nil"/>
              <w:left w:val="nil"/>
              <w:bottom w:val="single" w:sz="4" w:space="0" w:color="auto"/>
              <w:right w:val="single" w:sz="4" w:space="0" w:color="auto"/>
            </w:tcBorders>
            <w:shd w:val="clear" w:color="auto" w:fill="auto"/>
            <w:vAlign w:val="center"/>
          </w:tcPr>
          <w:p w14:paraId="0247C59C" w14:textId="0D74E322" w:rsidR="00BC2F32"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1.SK</w:t>
            </w:r>
          </w:p>
        </w:tc>
        <w:tc>
          <w:tcPr>
            <w:tcW w:w="938" w:type="dxa"/>
            <w:tcBorders>
              <w:top w:val="nil"/>
              <w:left w:val="nil"/>
              <w:bottom w:val="single" w:sz="4" w:space="0" w:color="auto"/>
              <w:right w:val="single" w:sz="4" w:space="0" w:color="auto"/>
            </w:tcBorders>
            <w:shd w:val="clear" w:color="auto" w:fill="auto"/>
            <w:vAlign w:val="center"/>
          </w:tcPr>
          <w:p w14:paraId="1674B0C4" w14:textId="7215A436" w:rsidR="00BC2F32"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15AE0070" w14:textId="48B5BEE8" w:rsidR="00BC2F32" w:rsidRPr="00313721" w:rsidRDefault="00AC603D"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patentoví zástupcovia, advokáti</w:t>
            </w:r>
          </w:p>
        </w:tc>
        <w:tc>
          <w:tcPr>
            <w:tcW w:w="974" w:type="dxa"/>
            <w:tcBorders>
              <w:top w:val="nil"/>
              <w:left w:val="nil"/>
              <w:bottom w:val="single" w:sz="4" w:space="0" w:color="auto"/>
              <w:right w:val="single" w:sz="4" w:space="0" w:color="auto"/>
            </w:tcBorders>
            <w:shd w:val="clear" w:color="auto" w:fill="auto"/>
            <w:vAlign w:val="center"/>
          </w:tcPr>
          <w:p w14:paraId="4F5379C4" w14:textId="142EB6FA" w:rsidR="00BC2F32" w:rsidRPr="00313721" w:rsidRDefault="00025679" w:rsidP="000D6F29">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48</w:t>
            </w:r>
          </w:p>
        </w:tc>
        <w:tc>
          <w:tcPr>
            <w:tcW w:w="1090" w:type="dxa"/>
            <w:tcBorders>
              <w:top w:val="nil"/>
              <w:left w:val="nil"/>
              <w:bottom w:val="single" w:sz="4" w:space="0" w:color="auto"/>
              <w:right w:val="single" w:sz="4" w:space="0" w:color="auto"/>
            </w:tcBorders>
            <w:shd w:val="clear" w:color="auto" w:fill="auto"/>
            <w:vAlign w:val="center"/>
          </w:tcPr>
          <w:p w14:paraId="50732D11" w14:textId="0DDD6593" w:rsidR="00BC2F32" w:rsidRPr="00313721" w:rsidRDefault="00AC603D"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w:t>
            </w:r>
            <w:r w:rsidR="000B02DA" w:rsidRPr="00313721">
              <w:rPr>
                <w:rFonts w:ascii="Times New Roman" w:eastAsia="Times New Roman" w:hAnsi="Times New Roman" w:cs="Times New Roman"/>
                <w:sz w:val="20"/>
                <w:szCs w:val="20"/>
                <w:lang w:eastAsia="sk-SK"/>
              </w:rPr>
              <w:t>3,8937813</w:t>
            </w:r>
          </w:p>
        </w:tc>
        <w:tc>
          <w:tcPr>
            <w:tcW w:w="1134" w:type="dxa"/>
            <w:tcBorders>
              <w:top w:val="nil"/>
              <w:left w:val="nil"/>
              <w:bottom w:val="single" w:sz="4" w:space="0" w:color="auto"/>
              <w:right w:val="single" w:sz="4" w:space="0" w:color="auto"/>
            </w:tcBorders>
            <w:shd w:val="clear" w:color="auto" w:fill="auto"/>
            <w:vAlign w:val="center"/>
          </w:tcPr>
          <w:p w14:paraId="6D94CF59" w14:textId="0CD46AD0" w:rsidR="00BC2F32" w:rsidRPr="00313721" w:rsidRDefault="00B979CD"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114</w:t>
            </w:r>
            <w:r w:rsidR="000B02DA" w:rsidRPr="00313721">
              <w:rPr>
                <w:rFonts w:ascii="Times New Roman" w:eastAsia="Times New Roman" w:hAnsi="Times New Roman" w:cs="Times New Roman"/>
                <w:sz w:val="20"/>
                <w:szCs w:val="20"/>
                <w:lang w:eastAsia="sk-SK"/>
              </w:rPr>
              <w:t>6,9015</w:t>
            </w:r>
          </w:p>
        </w:tc>
        <w:tc>
          <w:tcPr>
            <w:tcW w:w="1021" w:type="dxa"/>
            <w:tcBorders>
              <w:top w:val="nil"/>
              <w:left w:val="nil"/>
              <w:bottom w:val="single" w:sz="4" w:space="0" w:color="auto"/>
              <w:right w:val="single" w:sz="4" w:space="0" w:color="auto"/>
            </w:tcBorders>
            <w:shd w:val="clear" w:color="auto" w:fill="auto"/>
            <w:vAlign w:val="center"/>
          </w:tcPr>
          <w:p w14:paraId="00E371F0" w14:textId="7BCCE00A" w:rsidR="00BC2F32" w:rsidRPr="00313721" w:rsidRDefault="00AC603D" w:rsidP="000D6F29">
            <w:pPr>
              <w:spacing w:after="0" w:line="240" w:lineRule="auto"/>
              <w:jc w:val="center"/>
              <w:rPr>
                <w:rFonts w:ascii="Times New Roman" w:eastAsia="Times New Roman" w:hAnsi="Times New Roman" w:cs="Times New Roman"/>
                <w:sz w:val="20"/>
                <w:szCs w:val="20"/>
                <w:lang w:eastAsia="sk-SK"/>
              </w:rPr>
            </w:pPr>
            <w:proofErr w:type="spellStart"/>
            <w:r w:rsidRPr="00313721">
              <w:rPr>
                <w:rFonts w:ascii="Times New Roman" w:eastAsia="Times New Roman" w:hAnsi="Times New Roman" w:cs="Times New Roman"/>
                <w:sz w:val="20"/>
                <w:szCs w:val="20"/>
                <w:lang w:eastAsia="sk-SK"/>
              </w:rPr>
              <w:t>Out</w:t>
            </w:r>
            <w:proofErr w:type="spellEnd"/>
            <w:r w:rsidRPr="00313721">
              <w:rPr>
                <w:rFonts w:ascii="Times New Roman" w:eastAsia="Times New Roman" w:hAnsi="Times New Roman" w:cs="Times New Roman"/>
                <w:sz w:val="20"/>
                <w:szCs w:val="20"/>
                <w:lang w:eastAsia="sk-SK"/>
              </w:rPr>
              <w:t xml:space="preserve"> (znižuje náklady)</w:t>
            </w:r>
          </w:p>
        </w:tc>
        <w:tc>
          <w:tcPr>
            <w:tcW w:w="1258" w:type="dxa"/>
            <w:tcBorders>
              <w:top w:val="nil"/>
              <w:left w:val="nil"/>
              <w:bottom w:val="single" w:sz="4" w:space="0" w:color="auto"/>
              <w:right w:val="single" w:sz="4" w:space="0" w:color="auto"/>
            </w:tcBorders>
            <w:shd w:val="clear" w:color="auto" w:fill="auto"/>
            <w:vAlign w:val="center"/>
          </w:tcPr>
          <w:p w14:paraId="3096A72E" w14:textId="0EFA872D" w:rsidR="00BC2F32" w:rsidRPr="00313721" w:rsidRDefault="00B979CD"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114</w:t>
            </w:r>
            <w:r w:rsidR="000B02DA" w:rsidRPr="00313721">
              <w:rPr>
                <w:rFonts w:ascii="Times New Roman" w:eastAsia="Times New Roman" w:hAnsi="Times New Roman" w:cs="Times New Roman"/>
                <w:sz w:val="20"/>
                <w:szCs w:val="20"/>
                <w:lang w:eastAsia="sk-SK"/>
              </w:rPr>
              <w:t>46,9015</w:t>
            </w:r>
          </w:p>
        </w:tc>
        <w:tc>
          <w:tcPr>
            <w:tcW w:w="1163" w:type="dxa"/>
            <w:tcBorders>
              <w:top w:val="nil"/>
              <w:left w:val="nil"/>
              <w:bottom w:val="single" w:sz="4" w:space="0" w:color="auto"/>
              <w:right w:val="single" w:sz="4" w:space="0" w:color="auto"/>
            </w:tcBorders>
            <w:shd w:val="clear" w:color="auto" w:fill="auto"/>
            <w:vAlign w:val="center"/>
          </w:tcPr>
          <w:p w14:paraId="1E9862E3" w14:textId="3F43AF19" w:rsidR="00BC2F32"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w:t>
            </w:r>
          </w:p>
        </w:tc>
        <w:tc>
          <w:tcPr>
            <w:tcW w:w="768" w:type="dxa"/>
            <w:vAlign w:val="center"/>
          </w:tcPr>
          <w:p w14:paraId="57164EE8" w14:textId="77777777" w:rsidR="00BC2F32" w:rsidRPr="00313721" w:rsidRDefault="00BC2F32" w:rsidP="000D6F29">
            <w:pPr>
              <w:spacing w:after="0" w:line="240" w:lineRule="auto"/>
              <w:rPr>
                <w:rFonts w:ascii="Times New Roman" w:eastAsia="Times New Roman" w:hAnsi="Times New Roman" w:cs="Times New Roman"/>
                <w:sz w:val="20"/>
                <w:szCs w:val="20"/>
                <w:lang w:eastAsia="sk-SK"/>
              </w:rPr>
            </w:pPr>
          </w:p>
        </w:tc>
      </w:tr>
      <w:tr w:rsidR="008B78D6" w:rsidRPr="00313721" w14:paraId="0753E85B" w14:textId="77777777" w:rsidTr="004C313F">
        <w:trPr>
          <w:trHeight w:val="1808"/>
        </w:trPr>
        <w:tc>
          <w:tcPr>
            <w:tcW w:w="495" w:type="dxa"/>
            <w:tcBorders>
              <w:top w:val="nil"/>
              <w:left w:val="single" w:sz="4" w:space="0" w:color="auto"/>
              <w:bottom w:val="single" w:sz="4" w:space="0" w:color="auto"/>
              <w:right w:val="single" w:sz="4" w:space="0" w:color="auto"/>
            </w:tcBorders>
            <w:shd w:val="clear" w:color="auto" w:fill="auto"/>
            <w:vAlign w:val="center"/>
          </w:tcPr>
          <w:p w14:paraId="558198E2" w14:textId="2298ECD0" w:rsidR="00BC2F32"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8</w:t>
            </w:r>
          </w:p>
        </w:tc>
        <w:tc>
          <w:tcPr>
            <w:tcW w:w="1667" w:type="dxa"/>
            <w:tcBorders>
              <w:top w:val="nil"/>
              <w:left w:val="nil"/>
              <w:bottom w:val="single" w:sz="4" w:space="0" w:color="auto"/>
              <w:right w:val="single" w:sz="4" w:space="0" w:color="auto"/>
            </w:tcBorders>
            <w:shd w:val="clear" w:color="auto" w:fill="auto"/>
            <w:vAlign w:val="center"/>
          </w:tcPr>
          <w:p w14:paraId="67D2F855" w14:textId="4E18C6F2" w:rsidR="00BC2F32" w:rsidRPr="00313721" w:rsidRDefault="00AC603D" w:rsidP="00B26364">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Zmena formy vydávania a zasielania dokladov o práve prednosti (z listinnej formy na elektronickú)</w:t>
            </w:r>
          </w:p>
        </w:tc>
        <w:tc>
          <w:tcPr>
            <w:tcW w:w="1045" w:type="dxa"/>
            <w:tcBorders>
              <w:top w:val="nil"/>
              <w:left w:val="nil"/>
              <w:bottom w:val="single" w:sz="4" w:space="0" w:color="auto"/>
              <w:right w:val="single" w:sz="4" w:space="0" w:color="auto"/>
            </w:tcBorders>
            <w:shd w:val="clear" w:color="auto" w:fill="auto"/>
            <w:vAlign w:val="center"/>
          </w:tcPr>
          <w:p w14:paraId="6022A42E" w14:textId="0260D765" w:rsidR="004266E3" w:rsidRPr="00313721" w:rsidRDefault="004266E3" w:rsidP="004266E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435/2001 Z. z.</w:t>
            </w:r>
          </w:p>
          <w:p w14:paraId="5833E51A" w14:textId="77777777" w:rsidR="00715DF3" w:rsidRPr="00313721" w:rsidRDefault="00715DF3" w:rsidP="004266E3">
            <w:pPr>
              <w:spacing w:after="0" w:line="240" w:lineRule="auto"/>
              <w:rPr>
                <w:rFonts w:ascii="Times New Roman" w:eastAsia="Times New Roman" w:hAnsi="Times New Roman" w:cs="Times New Roman"/>
                <w:sz w:val="20"/>
                <w:szCs w:val="20"/>
                <w:lang w:eastAsia="sk-SK"/>
              </w:rPr>
            </w:pPr>
          </w:p>
          <w:p w14:paraId="2C015240" w14:textId="59E9051E" w:rsidR="004266E3" w:rsidRPr="00313721" w:rsidRDefault="004266E3" w:rsidP="004266E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444/2002 Z. z.</w:t>
            </w:r>
          </w:p>
          <w:p w14:paraId="5B76253E" w14:textId="77777777" w:rsidR="00715DF3" w:rsidRPr="00313721" w:rsidRDefault="00715DF3" w:rsidP="004266E3">
            <w:pPr>
              <w:spacing w:after="0" w:line="240" w:lineRule="auto"/>
              <w:rPr>
                <w:rFonts w:ascii="Times New Roman" w:eastAsia="Times New Roman" w:hAnsi="Times New Roman" w:cs="Times New Roman"/>
                <w:sz w:val="20"/>
                <w:szCs w:val="20"/>
                <w:lang w:eastAsia="sk-SK"/>
              </w:rPr>
            </w:pPr>
          </w:p>
          <w:p w14:paraId="5EEE09D4" w14:textId="1EA03F62" w:rsidR="00715DF3" w:rsidRPr="00313721" w:rsidRDefault="004266E3" w:rsidP="004266E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zákon č. 517/2007 Z. z.</w:t>
            </w:r>
          </w:p>
          <w:p w14:paraId="49BD3D69" w14:textId="5E7F9117" w:rsidR="004266E3" w:rsidRPr="00313721" w:rsidRDefault="004266E3" w:rsidP="004266E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w:t>
            </w:r>
          </w:p>
          <w:p w14:paraId="238DB3BD" w14:textId="04AC4808" w:rsidR="00BC2F32" w:rsidRPr="00313721" w:rsidRDefault="004266E3" w:rsidP="004266E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zákon č. 506/2009 Z. z.</w:t>
            </w:r>
          </w:p>
        </w:tc>
        <w:tc>
          <w:tcPr>
            <w:tcW w:w="1239" w:type="dxa"/>
            <w:tcBorders>
              <w:top w:val="nil"/>
              <w:left w:val="nil"/>
              <w:bottom w:val="single" w:sz="4" w:space="0" w:color="auto"/>
              <w:right w:val="single" w:sz="4" w:space="0" w:color="auto"/>
            </w:tcBorders>
            <w:shd w:val="clear" w:color="auto" w:fill="auto"/>
            <w:vAlign w:val="center"/>
          </w:tcPr>
          <w:p w14:paraId="5E583B82" w14:textId="6CFBE820"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 36 ods. 12 zákon č. 435/2001 Z. z.</w:t>
            </w:r>
          </w:p>
          <w:p w14:paraId="1704F2DD"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79EFDBAB" w14:textId="33E5B6AB"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32 ods. 5 zákon č. 444/2002 Z. z.</w:t>
            </w:r>
          </w:p>
          <w:p w14:paraId="0E9D824F"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p>
          <w:p w14:paraId="59CDF09F" w14:textId="77777777"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 34 ods. 7 zákona č. 517/2007 Z. z.</w:t>
            </w:r>
          </w:p>
          <w:p w14:paraId="01CB1780" w14:textId="4B9CCF6A" w:rsidR="00715DF3"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xml:space="preserve"> </w:t>
            </w:r>
          </w:p>
          <w:p w14:paraId="0E3531DB" w14:textId="67513E06" w:rsidR="00BC2F32" w:rsidRPr="00313721" w:rsidRDefault="00715DF3" w:rsidP="00715DF3">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 26 ods. 5 zákona č. 506/2009 Z. z.</w:t>
            </w:r>
          </w:p>
        </w:tc>
        <w:tc>
          <w:tcPr>
            <w:tcW w:w="1100" w:type="dxa"/>
            <w:tcBorders>
              <w:top w:val="nil"/>
              <w:left w:val="nil"/>
              <w:bottom w:val="single" w:sz="4" w:space="0" w:color="auto"/>
              <w:right w:val="single" w:sz="4" w:space="0" w:color="auto"/>
            </w:tcBorders>
            <w:shd w:val="clear" w:color="auto" w:fill="auto"/>
            <w:vAlign w:val="center"/>
          </w:tcPr>
          <w:p w14:paraId="29C64A05" w14:textId="6A0CF08B" w:rsidR="00BC2F32"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lastRenderedPageBreak/>
              <w:t>1.SK</w:t>
            </w:r>
          </w:p>
        </w:tc>
        <w:tc>
          <w:tcPr>
            <w:tcW w:w="938" w:type="dxa"/>
            <w:tcBorders>
              <w:top w:val="nil"/>
              <w:left w:val="nil"/>
              <w:bottom w:val="single" w:sz="4" w:space="0" w:color="auto"/>
              <w:right w:val="single" w:sz="4" w:space="0" w:color="auto"/>
            </w:tcBorders>
            <w:shd w:val="clear" w:color="auto" w:fill="auto"/>
            <w:vAlign w:val="center"/>
          </w:tcPr>
          <w:p w14:paraId="371262C8" w14:textId="444A5116" w:rsidR="00BC2F32" w:rsidRPr="00313721" w:rsidRDefault="00715DF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01.07.25</w:t>
            </w:r>
          </w:p>
        </w:tc>
        <w:tc>
          <w:tcPr>
            <w:tcW w:w="2073" w:type="dxa"/>
            <w:tcBorders>
              <w:top w:val="nil"/>
              <w:left w:val="nil"/>
              <w:bottom w:val="single" w:sz="4" w:space="0" w:color="auto"/>
              <w:right w:val="single" w:sz="4" w:space="0" w:color="auto"/>
            </w:tcBorders>
            <w:shd w:val="clear" w:color="auto" w:fill="auto"/>
            <w:vAlign w:val="center"/>
          </w:tcPr>
          <w:p w14:paraId="576458A3" w14:textId="2E75BFBD" w:rsidR="00BC2F32" w:rsidRPr="00313721" w:rsidRDefault="004266E3"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prihlasovatelia/</w:t>
            </w:r>
            <w:r w:rsidR="00AC603D" w:rsidRPr="00313721">
              <w:rPr>
                <w:rFonts w:ascii="Times New Roman" w:eastAsia="Times New Roman" w:hAnsi="Times New Roman" w:cs="Times New Roman"/>
                <w:sz w:val="20"/>
                <w:szCs w:val="20"/>
                <w:lang w:eastAsia="sk-SK"/>
              </w:rPr>
              <w:t>majitelia patentov, dizajnov, úžitkových vzorov, ochranných známok/ podnikatelia</w:t>
            </w:r>
          </w:p>
        </w:tc>
        <w:tc>
          <w:tcPr>
            <w:tcW w:w="974" w:type="dxa"/>
            <w:tcBorders>
              <w:top w:val="nil"/>
              <w:left w:val="nil"/>
              <w:bottom w:val="single" w:sz="4" w:space="0" w:color="auto"/>
              <w:right w:val="single" w:sz="4" w:space="0" w:color="auto"/>
            </w:tcBorders>
            <w:shd w:val="clear" w:color="auto" w:fill="auto"/>
            <w:vAlign w:val="center"/>
          </w:tcPr>
          <w:p w14:paraId="3FA95815" w14:textId="28363098" w:rsidR="00BC2F32" w:rsidRPr="00313721" w:rsidRDefault="00025679" w:rsidP="000D6F29">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10</w:t>
            </w:r>
          </w:p>
        </w:tc>
        <w:tc>
          <w:tcPr>
            <w:tcW w:w="1090" w:type="dxa"/>
            <w:tcBorders>
              <w:top w:val="nil"/>
              <w:left w:val="nil"/>
              <w:bottom w:val="single" w:sz="4" w:space="0" w:color="auto"/>
              <w:right w:val="single" w:sz="4" w:space="0" w:color="auto"/>
            </w:tcBorders>
            <w:shd w:val="clear" w:color="auto" w:fill="auto"/>
            <w:vAlign w:val="center"/>
          </w:tcPr>
          <w:p w14:paraId="5EA4E290" w14:textId="6935BBDA" w:rsidR="00BC2F32" w:rsidRPr="00313721" w:rsidRDefault="00AC603D"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12</w:t>
            </w:r>
          </w:p>
        </w:tc>
        <w:tc>
          <w:tcPr>
            <w:tcW w:w="1134" w:type="dxa"/>
            <w:tcBorders>
              <w:top w:val="nil"/>
              <w:left w:val="nil"/>
              <w:bottom w:val="single" w:sz="4" w:space="0" w:color="auto"/>
              <w:right w:val="single" w:sz="4" w:space="0" w:color="auto"/>
            </w:tcBorders>
            <w:shd w:val="clear" w:color="auto" w:fill="auto"/>
            <w:vAlign w:val="center"/>
          </w:tcPr>
          <w:p w14:paraId="76948C58" w14:textId="707F01E0" w:rsidR="00BC2F32" w:rsidRPr="00313721" w:rsidRDefault="00025679"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122</w:t>
            </w:r>
          </w:p>
        </w:tc>
        <w:tc>
          <w:tcPr>
            <w:tcW w:w="1021" w:type="dxa"/>
            <w:tcBorders>
              <w:top w:val="nil"/>
              <w:left w:val="nil"/>
              <w:bottom w:val="single" w:sz="4" w:space="0" w:color="auto"/>
              <w:right w:val="single" w:sz="4" w:space="0" w:color="auto"/>
            </w:tcBorders>
            <w:shd w:val="clear" w:color="auto" w:fill="auto"/>
            <w:vAlign w:val="center"/>
          </w:tcPr>
          <w:p w14:paraId="3BD90A99" w14:textId="7DBBCCBA" w:rsidR="00BC2F32" w:rsidRPr="00313721" w:rsidRDefault="00AC603D" w:rsidP="000D6F29">
            <w:pPr>
              <w:spacing w:after="0" w:line="240" w:lineRule="auto"/>
              <w:jc w:val="center"/>
              <w:rPr>
                <w:rFonts w:ascii="Times New Roman" w:eastAsia="Times New Roman" w:hAnsi="Times New Roman" w:cs="Times New Roman"/>
                <w:sz w:val="20"/>
                <w:szCs w:val="20"/>
                <w:lang w:eastAsia="sk-SK"/>
              </w:rPr>
            </w:pPr>
            <w:proofErr w:type="spellStart"/>
            <w:r w:rsidRPr="00313721">
              <w:rPr>
                <w:rFonts w:ascii="Times New Roman" w:eastAsia="Times New Roman" w:hAnsi="Times New Roman" w:cs="Times New Roman"/>
                <w:sz w:val="20"/>
                <w:szCs w:val="20"/>
                <w:lang w:eastAsia="sk-SK"/>
              </w:rPr>
              <w:t>Out</w:t>
            </w:r>
            <w:proofErr w:type="spellEnd"/>
            <w:r w:rsidRPr="00313721">
              <w:rPr>
                <w:rFonts w:ascii="Times New Roman" w:eastAsia="Times New Roman" w:hAnsi="Times New Roman" w:cs="Times New Roman"/>
                <w:sz w:val="20"/>
                <w:szCs w:val="20"/>
                <w:lang w:eastAsia="sk-SK"/>
              </w:rPr>
              <w:t xml:space="preserve"> (znižuje náklady)</w:t>
            </w:r>
          </w:p>
        </w:tc>
        <w:tc>
          <w:tcPr>
            <w:tcW w:w="1258" w:type="dxa"/>
            <w:tcBorders>
              <w:top w:val="nil"/>
              <w:left w:val="nil"/>
              <w:bottom w:val="single" w:sz="4" w:space="0" w:color="auto"/>
              <w:right w:val="single" w:sz="4" w:space="0" w:color="auto"/>
            </w:tcBorders>
            <w:shd w:val="clear" w:color="auto" w:fill="auto"/>
            <w:vAlign w:val="center"/>
          </w:tcPr>
          <w:p w14:paraId="10786886" w14:textId="2206EF14" w:rsidR="00BC2F32"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122</w:t>
            </w:r>
          </w:p>
        </w:tc>
        <w:tc>
          <w:tcPr>
            <w:tcW w:w="1163" w:type="dxa"/>
            <w:tcBorders>
              <w:top w:val="nil"/>
              <w:left w:val="nil"/>
              <w:bottom w:val="single" w:sz="4" w:space="0" w:color="auto"/>
              <w:right w:val="single" w:sz="4" w:space="0" w:color="auto"/>
            </w:tcBorders>
            <w:shd w:val="clear" w:color="auto" w:fill="auto"/>
            <w:vAlign w:val="center"/>
          </w:tcPr>
          <w:p w14:paraId="764EA775" w14:textId="7F0E8C42" w:rsidR="00BC2F32" w:rsidRPr="00313721" w:rsidRDefault="00334FB1" w:rsidP="000D6F29">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0</w:t>
            </w:r>
          </w:p>
        </w:tc>
        <w:tc>
          <w:tcPr>
            <w:tcW w:w="768" w:type="dxa"/>
            <w:vAlign w:val="center"/>
          </w:tcPr>
          <w:p w14:paraId="427B17FC" w14:textId="77777777" w:rsidR="00BC2F32" w:rsidRPr="00313721" w:rsidRDefault="00BC2F32" w:rsidP="000D6F29">
            <w:pPr>
              <w:spacing w:after="0" w:line="240" w:lineRule="auto"/>
              <w:rPr>
                <w:rFonts w:ascii="Times New Roman" w:eastAsia="Times New Roman" w:hAnsi="Times New Roman" w:cs="Times New Roman"/>
                <w:sz w:val="20"/>
                <w:szCs w:val="20"/>
                <w:lang w:eastAsia="sk-SK"/>
              </w:rPr>
            </w:pPr>
          </w:p>
        </w:tc>
      </w:tr>
    </w:tbl>
    <w:p w14:paraId="10F89B0B" w14:textId="77777777" w:rsidR="00197216" w:rsidRPr="00313721" w:rsidRDefault="00197216" w:rsidP="00054C41">
      <w:pPr>
        <w:jc w:val="both"/>
        <w:rPr>
          <w:rFonts w:ascii="Times New Roman" w:eastAsia="Calibri" w:hAnsi="Times New Roman" w:cs="Times New Roman"/>
          <w:i/>
          <w:sz w:val="24"/>
          <w:szCs w:val="24"/>
        </w:rPr>
        <w:sectPr w:rsidR="00197216" w:rsidRPr="00313721" w:rsidSect="00197216">
          <w:pgSz w:w="16838" w:h="11906" w:orient="landscape"/>
          <w:pgMar w:top="1418" w:right="1418" w:bottom="1418" w:left="1418" w:header="709" w:footer="709" w:gutter="0"/>
          <w:cols w:space="708"/>
          <w:docGrid w:linePitch="360"/>
        </w:sectPr>
      </w:pPr>
    </w:p>
    <w:p w14:paraId="1D3D4506" w14:textId="77777777" w:rsidR="00334FB1" w:rsidRPr="00313721" w:rsidRDefault="00334FB1" w:rsidP="00334FB1">
      <w:pPr>
        <w:jc w:val="both"/>
        <w:rPr>
          <w:rFonts w:ascii="Times New Roman" w:eastAsia="Calibri" w:hAnsi="Times New Roman" w:cs="Times New Roman"/>
          <w:b/>
          <w:bCs/>
          <w:i/>
          <w:sz w:val="24"/>
          <w:szCs w:val="24"/>
          <w:u w:val="single"/>
        </w:rPr>
      </w:pPr>
      <w:r w:rsidRPr="00313721">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528DC643" w14:textId="77777777" w:rsidR="00334FB1" w:rsidRPr="00313721" w:rsidRDefault="00334FB1" w:rsidP="00334FB1">
      <w:pPr>
        <w:jc w:val="both"/>
        <w:rPr>
          <w:rFonts w:ascii="Times New Roman" w:eastAsia="Calibri" w:hAnsi="Times New Roman" w:cs="Times New Roman"/>
          <w:bCs/>
          <w:i/>
          <w:iCs/>
          <w:color w:val="000000"/>
          <w:sz w:val="24"/>
          <w:szCs w:val="24"/>
        </w:rPr>
      </w:pPr>
      <w:r w:rsidRPr="00313721">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313721">
        <w:rPr>
          <w:rFonts w:ascii="Times New Roman" w:eastAsia="Calibri" w:hAnsi="Times New Roman" w:cs="Times New Roman"/>
          <w:bCs/>
          <w:i/>
          <w:iCs/>
          <w:color w:val="000000"/>
          <w:sz w:val="24"/>
          <w:szCs w:val="24"/>
        </w:rPr>
        <w:t>link</w:t>
      </w:r>
      <w:proofErr w:type="spellEnd"/>
      <w:r w:rsidRPr="00313721">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313721">
        <w:rPr>
          <w:rFonts w:ascii="Times New Roman" w:eastAsia="Calibri" w:hAnsi="Times New Roman" w:cs="Times New Roman"/>
          <w:bCs/>
          <w:i/>
          <w:iCs/>
          <w:color w:val="000000"/>
          <w:sz w:val="24"/>
          <w:szCs w:val="24"/>
        </w:rPr>
        <w:t>externality</w:t>
      </w:r>
      <w:proofErr w:type="spellEnd"/>
      <w:r w:rsidRPr="00313721">
        <w:rPr>
          <w:rFonts w:ascii="Times New Roman" w:eastAsia="Calibri" w:hAnsi="Times New Roman" w:cs="Times New Roman"/>
          <w:bCs/>
          <w:i/>
          <w:iCs/>
          <w:color w:val="000000"/>
          <w:sz w:val="24"/>
          <w:szCs w:val="24"/>
        </w:rPr>
        <w:t xml:space="preserve">, B. Iné poplatky, C. Sankcie, D. Nepriame finančné náklady, E. Administratívne náklady). Rozčleňte ich a vypočítajte v súlade s metodickým postupom. </w:t>
      </w:r>
    </w:p>
    <w:tbl>
      <w:tblPr>
        <w:tblStyle w:val="Mriekatabuky"/>
        <w:tblW w:w="0" w:type="auto"/>
        <w:tblLook w:val="04A0" w:firstRow="1" w:lastRow="0" w:firstColumn="1" w:lastColumn="0" w:noHBand="0" w:noVBand="1"/>
      </w:tblPr>
      <w:tblGrid>
        <w:gridCol w:w="9062"/>
      </w:tblGrid>
      <w:tr w:rsidR="00334FB1" w:rsidRPr="00313721" w14:paraId="5F4C9C7B" w14:textId="77777777" w:rsidTr="003D022E">
        <w:tc>
          <w:tcPr>
            <w:tcW w:w="9062" w:type="dxa"/>
            <w:tcBorders>
              <w:bottom w:val="single" w:sz="4" w:space="0" w:color="auto"/>
            </w:tcBorders>
          </w:tcPr>
          <w:p w14:paraId="23FBD30B" w14:textId="7B82D983" w:rsidR="00334FB1" w:rsidRPr="00313721" w:rsidRDefault="00334FB1" w:rsidP="003D022E">
            <w:pPr>
              <w:spacing w:line="256" w:lineRule="auto"/>
              <w:ind w:left="50"/>
              <w:jc w:val="both"/>
              <w:rPr>
                <w:rFonts w:ascii="Times New Roman" w:eastAsia="Times New Roman" w:hAnsi="Times New Roman" w:cs="Times New Roman"/>
                <w:lang w:eastAsia="ja-JP"/>
              </w:rPr>
            </w:pPr>
            <w:r w:rsidRPr="00313721">
              <w:rPr>
                <w:rFonts w:ascii="Times New Roman" w:hAnsi="Times New Roman" w:cs="Times New Roman"/>
                <w:bCs/>
              </w:rPr>
              <w:t>Predmetom predloženého návrhu zákona, ktorým sa mení a dopĺňa zákon č. 435/2001 Z. z. o patentoch, dodatkových ochranných osvedčeniach a o zmene a doplnení niektorých zákonov (patentový zákon) v znení neskorších predpisov a</w:t>
            </w:r>
            <w:r w:rsidR="003C202B" w:rsidRPr="00313721">
              <w:rPr>
                <w:rFonts w:ascii="Times New Roman" w:hAnsi="Times New Roman" w:cs="Times New Roman"/>
                <w:bCs/>
              </w:rPr>
              <w:t> ktorým sa menia a dopĺňajú niektoré zákony</w:t>
            </w:r>
            <w:r w:rsidRPr="00313721">
              <w:rPr>
                <w:rFonts w:ascii="Times New Roman" w:hAnsi="Times New Roman" w:cs="Times New Roman"/>
                <w:bCs/>
              </w:rPr>
              <w:t xml:space="preserve"> (ďalej aj „predkladaný materiál“) je novelizácia celkovo šiestich právnych predpisov, z toho päť v gescii predkladateľa, a to štyri upravujúce jednotlivé predmety priemyselných práv (</w:t>
            </w:r>
            <w:r w:rsidRPr="00313721">
              <w:rPr>
                <w:rFonts w:ascii="Times New Roman" w:eastAsia="Times New Roman" w:hAnsi="Times New Roman" w:cs="Times New Roman"/>
                <w:lang w:eastAsia="ja-JP"/>
              </w:rPr>
              <w:t xml:space="preserve">zákon č. 435/2001 Z. z. o patentoch, dodatkových ochranných osvedčeniach a o zmene a doplnení niektorých zákonov (patentový zákon) v znení neskorších predpisov, zákon č. 444/2002 Z. z. o dizajnoch v znení neskorších predpisov, zákon č. 517/2007 Z. z. o úžitkových vzoroch a o zmene a doplnení niektorých zákonov v znení neskorších predpisov a zákon č. 506/2009 Z. z. o ochranných známkach v znení neskorších predpisov) </w:t>
            </w:r>
            <w:r w:rsidRPr="00313721">
              <w:rPr>
                <w:rFonts w:ascii="Times New Roman" w:hAnsi="Times New Roman" w:cs="Times New Roman"/>
                <w:bCs/>
              </w:rPr>
              <w:t xml:space="preserve">a zákon č. 498/2008 Z. z.  </w:t>
            </w:r>
            <w:r w:rsidRPr="00313721">
              <w:rPr>
                <w:rFonts w:ascii="Times New Roman" w:eastAsia="Times New Roman" w:hAnsi="Times New Roman" w:cs="Times New Roman"/>
                <w:lang w:eastAsia="ja-JP"/>
              </w:rPr>
              <w:t xml:space="preserve">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Šiestym právnym predpisom, ktorý sa navrhuje novelizovať na základe predkladaného materiálu, je zákon NR SR č. 145/1995 Z. z. o správnych poplatkoch v znení neskorších predpisov, konkrétne Sadzobník správnych poplatkov v časti XVI. Priemyselné práva. </w:t>
            </w:r>
          </w:p>
          <w:p w14:paraId="0EDC0EF0" w14:textId="77777777" w:rsidR="00334FB1" w:rsidRPr="00313721" w:rsidRDefault="00334FB1" w:rsidP="003D022E">
            <w:pPr>
              <w:spacing w:line="256" w:lineRule="auto"/>
              <w:ind w:left="50"/>
              <w:jc w:val="both"/>
              <w:rPr>
                <w:rFonts w:ascii="Times New Roman" w:eastAsia="Times New Roman" w:hAnsi="Times New Roman" w:cs="Times New Roman"/>
                <w:lang w:eastAsia="ja-JP"/>
              </w:rPr>
            </w:pPr>
          </w:p>
          <w:p w14:paraId="2B35BAAC" w14:textId="77777777" w:rsidR="00334FB1" w:rsidRPr="00313721" w:rsidRDefault="00334FB1" w:rsidP="003D022E">
            <w:pPr>
              <w:spacing w:line="256" w:lineRule="auto"/>
              <w:ind w:left="50"/>
              <w:jc w:val="both"/>
              <w:rPr>
                <w:rFonts w:ascii="Times New Roman" w:eastAsia="Times New Roman" w:hAnsi="Times New Roman" w:cs="Times New Roman"/>
                <w:lang w:eastAsia="ja-JP"/>
              </w:rPr>
            </w:pPr>
            <w:r w:rsidRPr="00313721">
              <w:rPr>
                <w:rFonts w:ascii="Times New Roman" w:eastAsia="Times New Roman" w:hAnsi="Times New Roman" w:cs="Times New Roman"/>
                <w:lang w:eastAsia="ja-JP"/>
              </w:rPr>
              <w:t xml:space="preserve">Nakoľko sa právne predpisy upravujúce jednotlivé predmety priemyselných práv (patenty, úžitkové vzory, dizajny a ochranné známky) na základe predloženého materiálu navrhuje novelizovať v častiach, ktoré sú pre dané právne predpisy spoločné, t. j. ich platná právna úprava má rovnaké znaky resp. sa navrhuje doplniť o rovnaké inštitúty, tieto právne predpisy budú z hľadiska návrhov jednotlivých regulácií a ich dopadov na podnikateľské prostredie vyhodnotené spoločne. </w:t>
            </w:r>
          </w:p>
          <w:p w14:paraId="474715C7" w14:textId="77777777" w:rsidR="00334FB1" w:rsidRPr="00313721" w:rsidRDefault="00334FB1" w:rsidP="003D022E">
            <w:pPr>
              <w:jc w:val="both"/>
              <w:rPr>
                <w:rFonts w:ascii="Times New Roman" w:hAnsi="Times New Roman" w:cs="Times New Roman"/>
                <w:b/>
              </w:rPr>
            </w:pPr>
          </w:p>
          <w:p w14:paraId="0D1B3D1A" w14:textId="77777777" w:rsidR="00334FB1" w:rsidRPr="00313721" w:rsidRDefault="00334FB1" w:rsidP="003D022E">
            <w:pPr>
              <w:pStyle w:val="Odsekzoznamu"/>
              <w:numPr>
                <w:ilvl w:val="0"/>
                <w:numId w:val="26"/>
              </w:numPr>
              <w:jc w:val="both"/>
              <w:rPr>
                <w:rFonts w:ascii="Times New Roman" w:hAnsi="Times New Roman" w:cs="Times New Roman"/>
                <w:bCs/>
              </w:rPr>
            </w:pPr>
            <w:r w:rsidRPr="00313721">
              <w:rPr>
                <w:rFonts w:ascii="Times New Roman" w:hAnsi="Times New Roman" w:cs="Times New Roman"/>
                <w:bCs/>
              </w:rPr>
              <w:t xml:space="preserve">Doplňujúce informácie k výpočtom regulácií vyvolaných na základe predkladaného materiálu v rozsahu novelizácií zákonov - </w:t>
            </w:r>
            <w:r w:rsidRPr="00313721">
              <w:rPr>
                <w:rFonts w:ascii="Times New Roman" w:eastAsia="Times New Roman" w:hAnsi="Times New Roman" w:cs="Times New Roman"/>
                <w:bCs/>
                <w:lang w:eastAsia="ja-JP"/>
              </w:rPr>
              <w:t>zákon č. 435/2001 Z. z., zákon č. 444/2002 Z. z., zákon č. 517/2007 Z. z., zákon č. 506/2009 Z. z., (spoločné odôvodnenie - popis)</w:t>
            </w:r>
            <w:r w:rsidRPr="00313721">
              <w:rPr>
                <w:rFonts w:ascii="Times New Roman" w:hAnsi="Times New Roman" w:cs="Times New Roman"/>
                <w:bCs/>
              </w:rPr>
              <w:t xml:space="preserve">: </w:t>
            </w:r>
          </w:p>
          <w:p w14:paraId="6903BEB2" w14:textId="77777777" w:rsidR="00334FB1" w:rsidRPr="00313721" w:rsidRDefault="00334FB1" w:rsidP="003D022E">
            <w:pPr>
              <w:ind w:left="284"/>
              <w:jc w:val="both"/>
              <w:rPr>
                <w:rFonts w:ascii="Times New Roman" w:hAnsi="Times New Roman" w:cs="Times New Roman"/>
                <w:b/>
              </w:rPr>
            </w:pPr>
          </w:p>
          <w:p w14:paraId="24092818" w14:textId="77777777" w:rsidR="00165E01" w:rsidRPr="00313721" w:rsidRDefault="00165E01" w:rsidP="00165E01">
            <w:pPr>
              <w:jc w:val="both"/>
              <w:rPr>
                <w:rFonts w:ascii="Times New Roman" w:hAnsi="Times New Roman" w:cs="Times New Roman"/>
                <w:b/>
              </w:rPr>
            </w:pPr>
            <w:r w:rsidRPr="00313721">
              <w:rPr>
                <w:rFonts w:ascii="Times New Roman" w:hAnsi="Times New Roman" w:cs="Times New Roman"/>
                <w:b/>
              </w:rPr>
              <w:t xml:space="preserve">P. č. 1 </w:t>
            </w:r>
          </w:p>
          <w:p w14:paraId="4FB7B1F7" w14:textId="0CA4A98C" w:rsidR="00334FB1" w:rsidRPr="00313721" w:rsidRDefault="00334FB1" w:rsidP="00165E01">
            <w:pPr>
              <w:jc w:val="both"/>
              <w:rPr>
                <w:rFonts w:ascii="Times New Roman" w:hAnsi="Times New Roman" w:cs="Times New Roman"/>
                <w:b/>
              </w:rPr>
            </w:pPr>
            <w:r w:rsidRPr="00313721">
              <w:rPr>
                <w:rFonts w:ascii="Times New Roman" w:hAnsi="Times New Roman" w:cs="Times New Roman"/>
                <w:b/>
              </w:rPr>
              <w:t>Náhrada trov konania</w:t>
            </w:r>
          </w:p>
          <w:p w14:paraId="553341DF" w14:textId="77777777" w:rsidR="00334FB1" w:rsidRPr="00313721" w:rsidRDefault="00334FB1" w:rsidP="003D022E">
            <w:pPr>
              <w:jc w:val="both"/>
              <w:rPr>
                <w:rFonts w:ascii="Times New Roman" w:hAnsi="Times New Roman" w:cs="Times New Roman"/>
                <w:b/>
              </w:rPr>
            </w:pPr>
          </w:p>
          <w:p w14:paraId="64755544" w14:textId="740FA7E9" w:rsidR="00D3093E" w:rsidRPr="00313721" w:rsidRDefault="00283ADC" w:rsidP="003D022E">
            <w:pPr>
              <w:jc w:val="both"/>
              <w:rPr>
                <w:rFonts w:ascii="Times New Roman" w:hAnsi="Times New Roman" w:cs="Times New Roman"/>
                <w:bCs/>
              </w:rPr>
            </w:pPr>
            <w:r w:rsidRPr="00313721">
              <w:rPr>
                <w:rFonts w:ascii="Times New Roman" w:hAnsi="Times New Roman" w:cs="Times New Roman"/>
                <w:bCs/>
              </w:rPr>
              <w:t>V súvislosti s náhrad</w:t>
            </w:r>
            <w:r w:rsidR="00B66259" w:rsidRPr="00313721">
              <w:rPr>
                <w:rFonts w:ascii="Times New Roman" w:hAnsi="Times New Roman" w:cs="Times New Roman"/>
                <w:bCs/>
              </w:rPr>
              <w:t>ou</w:t>
            </w:r>
            <w:r w:rsidRPr="00313721">
              <w:rPr>
                <w:rFonts w:ascii="Times New Roman" w:hAnsi="Times New Roman" w:cs="Times New Roman"/>
                <w:bCs/>
              </w:rPr>
              <w:t xml:space="preserve"> trov sporových konaní predkladateľ identifikoval 100 subjektov </w:t>
            </w:r>
            <w:r w:rsidR="00B66259" w:rsidRPr="00313721">
              <w:rPr>
                <w:rFonts w:ascii="Times New Roman" w:hAnsi="Times New Roman" w:cs="Times New Roman"/>
                <w:bCs/>
              </w:rPr>
              <w:t xml:space="preserve">z PP </w:t>
            </w:r>
            <w:r w:rsidRPr="00313721">
              <w:rPr>
                <w:rFonts w:ascii="Times New Roman" w:hAnsi="Times New Roman" w:cs="Times New Roman"/>
                <w:bCs/>
              </w:rPr>
              <w:t xml:space="preserve">dotknutých predmetnou reguláciou s predpokladanou celkovou finančnou záťažou vo výške  </w:t>
            </w:r>
            <w:r w:rsidR="008850DB" w:rsidRPr="00313721">
              <w:rPr>
                <w:rFonts w:ascii="Times New Roman" w:hAnsi="Times New Roman" w:cs="Times New Roman"/>
                <w:bCs/>
              </w:rPr>
              <w:t>20 </w:t>
            </w:r>
            <w:r w:rsidR="00C970F9" w:rsidRPr="00313721">
              <w:rPr>
                <w:rFonts w:ascii="Times New Roman" w:hAnsi="Times New Roman" w:cs="Times New Roman"/>
                <w:bCs/>
              </w:rPr>
              <w:t>3</w:t>
            </w:r>
            <w:r w:rsidR="008850DB" w:rsidRPr="00313721">
              <w:rPr>
                <w:rFonts w:ascii="Times New Roman" w:hAnsi="Times New Roman" w:cs="Times New Roman"/>
                <w:bCs/>
              </w:rPr>
              <w:t>00 €.</w:t>
            </w:r>
            <w:r w:rsidR="00B66259" w:rsidRPr="00313721">
              <w:rPr>
                <w:rFonts w:ascii="Times New Roman" w:hAnsi="Times New Roman" w:cs="Times New Roman"/>
                <w:bCs/>
              </w:rPr>
              <w:t xml:space="preserve"> Pozitívny vplyv na PP súvisiaci s predmetnou reguláciou vo výške 20 300 € je bližšie popísaný v časti 3.4 </w:t>
            </w:r>
            <w:r w:rsidR="00CD7B8C" w:rsidRPr="00313721">
              <w:rPr>
                <w:rFonts w:ascii="Times New Roman" w:hAnsi="Times New Roman" w:cs="Times New Roman"/>
                <w:bCs/>
              </w:rPr>
              <w:t>tejto Analýzy</w:t>
            </w:r>
            <w:r w:rsidR="00B66259" w:rsidRPr="00313721">
              <w:rPr>
                <w:rFonts w:ascii="Times New Roman" w:hAnsi="Times New Roman" w:cs="Times New Roman"/>
                <w:bCs/>
              </w:rPr>
              <w:t>.</w:t>
            </w:r>
          </w:p>
          <w:p w14:paraId="243804E6" w14:textId="77777777" w:rsidR="008850DB" w:rsidRPr="00313721" w:rsidRDefault="008850DB" w:rsidP="003D022E">
            <w:pPr>
              <w:jc w:val="both"/>
              <w:rPr>
                <w:rFonts w:ascii="Times New Roman" w:hAnsi="Times New Roman" w:cs="Times New Roman"/>
                <w:bCs/>
              </w:rPr>
            </w:pPr>
          </w:p>
          <w:p w14:paraId="4674DE12"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Pri identifikácii veľkosti skupiny podnikateľov dotknutých uvedenou reguláciou predkladateľ vychádzal z priemerného počtu sporových konaní vedených pred ÚPV SR za roky 2019 až 2023 (viď Tabuľka č. 1). Vstupné údaje boli čerpané zo štatistík vedených predkladateľom na interné účely ako aj z údajov dostupných vo Výročných správach ÚPV SR za príslušné kalendárne roky (In: </w:t>
            </w:r>
            <w:hyperlink r:id="rId11" w:history="1">
              <w:r w:rsidRPr="00313721">
                <w:rPr>
                  <w:rStyle w:val="Hypertextovprepojenie"/>
                  <w:rFonts w:ascii="Times New Roman" w:hAnsi="Times New Roman" w:cs="Times New Roman"/>
                  <w:bCs/>
                </w:rPr>
                <w:t>https://www.indprop.gov.sk/o-urade/materialy-suvisiace-s-cinnostou-uradu/vyrocne-spravy-a-vts</w:t>
              </w:r>
            </w:hyperlink>
            <w:r w:rsidRPr="00313721">
              <w:rPr>
                <w:rFonts w:ascii="Times New Roman" w:hAnsi="Times New Roman" w:cs="Times New Roman"/>
                <w:bCs/>
              </w:rPr>
              <w:t xml:space="preserve">). </w:t>
            </w:r>
          </w:p>
          <w:p w14:paraId="0C78408B" w14:textId="77777777" w:rsidR="00334FB1" w:rsidRPr="00313721" w:rsidRDefault="00334FB1" w:rsidP="003D022E">
            <w:pPr>
              <w:jc w:val="both"/>
              <w:rPr>
                <w:rFonts w:ascii="Times New Roman" w:hAnsi="Times New Roman" w:cs="Times New Roman"/>
                <w:bCs/>
              </w:rPr>
            </w:pPr>
          </w:p>
          <w:p w14:paraId="7C50CC77" w14:textId="77777777" w:rsidR="00334FB1" w:rsidRPr="00313721" w:rsidRDefault="00334FB1" w:rsidP="003D022E">
            <w:pPr>
              <w:jc w:val="both"/>
              <w:rPr>
                <w:rFonts w:ascii="Times New Roman" w:hAnsi="Times New Roman" w:cs="Times New Roman"/>
                <w:b/>
              </w:rPr>
            </w:pPr>
            <w:r w:rsidRPr="00313721">
              <w:rPr>
                <w:rFonts w:ascii="Times New Roman" w:hAnsi="Times New Roman" w:cs="Times New Roman"/>
                <w:b/>
              </w:rPr>
              <w:lastRenderedPageBreak/>
              <w:t>Tabuľka č. 1</w:t>
            </w:r>
          </w:p>
          <w:tbl>
            <w:tblPr>
              <w:tblW w:w="8736" w:type="dxa"/>
              <w:tblCellMar>
                <w:left w:w="70" w:type="dxa"/>
                <w:right w:w="70" w:type="dxa"/>
              </w:tblCellMar>
              <w:tblLook w:val="04A0" w:firstRow="1" w:lastRow="0" w:firstColumn="1" w:lastColumn="0" w:noHBand="0" w:noVBand="1"/>
            </w:tblPr>
            <w:tblGrid>
              <w:gridCol w:w="1163"/>
              <w:gridCol w:w="1590"/>
              <w:gridCol w:w="2778"/>
              <w:gridCol w:w="2089"/>
              <w:gridCol w:w="1139"/>
            </w:tblGrid>
            <w:tr w:rsidR="00334FB1" w:rsidRPr="00313721" w14:paraId="241F375F" w14:textId="77777777" w:rsidTr="003D022E">
              <w:trPr>
                <w:trHeight w:val="921"/>
              </w:trPr>
              <w:tc>
                <w:tcPr>
                  <w:tcW w:w="1139" w:type="dxa"/>
                  <w:vMerge w:val="restart"/>
                  <w:tcBorders>
                    <w:top w:val="single" w:sz="8" w:space="0" w:color="auto"/>
                    <w:left w:val="single" w:sz="8" w:space="0" w:color="auto"/>
                    <w:bottom w:val="single" w:sz="4" w:space="0" w:color="auto"/>
                    <w:right w:val="single" w:sz="4" w:space="0" w:color="auto"/>
                  </w:tcBorders>
                  <w:shd w:val="clear" w:color="000000" w:fill="3A3838"/>
                  <w:vAlign w:val="center"/>
                  <w:hideMark/>
                </w:tcPr>
                <w:p w14:paraId="42C0E55F" w14:textId="77777777" w:rsidR="00334FB1" w:rsidRPr="00313721" w:rsidRDefault="00334FB1" w:rsidP="003D022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rok</w:t>
                  </w:r>
                </w:p>
              </w:tc>
              <w:tc>
                <w:tcPr>
                  <w:tcW w:w="7597" w:type="dxa"/>
                  <w:gridSpan w:val="4"/>
                  <w:tcBorders>
                    <w:top w:val="single" w:sz="8" w:space="0" w:color="auto"/>
                    <w:left w:val="nil"/>
                    <w:bottom w:val="single" w:sz="4" w:space="0" w:color="auto"/>
                    <w:right w:val="single" w:sz="8" w:space="0" w:color="000000"/>
                  </w:tcBorders>
                  <w:shd w:val="clear" w:color="000000" w:fill="BF8F00"/>
                  <w:vAlign w:val="center"/>
                  <w:hideMark/>
                </w:tcPr>
                <w:p w14:paraId="7D2C35F7" w14:textId="77777777" w:rsidR="00334FB1" w:rsidRPr="00313721" w:rsidRDefault="00334FB1" w:rsidP="003D022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sporové konania podľa predmetov priemyselno-právnej ochrany*</w:t>
                  </w:r>
                </w:p>
              </w:tc>
            </w:tr>
            <w:tr w:rsidR="00334FB1" w:rsidRPr="00313721" w14:paraId="6A2E9D70" w14:textId="77777777" w:rsidTr="003D022E">
              <w:trPr>
                <w:trHeight w:val="768"/>
              </w:trPr>
              <w:tc>
                <w:tcPr>
                  <w:tcW w:w="1139" w:type="dxa"/>
                  <w:vMerge/>
                  <w:tcBorders>
                    <w:top w:val="single" w:sz="8" w:space="0" w:color="auto"/>
                    <w:left w:val="single" w:sz="8" w:space="0" w:color="auto"/>
                    <w:bottom w:val="single" w:sz="4" w:space="0" w:color="auto"/>
                    <w:right w:val="single" w:sz="4" w:space="0" w:color="auto"/>
                  </w:tcBorders>
                  <w:vAlign w:val="center"/>
                  <w:hideMark/>
                </w:tcPr>
                <w:p w14:paraId="5C9C0E0D" w14:textId="77777777" w:rsidR="00334FB1" w:rsidRPr="00313721" w:rsidRDefault="00334FB1" w:rsidP="003D022E">
                  <w:pPr>
                    <w:spacing w:after="0" w:line="240" w:lineRule="auto"/>
                    <w:rPr>
                      <w:rFonts w:ascii="Times New Roman" w:eastAsia="Times New Roman" w:hAnsi="Times New Roman" w:cs="Times New Roman"/>
                      <w:b/>
                      <w:bCs/>
                      <w:color w:val="FFFFFF"/>
                      <w:lang w:eastAsia="sk-SK"/>
                    </w:rPr>
                  </w:pPr>
                </w:p>
              </w:tc>
              <w:tc>
                <w:tcPr>
                  <w:tcW w:w="1590" w:type="dxa"/>
                  <w:tcBorders>
                    <w:top w:val="nil"/>
                    <w:left w:val="nil"/>
                    <w:bottom w:val="single" w:sz="4" w:space="0" w:color="auto"/>
                    <w:right w:val="single" w:sz="4" w:space="0" w:color="auto"/>
                  </w:tcBorders>
                  <w:shd w:val="clear" w:color="auto" w:fill="auto"/>
                  <w:vAlign w:val="center"/>
                  <w:hideMark/>
                </w:tcPr>
                <w:p w14:paraId="69D4010E" w14:textId="77777777" w:rsidR="00334FB1" w:rsidRPr="00313721" w:rsidRDefault="00334FB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námietky OZ</w:t>
                  </w:r>
                </w:p>
              </w:tc>
              <w:tc>
                <w:tcPr>
                  <w:tcW w:w="2778" w:type="dxa"/>
                  <w:tcBorders>
                    <w:top w:val="nil"/>
                    <w:left w:val="nil"/>
                    <w:bottom w:val="single" w:sz="4" w:space="0" w:color="auto"/>
                    <w:right w:val="single" w:sz="4" w:space="0" w:color="auto"/>
                  </w:tcBorders>
                  <w:shd w:val="clear" w:color="auto" w:fill="auto"/>
                  <w:vAlign w:val="center"/>
                  <w:hideMark/>
                </w:tcPr>
                <w:p w14:paraId="05396B5A" w14:textId="77777777" w:rsidR="00334FB1" w:rsidRPr="00313721" w:rsidRDefault="00334FB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zrušenie/neplatnosť OZ</w:t>
                  </w:r>
                </w:p>
              </w:tc>
              <w:tc>
                <w:tcPr>
                  <w:tcW w:w="2089" w:type="dxa"/>
                  <w:tcBorders>
                    <w:top w:val="nil"/>
                    <w:left w:val="nil"/>
                    <w:bottom w:val="single" w:sz="4" w:space="0" w:color="auto"/>
                    <w:right w:val="single" w:sz="4" w:space="0" w:color="auto"/>
                  </w:tcBorders>
                  <w:shd w:val="clear" w:color="auto" w:fill="auto"/>
                  <w:vAlign w:val="center"/>
                  <w:hideMark/>
                </w:tcPr>
                <w:p w14:paraId="06D81971" w14:textId="77777777" w:rsidR="00334FB1" w:rsidRPr="00313721" w:rsidRDefault="00334FB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patenty DOO, ÚV, dizajny</w:t>
                  </w:r>
                </w:p>
              </w:tc>
              <w:tc>
                <w:tcPr>
                  <w:tcW w:w="1139" w:type="dxa"/>
                  <w:tcBorders>
                    <w:top w:val="nil"/>
                    <w:left w:val="nil"/>
                    <w:bottom w:val="single" w:sz="4" w:space="0" w:color="auto"/>
                    <w:right w:val="single" w:sz="8" w:space="0" w:color="auto"/>
                  </w:tcBorders>
                  <w:shd w:val="clear" w:color="auto" w:fill="auto"/>
                  <w:noWrap/>
                  <w:vAlign w:val="center"/>
                  <w:hideMark/>
                </w:tcPr>
                <w:p w14:paraId="2B54AAF1" w14:textId="77777777" w:rsidR="00334FB1" w:rsidRPr="00313721" w:rsidRDefault="00334FB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rozklady</w:t>
                  </w:r>
                </w:p>
              </w:tc>
            </w:tr>
            <w:tr w:rsidR="00334FB1" w:rsidRPr="00313721" w14:paraId="2CBC6966" w14:textId="77777777" w:rsidTr="003D022E">
              <w:trPr>
                <w:trHeight w:val="353"/>
              </w:trPr>
              <w:tc>
                <w:tcPr>
                  <w:tcW w:w="1139" w:type="dxa"/>
                  <w:tcBorders>
                    <w:top w:val="nil"/>
                    <w:left w:val="single" w:sz="8" w:space="0" w:color="auto"/>
                    <w:bottom w:val="single" w:sz="4" w:space="0" w:color="auto"/>
                    <w:right w:val="single" w:sz="4" w:space="0" w:color="auto"/>
                  </w:tcBorders>
                  <w:shd w:val="clear" w:color="auto" w:fill="auto"/>
                  <w:noWrap/>
                  <w:vAlign w:val="bottom"/>
                  <w:hideMark/>
                </w:tcPr>
                <w:p w14:paraId="195AD33E"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2019</w:t>
                  </w:r>
                </w:p>
              </w:tc>
              <w:tc>
                <w:tcPr>
                  <w:tcW w:w="1590" w:type="dxa"/>
                  <w:tcBorders>
                    <w:top w:val="nil"/>
                    <w:left w:val="nil"/>
                    <w:bottom w:val="single" w:sz="4" w:space="0" w:color="auto"/>
                    <w:right w:val="single" w:sz="4" w:space="0" w:color="auto"/>
                  </w:tcBorders>
                  <w:shd w:val="clear" w:color="auto" w:fill="auto"/>
                  <w:noWrap/>
                  <w:vAlign w:val="bottom"/>
                  <w:hideMark/>
                </w:tcPr>
                <w:p w14:paraId="4C66A72C"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157</w:t>
                  </w:r>
                </w:p>
              </w:tc>
              <w:tc>
                <w:tcPr>
                  <w:tcW w:w="2778" w:type="dxa"/>
                  <w:tcBorders>
                    <w:top w:val="nil"/>
                    <w:left w:val="nil"/>
                    <w:bottom w:val="single" w:sz="4" w:space="0" w:color="auto"/>
                    <w:right w:val="single" w:sz="4" w:space="0" w:color="auto"/>
                  </w:tcBorders>
                  <w:shd w:val="clear" w:color="auto" w:fill="auto"/>
                  <w:noWrap/>
                  <w:vAlign w:val="bottom"/>
                  <w:hideMark/>
                </w:tcPr>
                <w:p w14:paraId="19281EED"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31</w:t>
                  </w:r>
                </w:p>
              </w:tc>
              <w:tc>
                <w:tcPr>
                  <w:tcW w:w="2089" w:type="dxa"/>
                  <w:tcBorders>
                    <w:top w:val="nil"/>
                    <w:left w:val="nil"/>
                    <w:bottom w:val="single" w:sz="4" w:space="0" w:color="auto"/>
                    <w:right w:val="single" w:sz="4" w:space="0" w:color="auto"/>
                  </w:tcBorders>
                  <w:shd w:val="clear" w:color="auto" w:fill="auto"/>
                  <w:noWrap/>
                  <w:vAlign w:val="bottom"/>
                  <w:hideMark/>
                </w:tcPr>
                <w:p w14:paraId="333718B4"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14</w:t>
                  </w:r>
                </w:p>
              </w:tc>
              <w:tc>
                <w:tcPr>
                  <w:tcW w:w="1139" w:type="dxa"/>
                  <w:tcBorders>
                    <w:top w:val="nil"/>
                    <w:left w:val="nil"/>
                    <w:bottom w:val="single" w:sz="4" w:space="0" w:color="auto"/>
                    <w:right w:val="single" w:sz="8" w:space="0" w:color="auto"/>
                  </w:tcBorders>
                  <w:shd w:val="clear" w:color="auto" w:fill="auto"/>
                  <w:noWrap/>
                  <w:vAlign w:val="bottom"/>
                  <w:hideMark/>
                </w:tcPr>
                <w:p w14:paraId="63BB8A7A"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124</w:t>
                  </w:r>
                </w:p>
              </w:tc>
            </w:tr>
            <w:tr w:rsidR="00334FB1" w:rsidRPr="00313721" w14:paraId="0A2D0D05" w14:textId="77777777" w:rsidTr="003D022E">
              <w:trPr>
                <w:trHeight w:val="384"/>
              </w:trPr>
              <w:tc>
                <w:tcPr>
                  <w:tcW w:w="1139" w:type="dxa"/>
                  <w:tcBorders>
                    <w:top w:val="nil"/>
                    <w:left w:val="single" w:sz="8" w:space="0" w:color="auto"/>
                    <w:bottom w:val="single" w:sz="4" w:space="0" w:color="auto"/>
                    <w:right w:val="single" w:sz="4" w:space="0" w:color="auto"/>
                  </w:tcBorders>
                  <w:shd w:val="clear" w:color="auto" w:fill="auto"/>
                  <w:noWrap/>
                  <w:vAlign w:val="bottom"/>
                  <w:hideMark/>
                </w:tcPr>
                <w:p w14:paraId="53244A4A"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2020</w:t>
                  </w:r>
                </w:p>
              </w:tc>
              <w:tc>
                <w:tcPr>
                  <w:tcW w:w="1590" w:type="dxa"/>
                  <w:tcBorders>
                    <w:top w:val="nil"/>
                    <w:left w:val="nil"/>
                    <w:bottom w:val="single" w:sz="4" w:space="0" w:color="auto"/>
                    <w:right w:val="single" w:sz="4" w:space="0" w:color="auto"/>
                  </w:tcBorders>
                  <w:shd w:val="clear" w:color="auto" w:fill="auto"/>
                  <w:noWrap/>
                  <w:vAlign w:val="bottom"/>
                  <w:hideMark/>
                </w:tcPr>
                <w:p w14:paraId="3242E9BA"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147</w:t>
                  </w:r>
                </w:p>
              </w:tc>
              <w:tc>
                <w:tcPr>
                  <w:tcW w:w="2778" w:type="dxa"/>
                  <w:tcBorders>
                    <w:top w:val="nil"/>
                    <w:left w:val="nil"/>
                    <w:bottom w:val="single" w:sz="4" w:space="0" w:color="auto"/>
                    <w:right w:val="single" w:sz="4" w:space="0" w:color="auto"/>
                  </w:tcBorders>
                  <w:shd w:val="clear" w:color="auto" w:fill="auto"/>
                  <w:noWrap/>
                  <w:vAlign w:val="bottom"/>
                  <w:hideMark/>
                </w:tcPr>
                <w:p w14:paraId="4C0D4D2D"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41</w:t>
                  </w:r>
                </w:p>
              </w:tc>
              <w:tc>
                <w:tcPr>
                  <w:tcW w:w="2089" w:type="dxa"/>
                  <w:tcBorders>
                    <w:top w:val="nil"/>
                    <w:left w:val="nil"/>
                    <w:bottom w:val="single" w:sz="4" w:space="0" w:color="auto"/>
                    <w:right w:val="single" w:sz="4" w:space="0" w:color="auto"/>
                  </w:tcBorders>
                  <w:shd w:val="clear" w:color="auto" w:fill="auto"/>
                  <w:noWrap/>
                  <w:vAlign w:val="bottom"/>
                  <w:hideMark/>
                </w:tcPr>
                <w:p w14:paraId="35569190"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7</w:t>
                  </w:r>
                </w:p>
              </w:tc>
              <w:tc>
                <w:tcPr>
                  <w:tcW w:w="1139" w:type="dxa"/>
                  <w:tcBorders>
                    <w:top w:val="nil"/>
                    <w:left w:val="nil"/>
                    <w:bottom w:val="single" w:sz="4" w:space="0" w:color="auto"/>
                    <w:right w:val="single" w:sz="8" w:space="0" w:color="auto"/>
                  </w:tcBorders>
                  <w:shd w:val="clear" w:color="auto" w:fill="auto"/>
                  <w:noWrap/>
                  <w:vAlign w:val="bottom"/>
                  <w:hideMark/>
                </w:tcPr>
                <w:p w14:paraId="551B0F76"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101</w:t>
                  </w:r>
                </w:p>
              </w:tc>
            </w:tr>
            <w:tr w:rsidR="00334FB1" w:rsidRPr="00313721" w14:paraId="477D109A" w14:textId="77777777" w:rsidTr="003D022E">
              <w:trPr>
                <w:trHeight w:val="307"/>
              </w:trPr>
              <w:tc>
                <w:tcPr>
                  <w:tcW w:w="1139" w:type="dxa"/>
                  <w:tcBorders>
                    <w:top w:val="nil"/>
                    <w:left w:val="single" w:sz="8" w:space="0" w:color="auto"/>
                    <w:bottom w:val="single" w:sz="4" w:space="0" w:color="auto"/>
                    <w:right w:val="single" w:sz="4" w:space="0" w:color="auto"/>
                  </w:tcBorders>
                  <w:shd w:val="clear" w:color="auto" w:fill="auto"/>
                  <w:noWrap/>
                  <w:vAlign w:val="bottom"/>
                  <w:hideMark/>
                </w:tcPr>
                <w:p w14:paraId="7D59228C"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2021</w:t>
                  </w:r>
                </w:p>
              </w:tc>
              <w:tc>
                <w:tcPr>
                  <w:tcW w:w="1590" w:type="dxa"/>
                  <w:tcBorders>
                    <w:top w:val="nil"/>
                    <w:left w:val="nil"/>
                    <w:bottom w:val="single" w:sz="4" w:space="0" w:color="auto"/>
                    <w:right w:val="single" w:sz="4" w:space="0" w:color="auto"/>
                  </w:tcBorders>
                  <w:shd w:val="clear" w:color="auto" w:fill="auto"/>
                  <w:noWrap/>
                  <w:vAlign w:val="bottom"/>
                  <w:hideMark/>
                </w:tcPr>
                <w:p w14:paraId="5F8F5BBB"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176</w:t>
                  </w:r>
                </w:p>
              </w:tc>
              <w:tc>
                <w:tcPr>
                  <w:tcW w:w="2778" w:type="dxa"/>
                  <w:tcBorders>
                    <w:top w:val="nil"/>
                    <w:left w:val="nil"/>
                    <w:bottom w:val="single" w:sz="4" w:space="0" w:color="auto"/>
                    <w:right w:val="single" w:sz="4" w:space="0" w:color="auto"/>
                  </w:tcBorders>
                  <w:shd w:val="clear" w:color="auto" w:fill="auto"/>
                  <w:noWrap/>
                  <w:vAlign w:val="bottom"/>
                  <w:hideMark/>
                </w:tcPr>
                <w:p w14:paraId="19BEECFA"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39</w:t>
                  </w:r>
                </w:p>
              </w:tc>
              <w:tc>
                <w:tcPr>
                  <w:tcW w:w="2089" w:type="dxa"/>
                  <w:tcBorders>
                    <w:top w:val="nil"/>
                    <w:left w:val="nil"/>
                    <w:bottom w:val="single" w:sz="4" w:space="0" w:color="auto"/>
                    <w:right w:val="single" w:sz="4" w:space="0" w:color="auto"/>
                  </w:tcBorders>
                  <w:shd w:val="clear" w:color="auto" w:fill="auto"/>
                  <w:noWrap/>
                  <w:vAlign w:val="bottom"/>
                  <w:hideMark/>
                </w:tcPr>
                <w:p w14:paraId="4C95F6B4"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6</w:t>
                  </w:r>
                </w:p>
              </w:tc>
              <w:tc>
                <w:tcPr>
                  <w:tcW w:w="1139" w:type="dxa"/>
                  <w:tcBorders>
                    <w:top w:val="nil"/>
                    <w:left w:val="nil"/>
                    <w:bottom w:val="single" w:sz="4" w:space="0" w:color="auto"/>
                    <w:right w:val="single" w:sz="8" w:space="0" w:color="auto"/>
                  </w:tcBorders>
                  <w:shd w:val="clear" w:color="auto" w:fill="auto"/>
                  <w:noWrap/>
                  <w:vAlign w:val="bottom"/>
                  <w:hideMark/>
                </w:tcPr>
                <w:p w14:paraId="302646F6"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86</w:t>
                  </w:r>
                </w:p>
              </w:tc>
            </w:tr>
            <w:tr w:rsidR="00334FB1" w:rsidRPr="00313721" w14:paraId="2E855006" w14:textId="77777777" w:rsidTr="003D022E">
              <w:trPr>
                <w:trHeight w:val="307"/>
              </w:trPr>
              <w:tc>
                <w:tcPr>
                  <w:tcW w:w="1139" w:type="dxa"/>
                  <w:tcBorders>
                    <w:top w:val="nil"/>
                    <w:left w:val="single" w:sz="8" w:space="0" w:color="auto"/>
                    <w:bottom w:val="single" w:sz="4" w:space="0" w:color="auto"/>
                    <w:right w:val="single" w:sz="4" w:space="0" w:color="auto"/>
                  </w:tcBorders>
                  <w:shd w:val="clear" w:color="auto" w:fill="auto"/>
                  <w:noWrap/>
                  <w:vAlign w:val="bottom"/>
                  <w:hideMark/>
                </w:tcPr>
                <w:p w14:paraId="23F2B77E"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2022</w:t>
                  </w:r>
                </w:p>
              </w:tc>
              <w:tc>
                <w:tcPr>
                  <w:tcW w:w="1590" w:type="dxa"/>
                  <w:tcBorders>
                    <w:top w:val="nil"/>
                    <w:left w:val="nil"/>
                    <w:bottom w:val="single" w:sz="4" w:space="0" w:color="auto"/>
                    <w:right w:val="single" w:sz="4" w:space="0" w:color="auto"/>
                  </w:tcBorders>
                  <w:shd w:val="clear" w:color="auto" w:fill="auto"/>
                  <w:noWrap/>
                  <w:vAlign w:val="bottom"/>
                  <w:hideMark/>
                </w:tcPr>
                <w:p w14:paraId="3176248E"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113</w:t>
                  </w:r>
                </w:p>
              </w:tc>
              <w:tc>
                <w:tcPr>
                  <w:tcW w:w="2778" w:type="dxa"/>
                  <w:tcBorders>
                    <w:top w:val="nil"/>
                    <w:left w:val="nil"/>
                    <w:bottom w:val="single" w:sz="4" w:space="0" w:color="auto"/>
                    <w:right w:val="single" w:sz="4" w:space="0" w:color="auto"/>
                  </w:tcBorders>
                  <w:shd w:val="clear" w:color="auto" w:fill="auto"/>
                  <w:noWrap/>
                  <w:vAlign w:val="bottom"/>
                  <w:hideMark/>
                </w:tcPr>
                <w:p w14:paraId="1C6535E1"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23</w:t>
                  </w:r>
                </w:p>
              </w:tc>
              <w:tc>
                <w:tcPr>
                  <w:tcW w:w="2089" w:type="dxa"/>
                  <w:tcBorders>
                    <w:top w:val="nil"/>
                    <w:left w:val="nil"/>
                    <w:bottom w:val="single" w:sz="4" w:space="0" w:color="auto"/>
                    <w:right w:val="single" w:sz="4" w:space="0" w:color="auto"/>
                  </w:tcBorders>
                  <w:shd w:val="clear" w:color="auto" w:fill="auto"/>
                  <w:noWrap/>
                  <w:vAlign w:val="bottom"/>
                  <w:hideMark/>
                </w:tcPr>
                <w:p w14:paraId="71D0A77E"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6</w:t>
                  </w:r>
                </w:p>
              </w:tc>
              <w:tc>
                <w:tcPr>
                  <w:tcW w:w="1139" w:type="dxa"/>
                  <w:tcBorders>
                    <w:top w:val="nil"/>
                    <w:left w:val="nil"/>
                    <w:bottom w:val="single" w:sz="4" w:space="0" w:color="auto"/>
                    <w:right w:val="single" w:sz="8" w:space="0" w:color="auto"/>
                  </w:tcBorders>
                  <w:shd w:val="clear" w:color="auto" w:fill="auto"/>
                  <w:noWrap/>
                  <w:vAlign w:val="bottom"/>
                  <w:hideMark/>
                </w:tcPr>
                <w:p w14:paraId="6CB673CC"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85</w:t>
                  </w:r>
                </w:p>
              </w:tc>
            </w:tr>
            <w:tr w:rsidR="00334FB1" w:rsidRPr="00313721" w14:paraId="6052F0CF" w14:textId="77777777" w:rsidTr="003D022E">
              <w:trPr>
                <w:trHeight w:val="307"/>
              </w:trPr>
              <w:tc>
                <w:tcPr>
                  <w:tcW w:w="1139" w:type="dxa"/>
                  <w:tcBorders>
                    <w:top w:val="nil"/>
                    <w:left w:val="single" w:sz="8" w:space="0" w:color="auto"/>
                    <w:bottom w:val="single" w:sz="4" w:space="0" w:color="auto"/>
                    <w:right w:val="single" w:sz="4" w:space="0" w:color="auto"/>
                  </w:tcBorders>
                  <w:shd w:val="clear" w:color="auto" w:fill="auto"/>
                  <w:noWrap/>
                  <w:vAlign w:val="bottom"/>
                  <w:hideMark/>
                </w:tcPr>
                <w:p w14:paraId="4B5BB3D8"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2023</w:t>
                  </w:r>
                </w:p>
              </w:tc>
              <w:tc>
                <w:tcPr>
                  <w:tcW w:w="1590" w:type="dxa"/>
                  <w:tcBorders>
                    <w:top w:val="nil"/>
                    <w:left w:val="nil"/>
                    <w:bottom w:val="single" w:sz="4" w:space="0" w:color="auto"/>
                    <w:right w:val="single" w:sz="4" w:space="0" w:color="auto"/>
                  </w:tcBorders>
                  <w:shd w:val="clear" w:color="auto" w:fill="auto"/>
                  <w:noWrap/>
                  <w:vAlign w:val="bottom"/>
                  <w:hideMark/>
                </w:tcPr>
                <w:p w14:paraId="180F521E"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117</w:t>
                  </w:r>
                </w:p>
              </w:tc>
              <w:tc>
                <w:tcPr>
                  <w:tcW w:w="2778" w:type="dxa"/>
                  <w:tcBorders>
                    <w:top w:val="nil"/>
                    <w:left w:val="nil"/>
                    <w:bottom w:val="single" w:sz="4" w:space="0" w:color="auto"/>
                    <w:right w:val="single" w:sz="4" w:space="0" w:color="auto"/>
                  </w:tcBorders>
                  <w:shd w:val="clear" w:color="auto" w:fill="auto"/>
                  <w:noWrap/>
                  <w:vAlign w:val="bottom"/>
                  <w:hideMark/>
                </w:tcPr>
                <w:p w14:paraId="1ECE0AEA"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13</w:t>
                  </w:r>
                </w:p>
              </w:tc>
              <w:tc>
                <w:tcPr>
                  <w:tcW w:w="2089" w:type="dxa"/>
                  <w:tcBorders>
                    <w:top w:val="nil"/>
                    <w:left w:val="nil"/>
                    <w:bottom w:val="single" w:sz="4" w:space="0" w:color="auto"/>
                    <w:right w:val="single" w:sz="4" w:space="0" w:color="auto"/>
                  </w:tcBorders>
                  <w:shd w:val="clear" w:color="auto" w:fill="auto"/>
                  <w:noWrap/>
                  <w:vAlign w:val="bottom"/>
                  <w:hideMark/>
                </w:tcPr>
                <w:p w14:paraId="61856775"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w:t>
                  </w:r>
                </w:p>
              </w:tc>
              <w:tc>
                <w:tcPr>
                  <w:tcW w:w="1139" w:type="dxa"/>
                  <w:tcBorders>
                    <w:top w:val="nil"/>
                    <w:left w:val="nil"/>
                    <w:bottom w:val="single" w:sz="4" w:space="0" w:color="auto"/>
                    <w:right w:val="single" w:sz="8" w:space="0" w:color="auto"/>
                  </w:tcBorders>
                  <w:shd w:val="clear" w:color="auto" w:fill="auto"/>
                  <w:noWrap/>
                  <w:vAlign w:val="bottom"/>
                  <w:hideMark/>
                </w:tcPr>
                <w:p w14:paraId="55DED309" w14:textId="7777777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85</w:t>
                  </w:r>
                </w:p>
              </w:tc>
            </w:tr>
            <w:tr w:rsidR="00334FB1" w:rsidRPr="00313721" w14:paraId="2185CD8B" w14:textId="77777777" w:rsidTr="003D022E">
              <w:trPr>
                <w:trHeight w:val="460"/>
              </w:trPr>
              <w:tc>
                <w:tcPr>
                  <w:tcW w:w="1139" w:type="dxa"/>
                  <w:tcBorders>
                    <w:top w:val="nil"/>
                    <w:left w:val="single" w:sz="8" w:space="0" w:color="auto"/>
                    <w:bottom w:val="nil"/>
                    <w:right w:val="single" w:sz="4" w:space="0" w:color="auto"/>
                  </w:tcBorders>
                  <w:shd w:val="clear" w:color="000000" w:fill="C6E0B4"/>
                  <w:noWrap/>
                  <w:vAlign w:val="bottom"/>
                  <w:hideMark/>
                </w:tcPr>
                <w:p w14:paraId="68ED2EA8" w14:textId="77777777" w:rsidR="00334FB1" w:rsidRPr="00313721" w:rsidRDefault="00334FB1" w:rsidP="003D022E">
                  <w:pPr>
                    <w:spacing w:after="0" w:line="240" w:lineRule="auto"/>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spolu</w:t>
                  </w:r>
                </w:p>
              </w:tc>
              <w:tc>
                <w:tcPr>
                  <w:tcW w:w="1590" w:type="dxa"/>
                  <w:tcBorders>
                    <w:top w:val="nil"/>
                    <w:left w:val="nil"/>
                    <w:bottom w:val="nil"/>
                    <w:right w:val="single" w:sz="4" w:space="0" w:color="auto"/>
                  </w:tcBorders>
                  <w:shd w:val="clear" w:color="000000" w:fill="C6E0B4"/>
                  <w:noWrap/>
                  <w:vAlign w:val="bottom"/>
                  <w:hideMark/>
                </w:tcPr>
                <w:p w14:paraId="6E23CDBA" w14:textId="77777777" w:rsidR="00334FB1" w:rsidRPr="00313721" w:rsidRDefault="00334FB1"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710</w:t>
                  </w:r>
                </w:p>
              </w:tc>
              <w:tc>
                <w:tcPr>
                  <w:tcW w:w="2778" w:type="dxa"/>
                  <w:tcBorders>
                    <w:top w:val="nil"/>
                    <w:left w:val="nil"/>
                    <w:bottom w:val="nil"/>
                    <w:right w:val="single" w:sz="4" w:space="0" w:color="auto"/>
                  </w:tcBorders>
                  <w:shd w:val="clear" w:color="000000" w:fill="C6E0B4"/>
                  <w:noWrap/>
                  <w:vAlign w:val="bottom"/>
                  <w:hideMark/>
                </w:tcPr>
                <w:p w14:paraId="6E984B95" w14:textId="77777777" w:rsidR="00334FB1" w:rsidRPr="00313721" w:rsidRDefault="00334FB1"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147</w:t>
                  </w:r>
                </w:p>
              </w:tc>
              <w:tc>
                <w:tcPr>
                  <w:tcW w:w="2089" w:type="dxa"/>
                  <w:tcBorders>
                    <w:top w:val="nil"/>
                    <w:left w:val="nil"/>
                    <w:bottom w:val="nil"/>
                    <w:right w:val="single" w:sz="4" w:space="0" w:color="auto"/>
                  </w:tcBorders>
                  <w:shd w:val="clear" w:color="000000" w:fill="C6E0B4"/>
                  <w:noWrap/>
                  <w:vAlign w:val="bottom"/>
                  <w:hideMark/>
                </w:tcPr>
                <w:p w14:paraId="63988C70" w14:textId="77777777" w:rsidR="00334FB1" w:rsidRPr="00313721" w:rsidRDefault="00334FB1"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41</w:t>
                  </w:r>
                </w:p>
              </w:tc>
              <w:tc>
                <w:tcPr>
                  <w:tcW w:w="1139" w:type="dxa"/>
                  <w:tcBorders>
                    <w:top w:val="nil"/>
                    <w:left w:val="nil"/>
                    <w:bottom w:val="nil"/>
                    <w:right w:val="single" w:sz="8" w:space="0" w:color="auto"/>
                  </w:tcBorders>
                  <w:shd w:val="clear" w:color="000000" w:fill="C6E0B4"/>
                  <w:noWrap/>
                  <w:vAlign w:val="bottom"/>
                  <w:hideMark/>
                </w:tcPr>
                <w:p w14:paraId="6E508185" w14:textId="77777777" w:rsidR="00334FB1" w:rsidRPr="00313721" w:rsidRDefault="00334FB1"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481</w:t>
                  </w:r>
                </w:p>
              </w:tc>
            </w:tr>
            <w:tr w:rsidR="00334FB1" w:rsidRPr="00313721" w14:paraId="35026674" w14:textId="77777777" w:rsidTr="008850DB">
              <w:trPr>
                <w:trHeight w:val="322"/>
              </w:trPr>
              <w:tc>
                <w:tcPr>
                  <w:tcW w:w="11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2B1BA6" w14:textId="77777777" w:rsidR="00334FB1" w:rsidRPr="00313721" w:rsidRDefault="00334FB1" w:rsidP="003D022E">
                  <w:pPr>
                    <w:spacing w:after="0" w:line="240" w:lineRule="auto"/>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celkom</w:t>
                  </w:r>
                </w:p>
              </w:tc>
              <w:tc>
                <w:tcPr>
                  <w:tcW w:w="7597" w:type="dxa"/>
                  <w:gridSpan w:val="4"/>
                  <w:tcBorders>
                    <w:top w:val="single" w:sz="4" w:space="0" w:color="auto"/>
                    <w:left w:val="nil"/>
                    <w:bottom w:val="single" w:sz="4" w:space="0" w:color="auto"/>
                    <w:right w:val="single" w:sz="8" w:space="0" w:color="000000"/>
                  </w:tcBorders>
                  <w:shd w:val="clear" w:color="auto" w:fill="auto"/>
                  <w:vAlign w:val="bottom"/>
                  <w:hideMark/>
                </w:tcPr>
                <w:p w14:paraId="01D07418" w14:textId="77777777" w:rsidR="00334FB1" w:rsidRPr="00313721" w:rsidRDefault="00334FB1"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1379</w:t>
                  </w:r>
                </w:p>
              </w:tc>
            </w:tr>
            <w:tr w:rsidR="008850DB" w:rsidRPr="00313721" w14:paraId="32151745" w14:textId="77777777" w:rsidTr="003D022E">
              <w:trPr>
                <w:trHeight w:val="322"/>
              </w:trPr>
              <w:tc>
                <w:tcPr>
                  <w:tcW w:w="113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B9FD090" w14:textId="7DEE31C3" w:rsidR="008850DB" w:rsidRPr="00313721" w:rsidRDefault="008850DB" w:rsidP="003D022E">
                  <w:pPr>
                    <w:spacing w:after="0" w:line="240" w:lineRule="auto"/>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 xml:space="preserve">Ø </w:t>
                  </w:r>
                  <w:r w:rsidRPr="00313721">
                    <w:rPr>
                      <w:rFonts w:ascii="Times New Roman" w:eastAsia="Times New Roman" w:hAnsi="Times New Roman" w:cs="Times New Roman"/>
                      <w:b/>
                      <w:bCs/>
                      <w:color w:val="000000"/>
                      <w:sz w:val="20"/>
                      <w:szCs w:val="20"/>
                      <w:lang w:eastAsia="sk-SK"/>
                    </w:rPr>
                    <w:t>ročne po zaokrúhlení</w:t>
                  </w:r>
                </w:p>
              </w:tc>
              <w:tc>
                <w:tcPr>
                  <w:tcW w:w="7597" w:type="dxa"/>
                  <w:gridSpan w:val="4"/>
                  <w:tcBorders>
                    <w:top w:val="single" w:sz="4" w:space="0" w:color="auto"/>
                    <w:left w:val="nil"/>
                    <w:bottom w:val="single" w:sz="8" w:space="0" w:color="auto"/>
                    <w:right w:val="single" w:sz="8" w:space="0" w:color="000000"/>
                  </w:tcBorders>
                  <w:shd w:val="clear" w:color="auto" w:fill="auto"/>
                  <w:vAlign w:val="bottom"/>
                </w:tcPr>
                <w:p w14:paraId="1D110C64" w14:textId="7457BFB0" w:rsidR="008850DB" w:rsidRPr="00313721" w:rsidRDefault="003C0A4F" w:rsidP="003D022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276</w:t>
                  </w:r>
                </w:p>
              </w:tc>
            </w:tr>
          </w:tbl>
          <w:p w14:paraId="711FDF59" w14:textId="77777777" w:rsidR="00334FB1" w:rsidRPr="00313721" w:rsidRDefault="00334FB1" w:rsidP="003D022E">
            <w:pPr>
              <w:pStyle w:val="Odsekzoznamu"/>
              <w:ind w:left="25"/>
              <w:jc w:val="both"/>
              <w:rPr>
                <w:rFonts w:ascii="Times New Roman" w:hAnsi="Times New Roman" w:cs="Times New Roman"/>
                <w:bCs/>
                <w:sz w:val="18"/>
                <w:szCs w:val="18"/>
              </w:rPr>
            </w:pPr>
            <w:r w:rsidRPr="00313721">
              <w:rPr>
                <w:rFonts w:ascii="Times New Roman" w:hAnsi="Times New Roman" w:cs="Times New Roman"/>
                <w:bCs/>
              </w:rPr>
              <w:t xml:space="preserve">* </w:t>
            </w:r>
            <w:r w:rsidRPr="00313721">
              <w:rPr>
                <w:rFonts w:ascii="Times New Roman" w:hAnsi="Times New Roman" w:cs="Times New Roman"/>
                <w:bCs/>
                <w:sz w:val="18"/>
                <w:szCs w:val="18"/>
              </w:rPr>
              <w:t xml:space="preserve">počet sporových konaní zahŕňa nové námietkové podania vo veci ochranných známok - OZ (§ 30 a </w:t>
            </w:r>
            <w:proofErr w:type="spellStart"/>
            <w:r w:rsidRPr="00313721">
              <w:rPr>
                <w:rFonts w:ascii="Times New Roman" w:hAnsi="Times New Roman" w:cs="Times New Roman"/>
                <w:bCs/>
                <w:sz w:val="18"/>
                <w:szCs w:val="18"/>
              </w:rPr>
              <w:t>nasl</w:t>
            </w:r>
            <w:proofErr w:type="spellEnd"/>
            <w:r w:rsidRPr="00313721">
              <w:rPr>
                <w:rFonts w:ascii="Times New Roman" w:hAnsi="Times New Roman" w:cs="Times New Roman"/>
                <w:bCs/>
                <w:sz w:val="18"/>
                <w:szCs w:val="18"/>
              </w:rPr>
              <w:t>. zákona č. 506/2009 Z. z.), návrhy na neplatnosť a zrušenia ochrannej známky a medzinárodnej ochrannej známky (§ 37 zákona č. 506/2009 Z. z.), návrhy na výmaz zapísaného dizajnu (§ 38 zákona č. 444/2002 Z. z.) a návrhy týkajúce sa technických predmetov priemyselno-právnej ochrany (patentov, dodatkových ochranných osvedčení - DOO, úžitkových vzorov – ÚV)</w:t>
            </w:r>
          </w:p>
          <w:p w14:paraId="6EC83A83" w14:textId="77777777" w:rsidR="00334FB1" w:rsidRPr="00313721" w:rsidRDefault="00334FB1" w:rsidP="003D022E">
            <w:pPr>
              <w:pStyle w:val="Odsekzoznamu"/>
              <w:ind w:left="25"/>
              <w:jc w:val="both"/>
              <w:rPr>
                <w:rFonts w:ascii="Times New Roman" w:hAnsi="Times New Roman" w:cs="Times New Roman"/>
                <w:bCs/>
              </w:rPr>
            </w:pPr>
            <w:r w:rsidRPr="00313721">
              <w:rPr>
                <w:rFonts w:ascii="Times New Roman" w:hAnsi="Times New Roman" w:cs="Times New Roman"/>
                <w:bCs/>
              </w:rPr>
              <w:t xml:space="preserve">  </w:t>
            </w:r>
          </w:p>
          <w:p w14:paraId="4F4CD044" w14:textId="77777777" w:rsidR="003C0A4F" w:rsidRPr="00313721" w:rsidRDefault="003C0A4F" w:rsidP="00CB1A02">
            <w:pPr>
              <w:jc w:val="both"/>
              <w:rPr>
                <w:rFonts w:ascii="Times New Roman" w:hAnsi="Times New Roman" w:cs="Times New Roman"/>
                <w:bCs/>
              </w:rPr>
            </w:pPr>
            <w:r w:rsidRPr="00313721">
              <w:rPr>
                <w:rFonts w:ascii="Times New Roman" w:hAnsi="Times New Roman" w:cs="Times New Roman"/>
                <w:bCs/>
              </w:rPr>
              <w:t>Po identifikovaní priemerného počtu sporových konaní predkladateľ následne na účely výpočtu dopadu na PP zohľadnil skutočnosť, že cca 95% konajúcich pred ÚPV SR je z radov podnikateľov, tzn. 262 sporových konaní môže potenciálne vyvolať relevanciu na PP. Následne predkladateľ zohľadnil ďalšie faktory, a to:</w:t>
            </w:r>
          </w:p>
          <w:p w14:paraId="174DB589" w14:textId="15E96930" w:rsidR="003C0A4F" w:rsidRPr="00313721" w:rsidRDefault="003C0A4F" w:rsidP="003C0A4F">
            <w:pPr>
              <w:pStyle w:val="Odsekzoznamu"/>
              <w:numPr>
                <w:ilvl w:val="0"/>
                <w:numId w:val="35"/>
              </w:numPr>
              <w:jc w:val="both"/>
              <w:rPr>
                <w:rFonts w:ascii="Times New Roman" w:hAnsi="Times New Roman" w:cs="Times New Roman"/>
                <w:bCs/>
              </w:rPr>
            </w:pPr>
            <w:r w:rsidRPr="00313721">
              <w:rPr>
                <w:rFonts w:ascii="Times New Roman" w:hAnsi="Times New Roman" w:cs="Times New Roman"/>
                <w:bCs/>
              </w:rPr>
              <w:t>z</w:t>
            </w:r>
            <w:r w:rsidR="00CB1A02" w:rsidRPr="00313721">
              <w:rPr>
                <w:rFonts w:ascii="Times New Roman" w:hAnsi="Times New Roman" w:cs="Times New Roman"/>
                <w:bCs/>
              </w:rPr>
              <w:t> priemerného počtu iniciovaných sporových konaní (262) je v priemere ukončených 19</w:t>
            </w:r>
            <w:r w:rsidR="00590B38" w:rsidRPr="00313721">
              <w:rPr>
                <w:rFonts w:ascii="Times New Roman" w:hAnsi="Times New Roman" w:cs="Times New Roman"/>
                <w:bCs/>
              </w:rPr>
              <w:t>0</w:t>
            </w:r>
            <w:r w:rsidR="00CB1A02" w:rsidRPr="00313721">
              <w:rPr>
                <w:rFonts w:ascii="Times New Roman" w:hAnsi="Times New Roman" w:cs="Times New Roman"/>
                <w:bCs/>
              </w:rPr>
              <w:t xml:space="preserve"> konaní ročne</w:t>
            </w:r>
            <w:r w:rsidRPr="00313721">
              <w:rPr>
                <w:rFonts w:ascii="Times New Roman" w:hAnsi="Times New Roman" w:cs="Times New Roman"/>
                <w:bCs/>
              </w:rPr>
              <w:t>,</w:t>
            </w:r>
          </w:p>
          <w:p w14:paraId="0F221897" w14:textId="6D5E106C" w:rsidR="0061364E" w:rsidRPr="00313721" w:rsidRDefault="003C0A4F" w:rsidP="00656F5E">
            <w:pPr>
              <w:pStyle w:val="Odsekzoznamu"/>
              <w:numPr>
                <w:ilvl w:val="0"/>
                <w:numId w:val="35"/>
              </w:numPr>
              <w:jc w:val="both"/>
              <w:rPr>
                <w:rFonts w:ascii="Times New Roman" w:hAnsi="Times New Roman" w:cs="Times New Roman"/>
                <w:bCs/>
              </w:rPr>
            </w:pPr>
            <w:r w:rsidRPr="00313721">
              <w:rPr>
                <w:rFonts w:ascii="Times New Roman" w:hAnsi="Times New Roman" w:cs="Times New Roman"/>
                <w:bCs/>
              </w:rPr>
              <w:t>z</w:t>
            </w:r>
            <w:r w:rsidR="00CB1A02" w:rsidRPr="00313721">
              <w:rPr>
                <w:rFonts w:ascii="Times New Roman" w:hAnsi="Times New Roman" w:cs="Times New Roman"/>
                <w:bCs/>
              </w:rPr>
              <w:t> počtu ukončených sporových konaní</w:t>
            </w:r>
            <w:r w:rsidRPr="00313721">
              <w:rPr>
                <w:rFonts w:ascii="Times New Roman" w:hAnsi="Times New Roman" w:cs="Times New Roman"/>
                <w:bCs/>
              </w:rPr>
              <w:t xml:space="preserve"> (190)</w:t>
            </w:r>
            <w:r w:rsidR="00CB1A02" w:rsidRPr="00313721">
              <w:rPr>
                <w:rFonts w:ascii="Times New Roman" w:hAnsi="Times New Roman" w:cs="Times New Roman"/>
                <w:bCs/>
              </w:rPr>
              <w:t xml:space="preserve"> je zastúpených približne 70 % účastníkov, tzn., </w:t>
            </w:r>
            <w:r w:rsidRPr="00313721">
              <w:rPr>
                <w:rFonts w:ascii="Times New Roman" w:hAnsi="Times New Roman" w:cs="Times New Roman"/>
                <w:bCs/>
              </w:rPr>
              <w:t>že v</w:t>
            </w:r>
            <w:r w:rsidR="0061364E" w:rsidRPr="00313721">
              <w:rPr>
                <w:rFonts w:ascii="Times New Roman" w:hAnsi="Times New Roman" w:cs="Times New Roman"/>
                <w:bCs/>
              </w:rPr>
              <w:t> </w:t>
            </w:r>
            <w:r w:rsidRPr="00313721">
              <w:rPr>
                <w:rFonts w:ascii="Times New Roman" w:hAnsi="Times New Roman" w:cs="Times New Roman"/>
                <w:bCs/>
              </w:rPr>
              <w:t xml:space="preserve">prípade </w:t>
            </w:r>
            <w:r w:rsidR="00CB1A02" w:rsidRPr="00313721">
              <w:rPr>
                <w:rFonts w:ascii="Times New Roman" w:hAnsi="Times New Roman" w:cs="Times New Roman"/>
                <w:bCs/>
              </w:rPr>
              <w:t>13</w:t>
            </w:r>
            <w:r w:rsidR="00590B38" w:rsidRPr="00313721">
              <w:rPr>
                <w:rFonts w:ascii="Times New Roman" w:hAnsi="Times New Roman" w:cs="Times New Roman"/>
                <w:bCs/>
              </w:rPr>
              <w:t>3</w:t>
            </w:r>
            <w:r w:rsidR="00CB1A02" w:rsidRPr="00313721">
              <w:rPr>
                <w:rFonts w:ascii="Times New Roman" w:hAnsi="Times New Roman" w:cs="Times New Roman"/>
                <w:bCs/>
              </w:rPr>
              <w:t xml:space="preserve"> sporových konaní </w:t>
            </w:r>
            <w:r w:rsidRPr="00313721">
              <w:rPr>
                <w:rFonts w:ascii="Times New Roman" w:hAnsi="Times New Roman" w:cs="Times New Roman"/>
                <w:bCs/>
              </w:rPr>
              <w:t>je možné očakávať zastúpenie účastníkov oprávnenými zástupcami</w:t>
            </w:r>
            <w:r w:rsidR="0061364E" w:rsidRPr="00313721">
              <w:rPr>
                <w:rFonts w:ascii="Times New Roman" w:hAnsi="Times New Roman" w:cs="Times New Roman"/>
                <w:bCs/>
              </w:rPr>
              <w:t xml:space="preserve">, </w:t>
            </w:r>
          </w:p>
          <w:p w14:paraId="1CFEBA2C" w14:textId="020DD190" w:rsidR="0061364E" w:rsidRPr="00313721" w:rsidRDefault="0061364E" w:rsidP="00CB1A02">
            <w:pPr>
              <w:pStyle w:val="Odsekzoznamu"/>
              <w:numPr>
                <w:ilvl w:val="0"/>
                <w:numId w:val="35"/>
              </w:numPr>
              <w:jc w:val="both"/>
              <w:rPr>
                <w:rFonts w:ascii="Times New Roman" w:hAnsi="Times New Roman" w:cs="Times New Roman"/>
                <w:bCs/>
              </w:rPr>
            </w:pPr>
            <w:r w:rsidRPr="00313721">
              <w:rPr>
                <w:rFonts w:ascii="Times New Roman" w:hAnsi="Times New Roman" w:cs="Times New Roman"/>
                <w:bCs/>
              </w:rPr>
              <w:t>v</w:t>
            </w:r>
            <w:r w:rsidR="003C0A4F" w:rsidRPr="00313721">
              <w:rPr>
                <w:rFonts w:ascii="Times New Roman" w:hAnsi="Times New Roman" w:cs="Times New Roman"/>
                <w:bCs/>
              </w:rPr>
              <w:t xml:space="preserve"> </w:t>
            </w:r>
            <w:r w:rsidR="00CB1A02" w:rsidRPr="00313721">
              <w:rPr>
                <w:rFonts w:ascii="Times New Roman" w:hAnsi="Times New Roman" w:cs="Times New Roman"/>
                <w:bCs/>
              </w:rPr>
              <w:t xml:space="preserve">súvislosti so samotným zavedením náhrad trov sporových konaní je možné predpokladať zníženie celkového počtu nápadov vedúcich k iniciovaniu sporových konaní. Zároveň niektoré ďalšie navrhované zmeny, ktoré sú predmetom návrhu zákona (napr. zavedenie správneho poplatku za podanie rozkladu, zvýšenie sadzby správneho poplatku za viac ako tri triedy tovarov a služieb, pre ktoré má byť označenie zapísané ako ochranná známka), môžu sekundárne viesť k zníženiu počtu iniciovaných sporových konaní. Rovnako existujúce inštitúty (napr. pokus o zmier, mediácia) sú predpokladom pre zníženie celkové počtu sporových konaní, pri ktorých dôjde zo strany úspešného účastníka k uplatneniu práva na náhradu trov. </w:t>
            </w:r>
            <w:r w:rsidRPr="00313721">
              <w:rPr>
                <w:rFonts w:ascii="Times New Roman" w:hAnsi="Times New Roman" w:cs="Times New Roman"/>
                <w:bCs/>
              </w:rPr>
              <w:t xml:space="preserve">Po zohľadnení uvedených doplňujúcich faktorov </w:t>
            </w:r>
            <w:r w:rsidR="00CB1A02" w:rsidRPr="00313721">
              <w:rPr>
                <w:rFonts w:ascii="Times New Roman" w:hAnsi="Times New Roman" w:cs="Times New Roman"/>
                <w:bCs/>
              </w:rPr>
              <w:t>predkladateľ stanovil očakávaný nápad sporových konaní vedúcich k náhrade trov v rozsahu 100 sporových konaní</w:t>
            </w:r>
            <w:r w:rsidRPr="00313721">
              <w:rPr>
                <w:rFonts w:ascii="Times New Roman" w:hAnsi="Times New Roman" w:cs="Times New Roman"/>
                <w:bCs/>
              </w:rPr>
              <w:t xml:space="preserve"> ročne. </w:t>
            </w:r>
          </w:p>
          <w:p w14:paraId="672D34C9" w14:textId="77777777" w:rsidR="0061364E" w:rsidRPr="00313721" w:rsidRDefault="0061364E" w:rsidP="0061364E">
            <w:pPr>
              <w:pStyle w:val="Odsekzoznamu"/>
              <w:jc w:val="both"/>
              <w:rPr>
                <w:rFonts w:ascii="Times New Roman" w:hAnsi="Times New Roman" w:cs="Times New Roman"/>
                <w:bCs/>
              </w:rPr>
            </w:pPr>
          </w:p>
          <w:p w14:paraId="07F69D94" w14:textId="5F9007C3" w:rsidR="00CB1A02" w:rsidRPr="00313721" w:rsidRDefault="0061364E" w:rsidP="0061364E">
            <w:pPr>
              <w:jc w:val="both"/>
              <w:rPr>
                <w:rFonts w:ascii="Times New Roman" w:hAnsi="Times New Roman" w:cs="Times New Roman"/>
                <w:bCs/>
              </w:rPr>
            </w:pPr>
            <w:r w:rsidRPr="00313721">
              <w:rPr>
                <w:rFonts w:ascii="Times New Roman" w:hAnsi="Times New Roman" w:cs="Times New Roman"/>
                <w:bCs/>
              </w:rPr>
              <w:t xml:space="preserve">Očakávaný </w:t>
            </w:r>
            <w:r w:rsidR="00CB1A02" w:rsidRPr="00313721">
              <w:rPr>
                <w:rFonts w:ascii="Times New Roman" w:hAnsi="Times New Roman" w:cs="Times New Roman"/>
                <w:bCs/>
              </w:rPr>
              <w:t>dopad na podnikateľské prostredie</w:t>
            </w:r>
            <w:r w:rsidRPr="00313721">
              <w:rPr>
                <w:rFonts w:ascii="Times New Roman" w:hAnsi="Times New Roman" w:cs="Times New Roman"/>
                <w:bCs/>
              </w:rPr>
              <w:t>, t. j. na skupiny 100 podnikateľov, ktorú predkladateľ stotožnil s očakávaným počtom sporových konaní zakladajúcich nárok na priznanie náhrad trov konania, predstavuje cca</w:t>
            </w:r>
            <w:r w:rsidR="00CB1A02" w:rsidRPr="00313721">
              <w:rPr>
                <w:rFonts w:ascii="Times New Roman" w:hAnsi="Times New Roman" w:cs="Times New Roman"/>
                <w:bCs/>
              </w:rPr>
              <w:t xml:space="preserve"> </w:t>
            </w:r>
            <w:r w:rsidR="0020178E" w:rsidRPr="00313721">
              <w:rPr>
                <w:rFonts w:ascii="Times New Roman" w:hAnsi="Times New Roman" w:cs="Times New Roman"/>
                <w:bCs/>
              </w:rPr>
              <w:t xml:space="preserve">20 </w:t>
            </w:r>
            <w:r w:rsidR="00C66F5D" w:rsidRPr="00313721">
              <w:rPr>
                <w:rFonts w:ascii="Times New Roman" w:hAnsi="Times New Roman" w:cs="Times New Roman"/>
                <w:bCs/>
              </w:rPr>
              <w:t>3</w:t>
            </w:r>
            <w:r w:rsidR="0020178E" w:rsidRPr="00313721">
              <w:rPr>
                <w:rFonts w:ascii="Times New Roman" w:hAnsi="Times New Roman" w:cs="Times New Roman"/>
                <w:bCs/>
              </w:rPr>
              <w:t>00</w:t>
            </w:r>
            <w:r w:rsidR="00CB1A02" w:rsidRPr="00313721">
              <w:rPr>
                <w:rFonts w:ascii="Times New Roman" w:hAnsi="Times New Roman" w:cs="Times New Roman"/>
                <w:bCs/>
              </w:rPr>
              <w:t xml:space="preserve"> € ročne</w:t>
            </w:r>
            <w:r w:rsidR="00590B38" w:rsidRPr="00313721">
              <w:rPr>
                <w:rFonts w:ascii="Times New Roman" w:hAnsi="Times New Roman" w:cs="Times New Roman"/>
                <w:bCs/>
              </w:rPr>
              <w:t xml:space="preserve"> (viď Tabuľka č. 2)</w:t>
            </w:r>
            <w:r w:rsidR="00CB1A02" w:rsidRPr="00313721">
              <w:rPr>
                <w:rFonts w:ascii="Times New Roman" w:hAnsi="Times New Roman" w:cs="Times New Roman"/>
                <w:bCs/>
              </w:rPr>
              <w:t xml:space="preserve">.   </w:t>
            </w:r>
          </w:p>
          <w:p w14:paraId="76F4B40E" w14:textId="77777777" w:rsidR="00590B38" w:rsidRPr="00313721" w:rsidRDefault="00590B38" w:rsidP="00CB1A02">
            <w:pPr>
              <w:jc w:val="both"/>
              <w:rPr>
                <w:rFonts w:ascii="Times New Roman" w:hAnsi="Times New Roman" w:cs="Times New Roman"/>
                <w:bCs/>
              </w:rPr>
            </w:pPr>
          </w:p>
          <w:p w14:paraId="1279A40F" w14:textId="2A737777" w:rsidR="00334FB1" w:rsidRPr="00313721" w:rsidRDefault="0061364E" w:rsidP="003D022E">
            <w:pPr>
              <w:jc w:val="both"/>
              <w:rPr>
                <w:rFonts w:ascii="Times New Roman" w:hAnsi="Times New Roman" w:cs="Times New Roman"/>
                <w:bCs/>
              </w:rPr>
            </w:pPr>
            <w:r w:rsidRPr="00313721">
              <w:rPr>
                <w:rFonts w:ascii="Times New Roman" w:hAnsi="Times New Roman" w:cs="Times New Roman"/>
                <w:bCs/>
              </w:rPr>
              <w:t>Pri v</w:t>
            </w:r>
            <w:r w:rsidR="00334FB1" w:rsidRPr="00313721">
              <w:rPr>
                <w:rFonts w:ascii="Times New Roman" w:hAnsi="Times New Roman" w:cs="Times New Roman"/>
                <w:bCs/>
              </w:rPr>
              <w:t>ýpočt</w:t>
            </w:r>
            <w:r w:rsidRPr="00313721">
              <w:rPr>
                <w:rFonts w:ascii="Times New Roman" w:hAnsi="Times New Roman" w:cs="Times New Roman"/>
                <w:bCs/>
              </w:rPr>
              <w:t>e</w:t>
            </w:r>
            <w:r w:rsidR="00334FB1" w:rsidRPr="00313721">
              <w:rPr>
                <w:rFonts w:ascii="Times New Roman" w:hAnsi="Times New Roman" w:cs="Times New Roman"/>
                <w:bCs/>
              </w:rPr>
              <w:t xml:space="preserve"> vplyvu na 1 podnikateľa, ktorý je v sporovom konaní zastúpený oprávneným zástupcom (patentový zástupca resp. advokát), </w:t>
            </w:r>
            <w:r w:rsidRPr="00313721">
              <w:rPr>
                <w:rFonts w:ascii="Times New Roman" w:hAnsi="Times New Roman" w:cs="Times New Roman"/>
                <w:bCs/>
              </w:rPr>
              <w:t xml:space="preserve">predkladateľ </w:t>
            </w:r>
            <w:r w:rsidR="00334FB1" w:rsidRPr="00313721">
              <w:rPr>
                <w:rFonts w:ascii="Times New Roman" w:hAnsi="Times New Roman" w:cs="Times New Roman"/>
                <w:bCs/>
              </w:rPr>
              <w:t>vychádza</w:t>
            </w:r>
            <w:r w:rsidRPr="00313721">
              <w:rPr>
                <w:rFonts w:ascii="Times New Roman" w:hAnsi="Times New Roman" w:cs="Times New Roman"/>
                <w:bCs/>
              </w:rPr>
              <w:t>l</w:t>
            </w:r>
            <w:r w:rsidR="00334FB1" w:rsidRPr="00313721">
              <w:rPr>
                <w:rFonts w:ascii="Times New Roman" w:hAnsi="Times New Roman" w:cs="Times New Roman"/>
                <w:bCs/>
              </w:rPr>
              <w:t xml:space="preserve"> z navrhovanej výšky paušálnej náhrady trov konania diferencovanej podľa jednotlivých predmetov priemyselného vlastníctva v rozsahu 200 € v prípade sporového konania v oblasti ochranných známok a dizajnov a 300 € v prípade sporového konania vedeného pred ÚPV SR vo veci patentov, úžitkových vzorov a dodatkových ochranných </w:t>
            </w:r>
            <w:r w:rsidR="00334FB1" w:rsidRPr="00313721">
              <w:rPr>
                <w:rFonts w:ascii="Times New Roman" w:hAnsi="Times New Roman" w:cs="Times New Roman"/>
                <w:bCs/>
              </w:rPr>
              <w:lastRenderedPageBreak/>
              <w:t>osvedčení</w:t>
            </w:r>
            <w:r w:rsidR="00590B38" w:rsidRPr="00313721">
              <w:rPr>
                <w:rFonts w:ascii="Times New Roman" w:hAnsi="Times New Roman" w:cs="Times New Roman"/>
                <w:bCs/>
              </w:rPr>
              <w:t>.</w:t>
            </w:r>
            <w:r w:rsidR="00334FB1" w:rsidRPr="00313721">
              <w:rPr>
                <w:rFonts w:ascii="Times New Roman" w:hAnsi="Times New Roman" w:cs="Times New Roman"/>
                <w:bCs/>
              </w:rPr>
              <w:t xml:space="preserve"> </w:t>
            </w:r>
            <w:r w:rsidR="00612235" w:rsidRPr="00313721">
              <w:rPr>
                <w:rFonts w:ascii="Times New Roman" w:hAnsi="Times New Roman" w:cs="Times New Roman"/>
                <w:bCs/>
              </w:rPr>
              <w:t xml:space="preserve">Z očakávaného počtu 100 ukončených sporových konaní je s ohľadom na trend sporových konaní za sledované obdobie (r. 2019 až 2023) možné konštatovať, že podiel medzi sporovými konaniami zakladajúcimi nárok na priznanie náhrady trov konania vo výške 200 resp. 300 € je možné vyjadriť </w:t>
            </w:r>
            <w:r w:rsidR="00874309" w:rsidRPr="00313721">
              <w:rPr>
                <w:rFonts w:ascii="Times New Roman" w:hAnsi="Times New Roman" w:cs="Times New Roman"/>
                <w:bCs/>
              </w:rPr>
              <w:t>v pomere 97% k 3%, a teda z</w:t>
            </w:r>
            <w:r w:rsidR="00C66F5D" w:rsidRPr="00313721">
              <w:rPr>
                <w:rFonts w:ascii="Times New Roman" w:hAnsi="Times New Roman" w:cs="Times New Roman"/>
                <w:bCs/>
              </w:rPr>
              <w:t> počtu 100 sporových konaní, 97 zakladá nárok na priznanie náhrady vo výške 200 € a 3 sporové konania vo výške 300 €, čo spolu predstavuje predpokladaný dopad vo výške 97 x 200 €+ 3 x 300 € = 20 300 €.</w:t>
            </w:r>
          </w:p>
          <w:p w14:paraId="5F979FA6" w14:textId="77777777" w:rsidR="00334FB1" w:rsidRPr="00313721" w:rsidRDefault="00334FB1" w:rsidP="003D022E">
            <w:pPr>
              <w:jc w:val="both"/>
              <w:rPr>
                <w:rFonts w:ascii="Times New Roman" w:hAnsi="Times New Roman" w:cs="Times New Roman"/>
                <w:bCs/>
              </w:rPr>
            </w:pPr>
          </w:p>
          <w:p w14:paraId="56D49917" w14:textId="4427C323" w:rsidR="00334FB1" w:rsidRPr="00313721" w:rsidRDefault="00334FB1" w:rsidP="003D022E">
            <w:pPr>
              <w:jc w:val="both"/>
              <w:rPr>
                <w:rFonts w:ascii="Times New Roman" w:hAnsi="Times New Roman" w:cs="Times New Roman"/>
                <w:b/>
              </w:rPr>
            </w:pPr>
            <w:r w:rsidRPr="00313721">
              <w:rPr>
                <w:rFonts w:ascii="Times New Roman" w:hAnsi="Times New Roman" w:cs="Times New Roman"/>
                <w:b/>
              </w:rPr>
              <w:t>Tabuľka č. 2</w:t>
            </w:r>
            <w:r w:rsidR="00612235" w:rsidRPr="00313721">
              <w:rPr>
                <w:rFonts w:ascii="Times New Roman" w:hAnsi="Times New Roman" w:cs="Times New Roman"/>
                <w:b/>
              </w:rPr>
              <w:t>*</w:t>
            </w:r>
          </w:p>
          <w:tbl>
            <w:tblPr>
              <w:tblW w:w="8736" w:type="dxa"/>
              <w:tblCellMar>
                <w:left w:w="70" w:type="dxa"/>
                <w:right w:w="70" w:type="dxa"/>
              </w:tblCellMar>
              <w:tblLook w:val="04A0" w:firstRow="1" w:lastRow="0" w:firstColumn="1" w:lastColumn="0" w:noHBand="0" w:noVBand="1"/>
            </w:tblPr>
            <w:tblGrid>
              <w:gridCol w:w="1259"/>
              <w:gridCol w:w="1196"/>
              <w:gridCol w:w="1141"/>
              <w:gridCol w:w="1511"/>
              <w:gridCol w:w="2266"/>
              <w:gridCol w:w="1363"/>
            </w:tblGrid>
            <w:tr w:rsidR="00CB1A02" w:rsidRPr="00313721" w14:paraId="595485ED" w14:textId="77777777" w:rsidTr="0061364E">
              <w:trPr>
                <w:trHeight w:val="1503"/>
              </w:trPr>
              <w:tc>
                <w:tcPr>
                  <w:tcW w:w="1259"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1BACA427" w14:textId="4475DF12"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celkový počet iniciovaných sporových konaní za r. 2019 až 2023</w:t>
                  </w:r>
                </w:p>
              </w:tc>
              <w:tc>
                <w:tcPr>
                  <w:tcW w:w="1196" w:type="dxa"/>
                  <w:tcBorders>
                    <w:top w:val="single" w:sz="8" w:space="0" w:color="auto"/>
                    <w:left w:val="nil"/>
                    <w:bottom w:val="single" w:sz="4" w:space="0" w:color="auto"/>
                    <w:right w:val="single" w:sz="4" w:space="0" w:color="auto"/>
                  </w:tcBorders>
                  <w:shd w:val="clear" w:color="000000" w:fill="D9E1F2"/>
                  <w:vAlign w:val="center"/>
                  <w:hideMark/>
                </w:tcPr>
                <w:p w14:paraId="49223C57" w14:textId="77777777"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priemerný počet iniciovaných všetkých sporových konaní za rok</w:t>
                  </w:r>
                </w:p>
              </w:tc>
              <w:tc>
                <w:tcPr>
                  <w:tcW w:w="1141" w:type="dxa"/>
                  <w:tcBorders>
                    <w:top w:val="single" w:sz="8" w:space="0" w:color="auto"/>
                    <w:left w:val="nil"/>
                    <w:bottom w:val="single" w:sz="4" w:space="0" w:color="auto"/>
                    <w:right w:val="single" w:sz="4" w:space="0" w:color="auto"/>
                  </w:tcBorders>
                  <w:shd w:val="clear" w:color="000000" w:fill="D9E1F2"/>
                  <w:vAlign w:val="center"/>
                  <w:hideMark/>
                </w:tcPr>
                <w:p w14:paraId="4171BD15" w14:textId="77777777"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sz w:val="20"/>
                      <w:szCs w:val="20"/>
                      <w:lang w:eastAsia="sk-SK"/>
                    </w:rPr>
                    <w:t>priemerný počet všetkých ukončených sporových konaní za rok</w:t>
                  </w:r>
                </w:p>
              </w:tc>
              <w:tc>
                <w:tcPr>
                  <w:tcW w:w="1511" w:type="dxa"/>
                  <w:tcBorders>
                    <w:top w:val="single" w:sz="8" w:space="0" w:color="auto"/>
                    <w:left w:val="nil"/>
                    <w:bottom w:val="single" w:sz="4" w:space="0" w:color="auto"/>
                    <w:right w:val="single" w:sz="4" w:space="0" w:color="auto"/>
                  </w:tcBorders>
                  <w:shd w:val="clear" w:color="000000" w:fill="D9E1F2"/>
                  <w:vAlign w:val="center"/>
                  <w:hideMark/>
                </w:tcPr>
                <w:p w14:paraId="436FA28C" w14:textId="77777777"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priemerný počet ukončených sporových konaní za rok (OZ a D)</w:t>
                  </w:r>
                </w:p>
              </w:tc>
              <w:tc>
                <w:tcPr>
                  <w:tcW w:w="2266" w:type="dxa"/>
                  <w:tcBorders>
                    <w:top w:val="single" w:sz="8" w:space="0" w:color="auto"/>
                    <w:left w:val="nil"/>
                    <w:bottom w:val="single" w:sz="4" w:space="0" w:color="auto"/>
                    <w:right w:val="single" w:sz="4" w:space="0" w:color="auto"/>
                  </w:tcBorders>
                  <w:shd w:val="clear" w:color="000000" w:fill="D9E1F2"/>
                  <w:vAlign w:val="center"/>
                  <w:hideMark/>
                </w:tcPr>
                <w:p w14:paraId="2CBBBF7C" w14:textId="77777777"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priemerný počet iniciovaných sporových konaní za rok (P, ÚV, DOO)</w:t>
                  </w:r>
                </w:p>
              </w:tc>
              <w:tc>
                <w:tcPr>
                  <w:tcW w:w="1363" w:type="dxa"/>
                  <w:tcBorders>
                    <w:top w:val="single" w:sz="8" w:space="0" w:color="auto"/>
                    <w:left w:val="nil"/>
                    <w:bottom w:val="single" w:sz="4" w:space="0" w:color="auto"/>
                    <w:right w:val="single" w:sz="8" w:space="0" w:color="auto"/>
                  </w:tcBorders>
                  <w:shd w:val="clear" w:color="000000" w:fill="D9E1F2"/>
                  <w:vAlign w:val="center"/>
                  <w:hideMark/>
                </w:tcPr>
                <w:p w14:paraId="39ADBDBB" w14:textId="4C2968F1" w:rsidR="00F63A08" w:rsidRPr="00313721" w:rsidRDefault="00F63A08" w:rsidP="00F63A08">
                  <w:pPr>
                    <w:spacing w:after="0" w:line="240" w:lineRule="auto"/>
                    <w:jc w:val="center"/>
                    <w:rPr>
                      <w:rFonts w:ascii="Times New Roman" w:eastAsia="Times New Roman" w:hAnsi="Times New Roman" w:cs="Times New Roman"/>
                      <w:b/>
                      <w:bCs/>
                      <w:i/>
                      <w:iCs/>
                      <w:color w:val="000000"/>
                      <w:sz w:val="20"/>
                      <w:szCs w:val="20"/>
                      <w:lang w:eastAsia="sk-SK"/>
                    </w:rPr>
                  </w:pPr>
                  <w:r w:rsidRPr="00313721">
                    <w:rPr>
                      <w:rFonts w:ascii="Times New Roman" w:eastAsia="Times New Roman" w:hAnsi="Times New Roman" w:cs="Times New Roman"/>
                      <w:b/>
                      <w:bCs/>
                      <w:i/>
                      <w:iCs/>
                      <w:color w:val="000000"/>
                      <w:sz w:val="20"/>
                      <w:szCs w:val="20"/>
                      <w:lang w:eastAsia="sk-SK"/>
                    </w:rPr>
                    <w:t>predpokladaný celkový počet ukončených sporových konaní vedúcich k náhrade trov konania</w:t>
                  </w:r>
                </w:p>
              </w:tc>
            </w:tr>
            <w:tr w:rsidR="00F63A08" w:rsidRPr="00313721" w14:paraId="3F5974FA" w14:textId="77777777" w:rsidTr="0061364E">
              <w:trPr>
                <w:trHeight w:val="227"/>
              </w:trPr>
              <w:tc>
                <w:tcPr>
                  <w:tcW w:w="1259" w:type="dxa"/>
                  <w:tcBorders>
                    <w:top w:val="nil"/>
                    <w:left w:val="single" w:sz="8" w:space="0" w:color="auto"/>
                    <w:bottom w:val="single" w:sz="4" w:space="0" w:color="auto"/>
                    <w:right w:val="single" w:sz="4" w:space="0" w:color="auto"/>
                  </w:tcBorders>
                  <w:shd w:val="clear" w:color="auto" w:fill="auto"/>
                  <w:noWrap/>
                  <w:vAlign w:val="center"/>
                  <w:hideMark/>
                </w:tcPr>
                <w:p w14:paraId="1AA2AA85" w14:textId="77777777" w:rsidR="00F63A08" w:rsidRPr="00313721" w:rsidRDefault="00F63A08"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1379</w:t>
                  </w:r>
                </w:p>
              </w:tc>
              <w:tc>
                <w:tcPr>
                  <w:tcW w:w="1196" w:type="dxa"/>
                  <w:tcBorders>
                    <w:top w:val="nil"/>
                    <w:left w:val="nil"/>
                    <w:bottom w:val="single" w:sz="4" w:space="0" w:color="auto"/>
                    <w:right w:val="single" w:sz="4" w:space="0" w:color="auto"/>
                  </w:tcBorders>
                  <w:shd w:val="clear" w:color="auto" w:fill="auto"/>
                  <w:noWrap/>
                  <w:vAlign w:val="center"/>
                  <w:hideMark/>
                </w:tcPr>
                <w:p w14:paraId="6D74667D" w14:textId="77777777" w:rsidR="00F63A08" w:rsidRPr="00313721" w:rsidRDefault="00F63A08"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275</w:t>
                  </w:r>
                </w:p>
              </w:tc>
              <w:tc>
                <w:tcPr>
                  <w:tcW w:w="1141" w:type="dxa"/>
                  <w:tcBorders>
                    <w:top w:val="nil"/>
                    <w:left w:val="nil"/>
                    <w:bottom w:val="single" w:sz="4" w:space="0" w:color="auto"/>
                    <w:right w:val="single" w:sz="4" w:space="0" w:color="auto"/>
                  </w:tcBorders>
                  <w:shd w:val="clear" w:color="auto" w:fill="auto"/>
                  <w:vAlign w:val="center"/>
                  <w:hideMark/>
                </w:tcPr>
                <w:p w14:paraId="258CAFC4" w14:textId="16B4AD04" w:rsidR="00F63A08" w:rsidRPr="00313721" w:rsidRDefault="00F63A08" w:rsidP="00F63A08">
                  <w:pPr>
                    <w:spacing w:after="0" w:line="240" w:lineRule="auto"/>
                    <w:jc w:val="right"/>
                    <w:rPr>
                      <w:rFonts w:ascii="Calibri" w:eastAsia="Times New Roman" w:hAnsi="Calibri" w:cs="Calibri"/>
                      <w:color w:val="000000"/>
                      <w:sz w:val="20"/>
                      <w:szCs w:val="20"/>
                      <w:lang w:eastAsia="sk-SK"/>
                    </w:rPr>
                  </w:pPr>
                  <w:r w:rsidRPr="00313721">
                    <w:rPr>
                      <w:rFonts w:ascii="Calibri" w:eastAsia="Times New Roman" w:hAnsi="Calibri" w:cs="Calibri"/>
                      <w:color w:val="000000"/>
                      <w:sz w:val="20"/>
                      <w:szCs w:val="20"/>
                      <w:lang w:eastAsia="sk-SK"/>
                    </w:rPr>
                    <w:t>19</w:t>
                  </w:r>
                  <w:r w:rsidR="00590B38" w:rsidRPr="00313721">
                    <w:rPr>
                      <w:rFonts w:ascii="Calibri" w:eastAsia="Times New Roman" w:hAnsi="Calibri" w:cs="Calibri"/>
                      <w:color w:val="000000"/>
                      <w:sz w:val="20"/>
                      <w:szCs w:val="20"/>
                      <w:lang w:eastAsia="sk-SK"/>
                    </w:rPr>
                    <w:t>0</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213FAA7A" w14:textId="02C31F95" w:rsidR="00F63A08" w:rsidRPr="00313721" w:rsidRDefault="00F63A08"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18</w:t>
                  </w:r>
                  <w:r w:rsidR="00CB1A02" w:rsidRPr="00313721">
                    <w:rPr>
                      <w:rFonts w:ascii="Times New Roman" w:eastAsia="Times New Roman" w:hAnsi="Times New Roman" w:cs="Times New Roman"/>
                      <w:color w:val="000000"/>
                      <w:sz w:val="20"/>
                      <w:szCs w:val="20"/>
                      <w:lang w:eastAsia="sk-SK"/>
                    </w:rPr>
                    <w:t>5</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14:paraId="227BCD9C" w14:textId="025760FF" w:rsidR="00F63A08" w:rsidRPr="00313721" w:rsidRDefault="00CB1A02"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5</w:t>
                  </w:r>
                </w:p>
              </w:tc>
              <w:tc>
                <w:tcPr>
                  <w:tcW w:w="1363" w:type="dxa"/>
                  <w:vMerge w:val="restart"/>
                  <w:tcBorders>
                    <w:top w:val="nil"/>
                    <w:left w:val="single" w:sz="4" w:space="0" w:color="auto"/>
                    <w:bottom w:val="single" w:sz="8" w:space="0" w:color="000000"/>
                    <w:right w:val="single" w:sz="8" w:space="0" w:color="auto"/>
                  </w:tcBorders>
                  <w:shd w:val="clear" w:color="auto" w:fill="auto"/>
                  <w:noWrap/>
                  <w:hideMark/>
                </w:tcPr>
                <w:p w14:paraId="028B917F" w14:textId="77777777" w:rsidR="00F63A08" w:rsidRPr="00313721" w:rsidRDefault="00F63A08" w:rsidP="00F63A08">
                  <w:pPr>
                    <w:spacing w:after="0" w:line="240" w:lineRule="auto"/>
                    <w:jc w:val="center"/>
                    <w:rPr>
                      <w:rFonts w:ascii="Calibri" w:eastAsia="Times New Roman" w:hAnsi="Calibri" w:cs="Calibri"/>
                      <w:color w:val="000000"/>
                      <w:sz w:val="20"/>
                      <w:szCs w:val="20"/>
                      <w:lang w:eastAsia="sk-SK"/>
                    </w:rPr>
                  </w:pPr>
                  <w:r w:rsidRPr="00313721">
                    <w:rPr>
                      <w:rFonts w:ascii="Calibri" w:eastAsia="Times New Roman" w:hAnsi="Calibri" w:cs="Calibri"/>
                      <w:color w:val="000000"/>
                      <w:sz w:val="20"/>
                      <w:szCs w:val="20"/>
                      <w:lang w:eastAsia="sk-SK"/>
                    </w:rPr>
                    <w:t>100</w:t>
                  </w:r>
                </w:p>
              </w:tc>
            </w:tr>
            <w:tr w:rsidR="00F63A08" w:rsidRPr="00313721" w14:paraId="4218682A" w14:textId="77777777" w:rsidTr="0061364E">
              <w:trPr>
                <w:trHeight w:val="432"/>
              </w:trPr>
              <w:tc>
                <w:tcPr>
                  <w:tcW w:w="3596" w:type="dxa"/>
                  <w:gridSpan w:val="3"/>
                  <w:tcBorders>
                    <w:top w:val="single" w:sz="4" w:space="0" w:color="auto"/>
                    <w:left w:val="single" w:sz="8" w:space="0" w:color="auto"/>
                    <w:bottom w:val="nil"/>
                    <w:right w:val="single" w:sz="4" w:space="0" w:color="auto"/>
                  </w:tcBorders>
                  <w:shd w:val="clear" w:color="auto" w:fill="auto"/>
                  <w:vAlign w:val="center"/>
                  <w:hideMark/>
                </w:tcPr>
                <w:p w14:paraId="65E96B5E" w14:textId="77777777" w:rsidR="00F63A08" w:rsidRPr="00313721" w:rsidRDefault="00F63A08" w:rsidP="00F63A08">
                  <w:pPr>
                    <w:spacing w:after="0" w:line="240" w:lineRule="auto"/>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vplyv na 1 podnikateľa</w:t>
                  </w:r>
                </w:p>
              </w:tc>
              <w:tc>
                <w:tcPr>
                  <w:tcW w:w="1511" w:type="dxa"/>
                  <w:tcBorders>
                    <w:top w:val="single" w:sz="4" w:space="0" w:color="auto"/>
                    <w:left w:val="nil"/>
                    <w:bottom w:val="nil"/>
                    <w:right w:val="single" w:sz="4" w:space="0" w:color="auto"/>
                  </w:tcBorders>
                  <w:shd w:val="clear" w:color="auto" w:fill="auto"/>
                  <w:noWrap/>
                  <w:vAlign w:val="center"/>
                  <w:hideMark/>
                </w:tcPr>
                <w:p w14:paraId="46C8F01B" w14:textId="77777777" w:rsidR="00F63A08" w:rsidRPr="00313721" w:rsidRDefault="00F63A08"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200,00 €</w:t>
                  </w:r>
                </w:p>
              </w:tc>
              <w:tc>
                <w:tcPr>
                  <w:tcW w:w="2266" w:type="dxa"/>
                  <w:tcBorders>
                    <w:top w:val="single" w:sz="4" w:space="0" w:color="auto"/>
                    <w:left w:val="nil"/>
                    <w:bottom w:val="nil"/>
                    <w:right w:val="single" w:sz="4" w:space="0" w:color="auto"/>
                  </w:tcBorders>
                  <w:shd w:val="clear" w:color="auto" w:fill="auto"/>
                  <w:vAlign w:val="center"/>
                  <w:hideMark/>
                </w:tcPr>
                <w:p w14:paraId="25B0186C" w14:textId="77777777" w:rsidR="00F63A08" w:rsidRPr="00313721" w:rsidRDefault="00F63A08"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300,00 €</w:t>
                  </w:r>
                </w:p>
              </w:tc>
              <w:tc>
                <w:tcPr>
                  <w:tcW w:w="1363" w:type="dxa"/>
                  <w:vMerge/>
                  <w:tcBorders>
                    <w:top w:val="nil"/>
                    <w:left w:val="single" w:sz="4" w:space="0" w:color="auto"/>
                    <w:bottom w:val="single" w:sz="8" w:space="0" w:color="000000"/>
                    <w:right w:val="single" w:sz="8" w:space="0" w:color="auto"/>
                  </w:tcBorders>
                  <w:vAlign w:val="center"/>
                  <w:hideMark/>
                </w:tcPr>
                <w:p w14:paraId="6FA5AE30" w14:textId="77777777" w:rsidR="00F63A08" w:rsidRPr="00313721" w:rsidRDefault="00F63A08" w:rsidP="00F63A08">
                  <w:pPr>
                    <w:spacing w:after="0" w:line="240" w:lineRule="auto"/>
                    <w:rPr>
                      <w:rFonts w:ascii="Calibri" w:eastAsia="Times New Roman" w:hAnsi="Calibri" w:cs="Calibri"/>
                      <w:color w:val="000000"/>
                      <w:sz w:val="20"/>
                      <w:szCs w:val="20"/>
                      <w:lang w:eastAsia="sk-SK"/>
                    </w:rPr>
                  </w:pPr>
                </w:p>
              </w:tc>
            </w:tr>
            <w:tr w:rsidR="00F63A08" w:rsidRPr="00313721" w14:paraId="416E6701" w14:textId="77777777" w:rsidTr="0061364E">
              <w:trPr>
                <w:trHeight w:val="569"/>
              </w:trPr>
              <w:tc>
                <w:tcPr>
                  <w:tcW w:w="737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3D60EF7F" w14:textId="77777777" w:rsidR="00F63A08" w:rsidRPr="00313721" w:rsidRDefault="00F63A08" w:rsidP="00F63A08">
                  <w:pPr>
                    <w:spacing w:after="0" w:line="240" w:lineRule="auto"/>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predpokladaný vplyv na PP celkom</w:t>
                  </w:r>
                </w:p>
              </w:tc>
              <w:tc>
                <w:tcPr>
                  <w:tcW w:w="1363" w:type="dxa"/>
                  <w:tcBorders>
                    <w:top w:val="nil"/>
                    <w:left w:val="nil"/>
                    <w:bottom w:val="single" w:sz="8" w:space="0" w:color="auto"/>
                    <w:right w:val="single" w:sz="8" w:space="0" w:color="auto"/>
                  </w:tcBorders>
                  <w:shd w:val="clear" w:color="auto" w:fill="auto"/>
                  <w:vAlign w:val="center"/>
                  <w:hideMark/>
                </w:tcPr>
                <w:p w14:paraId="4AD0A59D" w14:textId="3075D3AF" w:rsidR="00F63A08" w:rsidRPr="00313721" w:rsidRDefault="0020178E" w:rsidP="00F63A08">
                  <w:pPr>
                    <w:spacing w:after="0" w:line="240" w:lineRule="auto"/>
                    <w:jc w:val="right"/>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20 </w:t>
                  </w:r>
                  <w:r w:rsidR="00874309" w:rsidRPr="00313721">
                    <w:rPr>
                      <w:rFonts w:ascii="Times New Roman" w:eastAsia="Times New Roman" w:hAnsi="Times New Roman" w:cs="Times New Roman"/>
                      <w:color w:val="000000"/>
                      <w:sz w:val="20"/>
                      <w:szCs w:val="20"/>
                      <w:lang w:eastAsia="sk-SK"/>
                    </w:rPr>
                    <w:t>3</w:t>
                  </w:r>
                  <w:r w:rsidRPr="00313721">
                    <w:rPr>
                      <w:rFonts w:ascii="Times New Roman" w:eastAsia="Times New Roman" w:hAnsi="Times New Roman" w:cs="Times New Roman"/>
                      <w:color w:val="000000"/>
                      <w:sz w:val="20"/>
                      <w:szCs w:val="20"/>
                      <w:lang w:eastAsia="sk-SK"/>
                    </w:rPr>
                    <w:t>00</w:t>
                  </w:r>
                  <w:r w:rsidR="00F63A08" w:rsidRPr="00313721">
                    <w:rPr>
                      <w:rFonts w:ascii="Times New Roman" w:eastAsia="Times New Roman" w:hAnsi="Times New Roman" w:cs="Times New Roman"/>
                      <w:color w:val="000000"/>
                      <w:sz w:val="20"/>
                      <w:szCs w:val="20"/>
                      <w:lang w:eastAsia="sk-SK"/>
                    </w:rPr>
                    <w:t xml:space="preserve"> €</w:t>
                  </w:r>
                </w:p>
              </w:tc>
            </w:tr>
          </w:tbl>
          <w:p w14:paraId="1138DD60" w14:textId="581456CE" w:rsidR="00F63A08" w:rsidRPr="00313721" w:rsidRDefault="00612235" w:rsidP="00612235">
            <w:pPr>
              <w:pStyle w:val="Odsekzoznamu"/>
              <w:ind w:left="22"/>
              <w:jc w:val="both"/>
              <w:rPr>
                <w:rFonts w:ascii="Times New Roman" w:hAnsi="Times New Roman" w:cs="Times New Roman"/>
                <w:bCs/>
                <w:sz w:val="18"/>
                <w:szCs w:val="18"/>
              </w:rPr>
            </w:pPr>
            <w:r w:rsidRPr="00313721">
              <w:rPr>
                <w:rFonts w:ascii="Times New Roman" w:hAnsi="Times New Roman" w:cs="Times New Roman"/>
                <w:bCs/>
                <w:sz w:val="18"/>
                <w:szCs w:val="18"/>
              </w:rPr>
              <w:t>*Zdroj: Výročné správy ÚPV SR za roky 2019 až 2023 a interné štatistické údaje</w:t>
            </w:r>
          </w:p>
          <w:p w14:paraId="1F52F5DA" w14:textId="77777777" w:rsidR="00612235" w:rsidRPr="00313721" w:rsidRDefault="00612235" w:rsidP="00612235">
            <w:pPr>
              <w:pStyle w:val="Odsekzoznamu"/>
              <w:jc w:val="both"/>
              <w:rPr>
                <w:rFonts w:ascii="Times New Roman" w:hAnsi="Times New Roman" w:cs="Times New Roman"/>
                <w:b/>
              </w:rPr>
            </w:pPr>
          </w:p>
          <w:p w14:paraId="7CD0CA0B" w14:textId="6BC06760" w:rsidR="008850DB" w:rsidRPr="00313721" w:rsidRDefault="008850DB" w:rsidP="003D022E">
            <w:pPr>
              <w:jc w:val="both"/>
              <w:rPr>
                <w:rFonts w:ascii="Times New Roman" w:hAnsi="Times New Roman" w:cs="Times New Roman"/>
                <w:bCs/>
              </w:rPr>
            </w:pPr>
            <w:r w:rsidRPr="00313721">
              <w:rPr>
                <w:rFonts w:ascii="Times New Roman" w:hAnsi="Times New Roman" w:cs="Times New Roman"/>
                <w:bCs/>
              </w:rPr>
              <w:t xml:space="preserve">Vplyvy na PP súvisiace s navrhovanou úpravou náhrad trov sporových konaní vedených pred ÚPV SR sú založené na zásade plného procesného úspechu vo veci, pričom vzniknuté trovy (vo výške zaplateného správneho poplatku a kompenzácie vynaložených nákladov v podobe paušálnej sumy) bude znášať neúspešný účastník konania. </w:t>
            </w:r>
          </w:p>
          <w:p w14:paraId="7A4383CE" w14:textId="4F4AB234" w:rsidR="00A41B32"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Zásada procesného úspechu má za následok, že konkrétny dotknutý podnikateľ môže byť ako na strane úspešného tak aj neúspešného účastníka daného sporového konania, respektíve jeho postavenie z hľadiska „úspešnosti“ a z toho plynúci záväzok náhrad trov sporového konania, sa môže v priebehu jednotlivých rokov meniť resp. striedať. </w:t>
            </w:r>
            <w:r w:rsidR="009D13BE" w:rsidRPr="00313721">
              <w:rPr>
                <w:rFonts w:ascii="Times New Roman" w:hAnsi="Times New Roman" w:cs="Times New Roman"/>
                <w:bCs/>
              </w:rPr>
              <w:t xml:space="preserve">Je možné predpokladať </w:t>
            </w:r>
            <w:r w:rsidRPr="00313721">
              <w:rPr>
                <w:rFonts w:ascii="Times New Roman" w:hAnsi="Times New Roman" w:cs="Times New Roman"/>
                <w:bCs/>
              </w:rPr>
              <w:t>striedani</w:t>
            </w:r>
            <w:r w:rsidR="009D13BE" w:rsidRPr="00313721">
              <w:rPr>
                <w:rFonts w:ascii="Times New Roman" w:hAnsi="Times New Roman" w:cs="Times New Roman"/>
                <w:bCs/>
              </w:rPr>
              <w:t>e</w:t>
            </w:r>
            <w:r w:rsidRPr="00313721">
              <w:rPr>
                <w:rFonts w:ascii="Times New Roman" w:hAnsi="Times New Roman" w:cs="Times New Roman"/>
                <w:bCs/>
              </w:rPr>
              <w:t xml:space="preserve"> procesnej úspešnosti podnikateľov ako účastníkov sporových konaní vedených pred ÚPV SR</w:t>
            </w:r>
            <w:r w:rsidR="009D13BE" w:rsidRPr="00313721">
              <w:rPr>
                <w:rFonts w:ascii="Times New Roman" w:hAnsi="Times New Roman" w:cs="Times New Roman"/>
                <w:bCs/>
              </w:rPr>
              <w:t xml:space="preserve">, pričom zároveň je potrebné zohľadniť skutočnosť, že </w:t>
            </w:r>
            <w:r w:rsidR="002C6EDB" w:rsidRPr="00313721">
              <w:rPr>
                <w:rFonts w:ascii="Times New Roman" w:hAnsi="Times New Roman" w:cs="Times New Roman"/>
                <w:bCs/>
              </w:rPr>
              <w:t xml:space="preserve">negatívny vplyv na jedného podnikateľa zároveň predstavuje pozitívny vplyv na druhého podnikateľa, v dôsledku čoho je celkový vplyv na podnikateľské prostredie </w:t>
            </w:r>
            <w:r w:rsidR="00A41B32" w:rsidRPr="00313721">
              <w:rPr>
                <w:rFonts w:ascii="Times New Roman" w:hAnsi="Times New Roman" w:cs="Times New Roman"/>
                <w:bCs/>
              </w:rPr>
              <w:t xml:space="preserve">z hľadiska finančnej záťaže </w:t>
            </w:r>
            <w:r w:rsidR="002C6EDB" w:rsidRPr="00313721">
              <w:rPr>
                <w:rFonts w:ascii="Times New Roman" w:hAnsi="Times New Roman" w:cs="Times New Roman"/>
                <w:bCs/>
              </w:rPr>
              <w:t>nulový</w:t>
            </w:r>
            <w:r w:rsidR="00A41B32" w:rsidRPr="00313721">
              <w:rPr>
                <w:rFonts w:ascii="Times New Roman" w:hAnsi="Times New Roman" w:cs="Times New Roman"/>
                <w:bCs/>
              </w:rPr>
              <w:t xml:space="preserve">. </w:t>
            </w:r>
          </w:p>
          <w:p w14:paraId="7FA3571E" w14:textId="77777777" w:rsidR="008850DB" w:rsidRPr="00313721" w:rsidRDefault="008850DB" w:rsidP="003D022E">
            <w:pPr>
              <w:jc w:val="both"/>
              <w:rPr>
                <w:rFonts w:ascii="Times New Roman" w:hAnsi="Times New Roman" w:cs="Times New Roman"/>
                <w:bCs/>
              </w:rPr>
            </w:pPr>
          </w:p>
          <w:p w14:paraId="7FE0DA23" w14:textId="7A989731" w:rsidR="00A41B32" w:rsidRPr="00313721" w:rsidRDefault="00A41B32" w:rsidP="003D022E">
            <w:pPr>
              <w:jc w:val="both"/>
              <w:rPr>
                <w:rFonts w:ascii="Times New Roman" w:hAnsi="Times New Roman" w:cs="Times New Roman"/>
                <w:bCs/>
              </w:rPr>
            </w:pPr>
            <w:r w:rsidRPr="00313721">
              <w:rPr>
                <w:rFonts w:ascii="Times New Roman" w:hAnsi="Times New Roman" w:cs="Times New Roman"/>
                <w:bCs/>
              </w:rPr>
              <w:t>Nakoľko je Kalkulačka nákladov nastavená na systém identifikácie vplyvov na podnikateľské prostredie z hľadiska nákladov, pozitívny vplyv predmetnej regulácie, a teda pozitívny dopad na podnikateľské prostredie v súvislosti so zavedením náhrad trov sporových konaní</w:t>
            </w:r>
            <w:r w:rsidR="001B3139" w:rsidRPr="00313721">
              <w:rPr>
                <w:rFonts w:ascii="Times New Roman" w:hAnsi="Times New Roman" w:cs="Times New Roman"/>
                <w:bCs/>
              </w:rPr>
              <w:t xml:space="preserve"> </w:t>
            </w:r>
            <w:r w:rsidRPr="00313721">
              <w:rPr>
                <w:rFonts w:ascii="Times New Roman" w:hAnsi="Times New Roman" w:cs="Times New Roman"/>
                <w:bCs/>
              </w:rPr>
              <w:t xml:space="preserve">vo vzťahu k úspešnému účastníkovi sporových konaní je popísaný v časti 3.4 tejto Analýzy. </w:t>
            </w:r>
          </w:p>
          <w:p w14:paraId="4AED246E" w14:textId="77777777" w:rsidR="00590B38" w:rsidRPr="00313721" w:rsidRDefault="00590B38" w:rsidP="003D022E">
            <w:pPr>
              <w:jc w:val="both"/>
              <w:rPr>
                <w:rFonts w:ascii="Times New Roman" w:hAnsi="Times New Roman" w:cs="Times New Roman"/>
                <w:bCs/>
              </w:rPr>
            </w:pPr>
          </w:p>
          <w:p w14:paraId="60915370" w14:textId="164D044C"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Súčasťou náhrad trov sporových konaní popri náhrade paušálnej sumu v prospech úspešného účastníka sporového konania, ktorý je v sporovom konaní zastúpený oprávneným zástupcom (patentový zástupca resp. advokát), je aj priznanie náhrady vo výške správneho poplatku spojeného s podaním návrhu na iniciovanie príslušného správneho konania, a to bez ohľadu na podmienku zastúpenia navrhovateľa v sporovom konaní. </w:t>
            </w:r>
          </w:p>
          <w:p w14:paraId="423AEBFE"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 </w:t>
            </w:r>
          </w:p>
          <w:p w14:paraId="697C5639"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Náhrada trov sporových konaní z hľadiska identifikovaných nákladov nemá žiadny vplyv, resp. nepredstavuje žiadnu finančnú záťaž vo vzťahu k rozpočtu predkladateľa, resp. štátnemu rozpočtu ako takému. Sumy priznané v prospech úspešného účastníka sporového konania budú v plnom rozsahu (paušálna náhrada + správny poplatok) znášané neúspešným účastníkom.        </w:t>
            </w:r>
          </w:p>
          <w:p w14:paraId="6A29C082" w14:textId="77777777" w:rsidR="00334FB1" w:rsidRPr="00313721" w:rsidRDefault="00334FB1" w:rsidP="003D022E">
            <w:pPr>
              <w:jc w:val="both"/>
              <w:rPr>
                <w:rFonts w:ascii="Times New Roman" w:hAnsi="Times New Roman" w:cs="Times New Roman"/>
                <w:bCs/>
              </w:rPr>
            </w:pPr>
          </w:p>
          <w:p w14:paraId="1CC4E1D5" w14:textId="77777777" w:rsidR="00165E01" w:rsidRPr="00313721" w:rsidRDefault="00165E01" w:rsidP="00165E01">
            <w:pPr>
              <w:jc w:val="both"/>
              <w:rPr>
                <w:rFonts w:ascii="Times New Roman" w:hAnsi="Times New Roman" w:cs="Times New Roman"/>
                <w:b/>
              </w:rPr>
            </w:pPr>
            <w:r w:rsidRPr="00313721">
              <w:rPr>
                <w:rFonts w:ascii="Times New Roman" w:hAnsi="Times New Roman" w:cs="Times New Roman"/>
                <w:b/>
              </w:rPr>
              <w:t xml:space="preserve">P. č. 2 </w:t>
            </w:r>
          </w:p>
          <w:p w14:paraId="5ECB24A6" w14:textId="2AF53A28" w:rsidR="00334FB1" w:rsidRPr="00313721" w:rsidRDefault="00334FB1" w:rsidP="00165E01">
            <w:pPr>
              <w:jc w:val="both"/>
              <w:rPr>
                <w:rFonts w:ascii="Times New Roman" w:hAnsi="Times New Roman" w:cs="Times New Roman"/>
                <w:b/>
              </w:rPr>
            </w:pPr>
            <w:r w:rsidRPr="00313721">
              <w:rPr>
                <w:rFonts w:ascii="Times New Roman" w:hAnsi="Times New Roman" w:cs="Times New Roman"/>
                <w:b/>
              </w:rPr>
              <w:t>Zrušenie inštitútu kaucie</w:t>
            </w:r>
          </w:p>
          <w:p w14:paraId="3249E3F3" w14:textId="77777777" w:rsidR="00334FB1" w:rsidRPr="00313721" w:rsidRDefault="00334FB1" w:rsidP="003D022E">
            <w:pPr>
              <w:jc w:val="both"/>
              <w:rPr>
                <w:rFonts w:ascii="Times New Roman" w:hAnsi="Times New Roman" w:cs="Times New Roman"/>
                <w:bCs/>
              </w:rPr>
            </w:pPr>
          </w:p>
          <w:p w14:paraId="1A9E23ED" w14:textId="1A20C7BB" w:rsidR="009F0E22" w:rsidRPr="00313721" w:rsidRDefault="009F0E22" w:rsidP="003D022E">
            <w:pPr>
              <w:jc w:val="both"/>
              <w:rPr>
                <w:rFonts w:ascii="Times New Roman" w:hAnsi="Times New Roman" w:cs="Times New Roman"/>
                <w:bCs/>
              </w:rPr>
            </w:pPr>
            <w:r w:rsidRPr="00313721">
              <w:rPr>
                <w:rFonts w:ascii="Times New Roman" w:hAnsi="Times New Roman" w:cs="Times New Roman"/>
                <w:bCs/>
              </w:rPr>
              <w:lastRenderedPageBreak/>
              <w:t xml:space="preserve">V súvislosti so zrušením inštitútu kaucie predkladateľ identifikoval predpokladaný celkový ročný vplyv (finančnú záťaž) na PP vo výške 1 660 € pri počte cca 16,6 dotknutých subjektov z radov podnikateľov. </w:t>
            </w:r>
          </w:p>
          <w:p w14:paraId="1462F951" w14:textId="77777777" w:rsidR="009F0E22" w:rsidRPr="00313721" w:rsidRDefault="009F0E22" w:rsidP="003D022E">
            <w:pPr>
              <w:jc w:val="both"/>
              <w:rPr>
                <w:rFonts w:ascii="Times New Roman" w:hAnsi="Times New Roman" w:cs="Times New Roman"/>
                <w:bCs/>
              </w:rPr>
            </w:pPr>
          </w:p>
          <w:p w14:paraId="5EE95554" w14:textId="769B06A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Predkladaný návrh zrušuje inštitút kaucie, ktorý v konaní o ochranných známkach, dizajnoch a úžitkových vzoroch vyvolával na strane navrhovateľov náklady vo výške 100 € za jedno podanie návrhu na zahájenie sporového konania. V zmysle doterajšej právnej úpravy kaucie, ak sa v príslušnom konaní preukázalo, že návrh bol podaný oprávnene, ÚPV SR zaplatenú kauciu navrhovateľovi vrátil. Vychádzajúc z porovnania zaplatených/vrátených kaucií v priebehu rokov 2019 až 2023 (viď Tabuľka č. 3) je možné na strane PP očakávať pozitívny vplyv v celkovom rozsahu 1 660 EURO ročne (cca 16,6 podnikateľa) a 100 EURO ročne na 1 podnikateľa.  </w:t>
            </w:r>
          </w:p>
          <w:p w14:paraId="387B4E49"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 </w:t>
            </w:r>
          </w:p>
          <w:p w14:paraId="6D770708" w14:textId="77777777" w:rsidR="00334FB1" w:rsidRPr="00313721" w:rsidRDefault="00334FB1" w:rsidP="003D022E">
            <w:pPr>
              <w:rPr>
                <w:rFonts w:ascii="Times New Roman" w:hAnsi="Times New Roman" w:cs="Times New Roman"/>
                <w:b/>
                <w:bCs/>
              </w:rPr>
            </w:pPr>
            <w:r w:rsidRPr="00313721">
              <w:rPr>
                <w:rFonts w:ascii="Times New Roman" w:hAnsi="Times New Roman" w:cs="Times New Roman"/>
                <w:b/>
                <w:bCs/>
              </w:rPr>
              <w:t xml:space="preserve">Tabuľka č. 3: Prehľad kaucií za roky 2019 až 2023 </w:t>
            </w:r>
          </w:p>
          <w:tbl>
            <w:tblPr>
              <w:tblW w:w="8680" w:type="dxa"/>
              <w:tblCellMar>
                <w:top w:w="15" w:type="dxa"/>
                <w:left w:w="70" w:type="dxa"/>
                <w:right w:w="70" w:type="dxa"/>
              </w:tblCellMar>
              <w:tblLook w:val="04A0" w:firstRow="1" w:lastRow="0" w:firstColumn="1" w:lastColumn="0" w:noHBand="0" w:noVBand="1"/>
            </w:tblPr>
            <w:tblGrid>
              <w:gridCol w:w="750"/>
              <w:gridCol w:w="1147"/>
              <w:gridCol w:w="1027"/>
              <w:gridCol w:w="1691"/>
              <w:gridCol w:w="1537"/>
              <w:gridCol w:w="1233"/>
              <w:gridCol w:w="1295"/>
            </w:tblGrid>
            <w:tr w:rsidR="00223421" w:rsidRPr="00313721" w14:paraId="029B367E" w14:textId="77777777" w:rsidTr="00223421">
              <w:trPr>
                <w:trHeight w:val="450"/>
              </w:trPr>
              <w:tc>
                <w:tcPr>
                  <w:tcW w:w="750" w:type="dxa"/>
                  <w:vMerge w:val="restart"/>
                  <w:tcBorders>
                    <w:top w:val="single" w:sz="8" w:space="0" w:color="auto"/>
                    <w:left w:val="single" w:sz="8" w:space="0" w:color="auto"/>
                    <w:bottom w:val="single" w:sz="8" w:space="0" w:color="000000"/>
                    <w:right w:val="single" w:sz="4" w:space="0" w:color="auto"/>
                  </w:tcBorders>
                  <w:shd w:val="clear" w:color="000000" w:fill="C6E0B4"/>
                  <w:vAlign w:val="center"/>
                  <w:hideMark/>
                </w:tcPr>
                <w:p w14:paraId="0A55A6CF"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Rok</w:t>
                  </w:r>
                </w:p>
              </w:tc>
              <w:tc>
                <w:tcPr>
                  <w:tcW w:w="1147"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12ED1211"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Celkový počet došlých kaucií</w:t>
                  </w:r>
                </w:p>
              </w:tc>
              <w:tc>
                <w:tcPr>
                  <w:tcW w:w="1027"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2BDAD8DD"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Počet kaucií (príjem úradu)</w:t>
                  </w:r>
                </w:p>
              </w:tc>
              <w:tc>
                <w:tcPr>
                  <w:tcW w:w="1691"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05BE6317"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Počet kaucií vrátených navrhovateľovi</w:t>
                  </w:r>
                </w:p>
              </w:tc>
              <w:tc>
                <w:tcPr>
                  <w:tcW w:w="1537"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73EC23CC"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Vplyv na rozpočet úradu ku koncu príslušného kalendárneho roka v €</w:t>
                  </w:r>
                </w:p>
              </w:tc>
              <w:tc>
                <w:tcPr>
                  <w:tcW w:w="1233" w:type="dxa"/>
                  <w:vMerge w:val="restart"/>
                  <w:tcBorders>
                    <w:top w:val="single" w:sz="8" w:space="0" w:color="auto"/>
                    <w:left w:val="single" w:sz="4" w:space="0" w:color="auto"/>
                    <w:bottom w:val="nil"/>
                    <w:right w:val="single" w:sz="4" w:space="0" w:color="auto"/>
                  </w:tcBorders>
                  <w:shd w:val="clear" w:color="000000" w:fill="C6E0B4"/>
                  <w:vAlign w:val="center"/>
                  <w:hideMark/>
                </w:tcPr>
                <w:p w14:paraId="45263D06"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Priemerný ročný vplyv na PP (83/5x100)*</w:t>
                  </w:r>
                </w:p>
              </w:tc>
              <w:tc>
                <w:tcPr>
                  <w:tcW w:w="1295" w:type="dxa"/>
                  <w:vMerge w:val="restart"/>
                  <w:tcBorders>
                    <w:top w:val="single" w:sz="8" w:space="0" w:color="auto"/>
                    <w:left w:val="single" w:sz="4" w:space="0" w:color="auto"/>
                    <w:bottom w:val="nil"/>
                    <w:right w:val="single" w:sz="8" w:space="0" w:color="auto"/>
                  </w:tcBorders>
                  <w:shd w:val="clear" w:color="000000" w:fill="C6E0B4"/>
                  <w:vAlign w:val="center"/>
                  <w:hideMark/>
                </w:tcPr>
                <w:p w14:paraId="66FFE904"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Priemerný ročný vplyv  na 1 podnikateľa (výška kaucie 100 €)</w:t>
                  </w:r>
                </w:p>
              </w:tc>
            </w:tr>
            <w:tr w:rsidR="00223421" w:rsidRPr="00313721" w14:paraId="7BEA7631" w14:textId="77777777" w:rsidTr="00223421">
              <w:trPr>
                <w:trHeight w:val="450"/>
              </w:trPr>
              <w:tc>
                <w:tcPr>
                  <w:tcW w:w="750" w:type="dxa"/>
                  <w:vMerge/>
                  <w:tcBorders>
                    <w:top w:val="single" w:sz="8" w:space="0" w:color="auto"/>
                    <w:left w:val="single" w:sz="8" w:space="0" w:color="auto"/>
                    <w:bottom w:val="single" w:sz="8" w:space="0" w:color="000000"/>
                    <w:right w:val="single" w:sz="4" w:space="0" w:color="auto"/>
                  </w:tcBorders>
                  <w:vAlign w:val="center"/>
                  <w:hideMark/>
                </w:tcPr>
                <w:p w14:paraId="178632CD"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14:paraId="1257B0B4"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027" w:type="dxa"/>
                  <w:vMerge/>
                  <w:tcBorders>
                    <w:top w:val="single" w:sz="8" w:space="0" w:color="auto"/>
                    <w:left w:val="single" w:sz="4" w:space="0" w:color="auto"/>
                    <w:bottom w:val="single" w:sz="8" w:space="0" w:color="000000"/>
                    <w:right w:val="single" w:sz="4" w:space="0" w:color="auto"/>
                  </w:tcBorders>
                  <w:vAlign w:val="center"/>
                  <w:hideMark/>
                </w:tcPr>
                <w:p w14:paraId="4922A5C8"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691" w:type="dxa"/>
                  <w:vMerge/>
                  <w:tcBorders>
                    <w:top w:val="single" w:sz="8" w:space="0" w:color="auto"/>
                    <w:left w:val="single" w:sz="4" w:space="0" w:color="auto"/>
                    <w:bottom w:val="single" w:sz="8" w:space="0" w:color="000000"/>
                    <w:right w:val="single" w:sz="4" w:space="0" w:color="auto"/>
                  </w:tcBorders>
                  <w:vAlign w:val="center"/>
                  <w:hideMark/>
                </w:tcPr>
                <w:p w14:paraId="513ED2EE"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537" w:type="dxa"/>
                  <w:vMerge/>
                  <w:tcBorders>
                    <w:top w:val="single" w:sz="8" w:space="0" w:color="auto"/>
                    <w:left w:val="single" w:sz="4" w:space="0" w:color="auto"/>
                    <w:bottom w:val="single" w:sz="8" w:space="0" w:color="000000"/>
                    <w:right w:val="single" w:sz="4" w:space="0" w:color="auto"/>
                  </w:tcBorders>
                  <w:vAlign w:val="center"/>
                  <w:hideMark/>
                </w:tcPr>
                <w:p w14:paraId="722ED62A"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33" w:type="dxa"/>
                  <w:vMerge/>
                  <w:tcBorders>
                    <w:top w:val="single" w:sz="8" w:space="0" w:color="auto"/>
                    <w:left w:val="single" w:sz="4" w:space="0" w:color="auto"/>
                    <w:bottom w:val="nil"/>
                    <w:right w:val="single" w:sz="4" w:space="0" w:color="auto"/>
                  </w:tcBorders>
                  <w:vAlign w:val="center"/>
                  <w:hideMark/>
                </w:tcPr>
                <w:p w14:paraId="09DB0412"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3237CEED"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62E01F47" w14:textId="77777777" w:rsidTr="00223421">
              <w:trPr>
                <w:trHeight w:val="137"/>
              </w:trPr>
              <w:tc>
                <w:tcPr>
                  <w:tcW w:w="750" w:type="dxa"/>
                  <w:tcBorders>
                    <w:top w:val="nil"/>
                    <w:left w:val="single" w:sz="8" w:space="0" w:color="auto"/>
                    <w:bottom w:val="single" w:sz="4" w:space="0" w:color="auto"/>
                    <w:right w:val="single" w:sz="4" w:space="0" w:color="auto"/>
                  </w:tcBorders>
                  <w:shd w:val="clear" w:color="auto" w:fill="auto"/>
                  <w:vAlign w:val="center"/>
                  <w:hideMark/>
                </w:tcPr>
                <w:p w14:paraId="6CC53FAB"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2019</w:t>
                  </w:r>
                </w:p>
              </w:tc>
              <w:tc>
                <w:tcPr>
                  <w:tcW w:w="1147" w:type="dxa"/>
                  <w:tcBorders>
                    <w:top w:val="nil"/>
                    <w:left w:val="nil"/>
                    <w:bottom w:val="single" w:sz="4" w:space="0" w:color="auto"/>
                    <w:right w:val="single" w:sz="4" w:space="0" w:color="auto"/>
                  </w:tcBorders>
                  <w:shd w:val="clear" w:color="auto" w:fill="auto"/>
                  <w:vAlign w:val="center"/>
                  <w:hideMark/>
                </w:tcPr>
                <w:p w14:paraId="6628655A"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41</w:t>
                  </w:r>
                </w:p>
              </w:tc>
              <w:tc>
                <w:tcPr>
                  <w:tcW w:w="1027" w:type="dxa"/>
                  <w:tcBorders>
                    <w:top w:val="nil"/>
                    <w:left w:val="nil"/>
                    <w:bottom w:val="single" w:sz="4" w:space="0" w:color="auto"/>
                    <w:right w:val="single" w:sz="4" w:space="0" w:color="auto"/>
                  </w:tcBorders>
                  <w:shd w:val="clear" w:color="auto" w:fill="auto"/>
                  <w:vAlign w:val="center"/>
                  <w:hideMark/>
                </w:tcPr>
                <w:p w14:paraId="36C50CA1"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w:t>
                  </w:r>
                </w:p>
              </w:tc>
              <w:tc>
                <w:tcPr>
                  <w:tcW w:w="1691" w:type="dxa"/>
                  <w:tcBorders>
                    <w:top w:val="nil"/>
                    <w:left w:val="nil"/>
                    <w:bottom w:val="single" w:sz="4" w:space="0" w:color="auto"/>
                    <w:right w:val="single" w:sz="4" w:space="0" w:color="auto"/>
                  </w:tcBorders>
                  <w:shd w:val="clear" w:color="auto" w:fill="auto"/>
                  <w:vAlign w:val="center"/>
                  <w:hideMark/>
                </w:tcPr>
                <w:p w14:paraId="40825BA6"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22</w:t>
                  </w:r>
                </w:p>
              </w:tc>
              <w:tc>
                <w:tcPr>
                  <w:tcW w:w="1537" w:type="dxa"/>
                  <w:tcBorders>
                    <w:top w:val="nil"/>
                    <w:left w:val="nil"/>
                    <w:bottom w:val="single" w:sz="4" w:space="0" w:color="auto"/>
                    <w:right w:val="single" w:sz="4" w:space="0" w:color="auto"/>
                  </w:tcBorders>
                  <w:shd w:val="clear" w:color="auto" w:fill="auto"/>
                  <w:vAlign w:val="center"/>
                  <w:hideMark/>
                </w:tcPr>
                <w:p w14:paraId="6402BD01"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-200</w:t>
                  </w:r>
                </w:p>
              </w:tc>
              <w:tc>
                <w:tcPr>
                  <w:tcW w:w="1233" w:type="dxa"/>
                  <w:vMerge/>
                  <w:tcBorders>
                    <w:top w:val="single" w:sz="8" w:space="0" w:color="auto"/>
                    <w:left w:val="single" w:sz="4" w:space="0" w:color="auto"/>
                    <w:bottom w:val="nil"/>
                    <w:right w:val="single" w:sz="4" w:space="0" w:color="auto"/>
                  </w:tcBorders>
                  <w:vAlign w:val="center"/>
                  <w:hideMark/>
                </w:tcPr>
                <w:p w14:paraId="5819B710"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6D90C9A2"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3525BA43" w14:textId="77777777" w:rsidTr="00223421">
              <w:trPr>
                <w:trHeight w:val="137"/>
              </w:trPr>
              <w:tc>
                <w:tcPr>
                  <w:tcW w:w="750" w:type="dxa"/>
                  <w:tcBorders>
                    <w:top w:val="nil"/>
                    <w:left w:val="single" w:sz="8" w:space="0" w:color="auto"/>
                    <w:bottom w:val="single" w:sz="4" w:space="0" w:color="auto"/>
                    <w:right w:val="single" w:sz="4" w:space="0" w:color="auto"/>
                  </w:tcBorders>
                  <w:shd w:val="clear" w:color="auto" w:fill="auto"/>
                  <w:vAlign w:val="center"/>
                  <w:hideMark/>
                </w:tcPr>
                <w:p w14:paraId="4B1CC128"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2020</w:t>
                  </w:r>
                </w:p>
              </w:tc>
              <w:tc>
                <w:tcPr>
                  <w:tcW w:w="1147" w:type="dxa"/>
                  <w:tcBorders>
                    <w:top w:val="nil"/>
                    <w:left w:val="nil"/>
                    <w:bottom w:val="single" w:sz="4" w:space="0" w:color="auto"/>
                    <w:right w:val="single" w:sz="4" w:space="0" w:color="auto"/>
                  </w:tcBorders>
                  <w:shd w:val="clear" w:color="auto" w:fill="auto"/>
                  <w:vAlign w:val="center"/>
                  <w:hideMark/>
                </w:tcPr>
                <w:p w14:paraId="292AF79F"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45</w:t>
                  </w:r>
                </w:p>
              </w:tc>
              <w:tc>
                <w:tcPr>
                  <w:tcW w:w="1027" w:type="dxa"/>
                  <w:tcBorders>
                    <w:top w:val="nil"/>
                    <w:left w:val="nil"/>
                    <w:bottom w:val="single" w:sz="4" w:space="0" w:color="auto"/>
                    <w:right w:val="single" w:sz="4" w:space="0" w:color="auto"/>
                  </w:tcBorders>
                  <w:shd w:val="clear" w:color="auto" w:fill="auto"/>
                  <w:vAlign w:val="center"/>
                  <w:hideMark/>
                </w:tcPr>
                <w:p w14:paraId="706A4B4D"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15</w:t>
                  </w:r>
                </w:p>
              </w:tc>
              <w:tc>
                <w:tcPr>
                  <w:tcW w:w="1691" w:type="dxa"/>
                  <w:tcBorders>
                    <w:top w:val="nil"/>
                    <w:left w:val="nil"/>
                    <w:bottom w:val="single" w:sz="4" w:space="0" w:color="auto"/>
                    <w:right w:val="single" w:sz="4" w:space="0" w:color="auto"/>
                  </w:tcBorders>
                  <w:shd w:val="clear" w:color="auto" w:fill="auto"/>
                  <w:vAlign w:val="center"/>
                  <w:hideMark/>
                </w:tcPr>
                <w:p w14:paraId="38D7C02F"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28</w:t>
                  </w:r>
                </w:p>
              </w:tc>
              <w:tc>
                <w:tcPr>
                  <w:tcW w:w="1537" w:type="dxa"/>
                  <w:tcBorders>
                    <w:top w:val="nil"/>
                    <w:left w:val="nil"/>
                    <w:bottom w:val="single" w:sz="4" w:space="0" w:color="auto"/>
                    <w:right w:val="single" w:sz="4" w:space="0" w:color="auto"/>
                  </w:tcBorders>
                  <w:shd w:val="clear" w:color="auto" w:fill="auto"/>
                  <w:vAlign w:val="center"/>
                  <w:hideMark/>
                </w:tcPr>
                <w:p w14:paraId="47F4A49D"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-1 300</w:t>
                  </w:r>
                </w:p>
              </w:tc>
              <w:tc>
                <w:tcPr>
                  <w:tcW w:w="1233" w:type="dxa"/>
                  <w:vMerge/>
                  <w:tcBorders>
                    <w:top w:val="single" w:sz="8" w:space="0" w:color="auto"/>
                    <w:left w:val="single" w:sz="4" w:space="0" w:color="auto"/>
                    <w:bottom w:val="nil"/>
                    <w:right w:val="single" w:sz="4" w:space="0" w:color="auto"/>
                  </w:tcBorders>
                  <w:vAlign w:val="center"/>
                  <w:hideMark/>
                </w:tcPr>
                <w:p w14:paraId="0F5BF733"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56272309"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1AC73DA4" w14:textId="77777777" w:rsidTr="00223421">
              <w:trPr>
                <w:trHeight w:val="137"/>
              </w:trPr>
              <w:tc>
                <w:tcPr>
                  <w:tcW w:w="750" w:type="dxa"/>
                  <w:tcBorders>
                    <w:top w:val="nil"/>
                    <w:left w:val="single" w:sz="8" w:space="0" w:color="auto"/>
                    <w:bottom w:val="single" w:sz="4" w:space="0" w:color="auto"/>
                    <w:right w:val="single" w:sz="4" w:space="0" w:color="auto"/>
                  </w:tcBorders>
                  <w:shd w:val="clear" w:color="auto" w:fill="auto"/>
                  <w:vAlign w:val="center"/>
                  <w:hideMark/>
                </w:tcPr>
                <w:p w14:paraId="03676E04"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2021</w:t>
                  </w:r>
                </w:p>
              </w:tc>
              <w:tc>
                <w:tcPr>
                  <w:tcW w:w="1147" w:type="dxa"/>
                  <w:tcBorders>
                    <w:top w:val="nil"/>
                    <w:left w:val="nil"/>
                    <w:bottom w:val="single" w:sz="4" w:space="0" w:color="auto"/>
                    <w:right w:val="single" w:sz="4" w:space="0" w:color="auto"/>
                  </w:tcBorders>
                  <w:shd w:val="clear" w:color="auto" w:fill="auto"/>
                  <w:vAlign w:val="center"/>
                  <w:hideMark/>
                </w:tcPr>
                <w:p w14:paraId="31F4427B"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27</w:t>
                  </w:r>
                </w:p>
              </w:tc>
              <w:tc>
                <w:tcPr>
                  <w:tcW w:w="1027" w:type="dxa"/>
                  <w:tcBorders>
                    <w:top w:val="nil"/>
                    <w:left w:val="nil"/>
                    <w:bottom w:val="single" w:sz="4" w:space="0" w:color="auto"/>
                    <w:right w:val="single" w:sz="4" w:space="0" w:color="auto"/>
                  </w:tcBorders>
                  <w:shd w:val="clear" w:color="auto" w:fill="auto"/>
                  <w:vAlign w:val="center"/>
                  <w:hideMark/>
                </w:tcPr>
                <w:p w14:paraId="02A736EA"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29</w:t>
                  </w:r>
                </w:p>
              </w:tc>
              <w:tc>
                <w:tcPr>
                  <w:tcW w:w="1691" w:type="dxa"/>
                  <w:tcBorders>
                    <w:top w:val="nil"/>
                    <w:left w:val="nil"/>
                    <w:bottom w:val="single" w:sz="4" w:space="0" w:color="auto"/>
                    <w:right w:val="single" w:sz="4" w:space="0" w:color="auto"/>
                  </w:tcBorders>
                  <w:shd w:val="clear" w:color="auto" w:fill="auto"/>
                  <w:vAlign w:val="center"/>
                  <w:hideMark/>
                </w:tcPr>
                <w:p w14:paraId="63F25465"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13</w:t>
                  </w:r>
                </w:p>
              </w:tc>
              <w:tc>
                <w:tcPr>
                  <w:tcW w:w="1537" w:type="dxa"/>
                  <w:tcBorders>
                    <w:top w:val="nil"/>
                    <w:left w:val="nil"/>
                    <w:bottom w:val="single" w:sz="4" w:space="0" w:color="auto"/>
                    <w:right w:val="single" w:sz="4" w:space="0" w:color="auto"/>
                  </w:tcBorders>
                  <w:shd w:val="clear" w:color="auto" w:fill="auto"/>
                  <w:vAlign w:val="center"/>
                  <w:hideMark/>
                </w:tcPr>
                <w:p w14:paraId="629C9908"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1600</w:t>
                  </w:r>
                </w:p>
              </w:tc>
              <w:tc>
                <w:tcPr>
                  <w:tcW w:w="1233" w:type="dxa"/>
                  <w:vMerge/>
                  <w:tcBorders>
                    <w:top w:val="single" w:sz="8" w:space="0" w:color="auto"/>
                    <w:left w:val="single" w:sz="4" w:space="0" w:color="auto"/>
                    <w:bottom w:val="nil"/>
                    <w:right w:val="single" w:sz="4" w:space="0" w:color="auto"/>
                  </w:tcBorders>
                  <w:vAlign w:val="center"/>
                  <w:hideMark/>
                </w:tcPr>
                <w:p w14:paraId="2CA7BFCB"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3A759A33"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17DE3FE1" w14:textId="77777777" w:rsidTr="00223421">
              <w:trPr>
                <w:trHeight w:val="137"/>
              </w:trPr>
              <w:tc>
                <w:tcPr>
                  <w:tcW w:w="750" w:type="dxa"/>
                  <w:tcBorders>
                    <w:top w:val="nil"/>
                    <w:left w:val="single" w:sz="8" w:space="0" w:color="auto"/>
                    <w:bottom w:val="single" w:sz="4" w:space="0" w:color="auto"/>
                    <w:right w:val="single" w:sz="4" w:space="0" w:color="auto"/>
                  </w:tcBorders>
                  <w:shd w:val="clear" w:color="auto" w:fill="auto"/>
                  <w:vAlign w:val="center"/>
                  <w:hideMark/>
                </w:tcPr>
                <w:p w14:paraId="68948F99"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2022</w:t>
                  </w:r>
                </w:p>
              </w:tc>
              <w:tc>
                <w:tcPr>
                  <w:tcW w:w="1147" w:type="dxa"/>
                  <w:tcBorders>
                    <w:top w:val="nil"/>
                    <w:left w:val="nil"/>
                    <w:bottom w:val="single" w:sz="4" w:space="0" w:color="auto"/>
                    <w:right w:val="single" w:sz="4" w:space="0" w:color="auto"/>
                  </w:tcBorders>
                  <w:shd w:val="clear" w:color="auto" w:fill="auto"/>
                  <w:vAlign w:val="center"/>
                  <w:hideMark/>
                </w:tcPr>
                <w:p w14:paraId="2655C450"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15</w:t>
                  </w:r>
                </w:p>
              </w:tc>
              <w:tc>
                <w:tcPr>
                  <w:tcW w:w="1027" w:type="dxa"/>
                  <w:tcBorders>
                    <w:top w:val="nil"/>
                    <w:left w:val="nil"/>
                    <w:bottom w:val="single" w:sz="4" w:space="0" w:color="auto"/>
                    <w:right w:val="single" w:sz="4" w:space="0" w:color="auto"/>
                  </w:tcBorders>
                  <w:shd w:val="clear" w:color="auto" w:fill="auto"/>
                  <w:vAlign w:val="center"/>
                  <w:hideMark/>
                </w:tcPr>
                <w:p w14:paraId="435901D6"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15</w:t>
                  </w:r>
                </w:p>
              </w:tc>
              <w:tc>
                <w:tcPr>
                  <w:tcW w:w="1691" w:type="dxa"/>
                  <w:tcBorders>
                    <w:top w:val="nil"/>
                    <w:left w:val="nil"/>
                    <w:bottom w:val="single" w:sz="4" w:space="0" w:color="auto"/>
                    <w:right w:val="single" w:sz="4" w:space="0" w:color="auto"/>
                  </w:tcBorders>
                  <w:shd w:val="clear" w:color="auto" w:fill="auto"/>
                  <w:vAlign w:val="center"/>
                  <w:hideMark/>
                </w:tcPr>
                <w:p w14:paraId="48A8413D"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9</w:t>
                  </w:r>
                </w:p>
              </w:tc>
              <w:tc>
                <w:tcPr>
                  <w:tcW w:w="1537" w:type="dxa"/>
                  <w:tcBorders>
                    <w:top w:val="nil"/>
                    <w:left w:val="nil"/>
                    <w:bottom w:val="single" w:sz="4" w:space="0" w:color="auto"/>
                    <w:right w:val="single" w:sz="4" w:space="0" w:color="auto"/>
                  </w:tcBorders>
                  <w:shd w:val="clear" w:color="auto" w:fill="auto"/>
                  <w:vAlign w:val="center"/>
                  <w:hideMark/>
                </w:tcPr>
                <w:p w14:paraId="79DB9A79"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600</w:t>
                  </w:r>
                </w:p>
              </w:tc>
              <w:tc>
                <w:tcPr>
                  <w:tcW w:w="1233" w:type="dxa"/>
                  <w:vMerge/>
                  <w:tcBorders>
                    <w:top w:val="single" w:sz="8" w:space="0" w:color="auto"/>
                    <w:left w:val="single" w:sz="4" w:space="0" w:color="auto"/>
                    <w:bottom w:val="nil"/>
                    <w:right w:val="single" w:sz="4" w:space="0" w:color="auto"/>
                  </w:tcBorders>
                  <w:vAlign w:val="center"/>
                  <w:hideMark/>
                </w:tcPr>
                <w:p w14:paraId="78C20193"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45C35AB7"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0A5A657B" w14:textId="77777777" w:rsidTr="00223421">
              <w:trPr>
                <w:trHeight w:val="144"/>
              </w:trPr>
              <w:tc>
                <w:tcPr>
                  <w:tcW w:w="750" w:type="dxa"/>
                  <w:tcBorders>
                    <w:top w:val="nil"/>
                    <w:left w:val="single" w:sz="8" w:space="0" w:color="auto"/>
                    <w:bottom w:val="single" w:sz="4" w:space="0" w:color="auto"/>
                    <w:right w:val="single" w:sz="4" w:space="0" w:color="auto"/>
                  </w:tcBorders>
                  <w:shd w:val="clear" w:color="auto" w:fill="auto"/>
                  <w:vAlign w:val="center"/>
                  <w:hideMark/>
                </w:tcPr>
                <w:p w14:paraId="444559E7"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2023</w:t>
                  </w:r>
                </w:p>
              </w:tc>
              <w:tc>
                <w:tcPr>
                  <w:tcW w:w="1147" w:type="dxa"/>
                  <w:tcBorders>
                    <w:top w:val="nil"/>
                    <w:left w:val="nil"/>
                    <w:bottom w:val="single" w:sz="4" w:space="0" w:color="auto"/>
                    <w:right w:val="single" w:sz="4" w:space="0" w:color="auto"/>
                  </w:tcBorders>
                  <w:shd w:val="clear" w:color="auto" w:fill="auto"/>
                  <w:vAlign w:val="center"/>
                  <w:hideMark/>
                </w:tcPr>
                <w:p w14:paraId="3396D17B"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w:t>
                  </w:r>
                </w:p>
              </w:tc>
              <w:tc>
                <w:tcPr>
                  <w:tcW w:w="1027" w:type="dxa"/>
                  <w:tcBorders>
                    <w:top w:val="nil"/>
                    <w:left w:val="nil"/>
                    <w:bottom w:val="single" w:sz="4" w:space="0" w:color="auto"/>
                    <w:right w:val="single" w:sz="4" w:space="0" w:color="auto"/>
                  </w:tcBorders>
                  <w:shd w:val="clear" w:color="auto" w:fill="auto"/>
                  <w:vAlign w:val="center"/>
                  <w:hideMark/>
                </w:tcPr>
                <w:p w14:paraId="3BEF1800"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w:t>
                  </w:r>
                </w:p>
              </w:tc>
              <w:tc>
                <w:tcPr>
                  <w:tcW w:w="1691" w:type="dxa"/>
                  <w:tcBorders>
                    <w:top w:val="nil"/>
                    <w:left w:val="nil"/>
                    <w:bottom w:val="single" w:sz="4" w:space="0" w:color="auto"/>
                    <w:right w:val="single" w:sz="4" w:space="0" w:color="auto"/>
                  </w:tcBorders>
                  <w:shd w:val="clear" w:color="auto" w:fill="auto"/>
                  <w:vAlign w:val="center"/>
                  <w:hideMark/>
                </w:tcPr>
                <w:p w14:paraId="5E789A4E"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w:t>
                  </w:r>
                </w:p>
              </w:tc>
              <w:tc>
                <w:tcPr>
                  <w:tcW w:w="1537" w:type="dxa"/>
                  <w:tcBorders>
                    <w:top w:val="nil"/>
                    <w:left w:val="nil"/>
                    <w:bottom w:val="single" w:sz="4" w:space="0" w:color="auto"/>
                    <w:right w:val="single" w:sz="4" w:space="0" w:color="auto"/>
                  </w:tcBorders>
                  <w:shd w:val="clear" w:color="auto" w:fill="auto"/>
                  <w:vAlign w:val="center"/>
                  <w:hideMark/>
                </w:tcPr>
                <w:p w14:paraId="53C4882A" w14:textId="77777777" w:rsidR="00223421" w:rsidRPr="00313721" w:rsidRDefault="00223421" w:rsidP="003D022E">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-400</w:t>
                  </w:r>
                </w:p>
              </w:tc>
              <w:tc>
                <w:tcPr>
                  <w:tcW w:w="1233" w:type="dxa"/>
                  <w:vMerge/>
                  <w:tcBorders>
                    <w:top w:val="single" w:sz="8" w:space="0" w:color="auto"/>
                    <w:left w:val="single" w:sz="4" w:space="0" w:color="auto"/>
                    <w:bottom w:val="nil"/>
                    <w:right w:val="single" w:sz="4" w:space="0" w:color="auto"/>
                  </w:tcBorders>
                  <w:vAlign w:val="center"/>
                  <w:hideMark/>
                </w:tcPr>
                <w:p w14:paraId="35A88754"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c>
                <w:tcPr>
                  <w:tcW w:w="1295" w:type="dxa"/>
                  <w:vMerge/>
                  <w:tcBorders>
                    <w:top w:val="single" w:sz="8" w:space="0" w:color="auto"/>
                    <w:left w:val="single" w:sz="4" w:space="0" w:color="auto"/>
                    <w:bottom w:val="nil"/>
                    <w:right w:val="single" w:sz="8" w:space="0" w:color="auto"/>
                  </w:tcBorders>
                  <w:vAlign w:val="center"/>
                  <w:hideMark/>
                </w:tcPr>
                <w:p w14:paraId="1D5C73B7" w14:textId="77777777" w:rsidR="00223421" w:rsidRPr="00313721" w:rsidRDefault="00223421" w:rsidP="003D022E">
                  <w:pPr>
                    <w:spacing w:after="0" w:line="240" w:lineRule="auto"/>
                    <w:rPr>
                      <w:rFonts w:ascii="Times New Roman" w:eastAsia="Times New Roman" w:hAnsi="Times New Roman" w:cs="Times New Roman"/>
                      <w:b/>
                      <w:bCs/>
                      <w:color w:val="000000"/>
                      <w:lang w:eastAsia="sk-SK"/>
                    </w:rPr>
                  </w:pPr>
                </w:p>
              </w:tc>
            </w:tr>
            <w:tr w:rsidR="00223421" w:rsidRPr="00313721" w14:paraId="72A5B7F0" w14:textId="77777777" w:rsidTr="00223421">
              <w:trPr>
                <w:trHeight w:val="378"/>
              </w:trPr>
              <w:tc>
                <w:tcPr>
                  <w:tcW w:w="750" w:type="dxa"/>
                  <w:tcBorders>
                    <w:top w:val="nil"/>
                    <w:left w:val="single" w:sz="8" w:space="0" w:color="auto"/>
                    <w:bottom w:val="single" w:sz="8" w:space="0" w:color="auto"/>
                    <w:right w:val="single" w:sz="4" w:space="0" w:color="auto"/>
                  </w:tcBorders>
                  <w:shd w:val="clear" w:color="auto" w:fill="auto"/>
                  <w:vAlign w:val="center"/>
                  <w:hideMark/>
                </w:tcPr>
                <w:p w14:paraId="48F3C7C5" w14:textId="77777777" w:rsidR="00223421" w:rsidRPr="00313721" w:rsidRDefault="00223421" w:rsidP="003D022E">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 spolu 2019 až 2023</w:t>
                  </w:r>
                </w:p>
              </w:tc>
              <w:tc>
                <w:tcPr>
                  <w:tcW w:w="1147" w:type="dxa"/>
                  <w:tcBorders>
                    <w:top w:val="nil"/>
                    <w:left w:val="nil"/>
                    <w:bottom w:val="single" w:sz="8" w:space="0" w:color="auto"/>
                    <w:right w:val="single" w:sz="4" w:space="0" w:color="auto"/>
                  </w:tcBorders>
                  <w:shd w:val="clear" w:color="auto" w:fill="auto"/>
                  <w:vAlign w:val="center"/>
                  <w:hideMark/>
                </w:tcPr>
                <w:p w14:paraId="4B43B139"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133</w:t>
                  </w:r>
                </w:p>
              </w:tc>
              <w:tc>
                <w:tcPr>
                  <w:tcW w:w="1027" w:type="dxa"/>
                  <w:tcBorders>
                    <w:top w:val="nil"/>
                    <w:left w:val="nil"/>
                    <w:bottom w:val="single" w:sz="8" w:space="0" w:color="auto"/>
                    <w:right w:val="single" w:sz="4" w:space="0" w:color="auto"/>
                  </w:tcBorders>
                  <w:shd w:val="clear" w:color="auto" w:fill="auto"/>
                  <w:vAlign w:val="center"/>
                  <w:hideMark/>
                </w:tcPr>
                <w:p w14:paraId="7EF2BDAE"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83</w:t>
                  </w:r>
                </w:p>
              </w:tc>
              <w:tc>
                <w:tcPr>
                  <w:tcW w:w="1691" w:type="dxa"/>
                  <w:tcBorders>
                    <w:top w:val="nil"/>
                    <w:left w:val="nil"/>
                    <w:bottom w:val="single" w:sz="8" w:space="0" w:color="auto"/>
                    <w:right w:val="single" w:sz="4" w:space="0" w:color="auto"/>
                  </w:tcBorders>
                  <w:shd w:val="clear" w:color="auto" w:fill="auto"/>
                  <w:vAlign w:val="center"/>
                  <w:hideMark/>
                </w:tcPr>
                <w:p w14:paraId="4163C495"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80</w:t>
                  </w:r>
                </w:p>
              </w:tc>
              <w:tc>
                <w:tcPr>
                  <w:tcW w:w="1537" w:type="dxa"/>
                  <w:tcBorders>
                    <w:top w:val="nil"/>
                    <w:left w:val="nil"/>
                    <w:bottom w:val="single" w:sz="8" w:space="0" w:color="auto"/>
                    <w:right w:val="nil"/>
                  </w:tcBorders>
                  <w:shd w:val="clear" w:color="auto" w:fill="auto"/>
                  <w:vAlign w:val="center"/>
                  <w:hideMark/>
                </w:tcPr>
                <w:p w14:paraId="2B795216" w14:textId="77777777" w:rsidR="00223421" w:rsidRPr="00313721" w:rsidRDefault="00223421" w:rsidP="003D022E">
                  <w:pPr>
                    <w:spacing w:after="0" w:line="240" w:lineRule="auto"/>
                    <w:jc w:val="center"/>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000000"/>
                      <w:lang w:eastAsia="sk-SK"/>
                    </w:rPr>
                    <w:t>300</w:t>
                  </w:r>
                </w:p>
              </w:tc>
              <w:tc>
                <w:tcPr>
                  <w:tcW w:w="1233" w:type="dxa"/>
                  <w:tcBorders>
                    <w:top w:val="single" w:sz="8" w:space="0" w:color="auto"/>
                    <w:left w:val="single" w:sz="8" w:space="0" w:color="auto"/>
                    <w:bottom w:val="single" w:sz="8" w:space="0" w:color="auto"/>
                    <w:right w:val="single" w:sz="4" w:space="0" w:color="auto"/>
                  </w:tcBorders>
                  <w:shd w:val="clear" w:color="000000" w:fill="4472C4"/>
                  <w:noWrap/>
                  <w:vAlign w:val="center"/>
                  <w:hideMark/>
                </w:tcPr>
                <w:p w14:paraId="684ED42E" w14:textId="77777777" w:rsidR="00223421" w:rsidRPr="00313721" w:rsidRDefault="00223421" w:rsidP="003D022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1 660</w:t>
                  </w:r>
                </w:p>
              </w:tc>
              <w:tc>
                <w:tcPr>
                  <w:tcW w:w="1295" w:type="dxa"/>
                  <w:tcBorders>
                    <w:top w:val="single" w:sz="8" w:space="0" w:color="auto"/>
                    <w:left w:val="nil"/>
                    <w:bottom w:val="single" w:sz="8" w:space="0" w:color="auto"/>
                    <w:right w:val="single" w:sz="8" w:space="0" w:color="auto"/>
                  </w:tcBorders>
                  <w:shd w:val="clear" w:color="000000" w:fill="4472C4"/>
                  <w:noWrap/>
                  <w:vAlign w:val="center"/>
                  <w:hideMark/>
                </w:tcPr>
                <w:p w14:paraId="332EDFC6" w14:textId="77777777" w:rsidR="00223421" w:rsidRPr="00313721" w:rsidRDefault="00223421" w:rsidP="003D022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100</w:t>
                  </w:r>
                </w:p>
              </w:tc>
            </w:tr>
            <w:tr w:rsidR="00223421" w:rsidRPr="00313721" w14:paraId="6B2B4ACA" w14:textId="77777777" w:rsidTr="00223421">
              <w:trPr>
                <w:trHeight w:val="450"/>
              </w:trPr>
              <w:tc>
                <w:tcPr>
                  <w:tcW w:w="8680" w:type="dxa"/>
                  <w:gridSpan w:val="7"/>
                  <w:vMerge w:val="restart"/>
                  <w:tcBorders>
                    <w:top w:val="single" w:sz="8" w:space="0" w:color="auto"/>
                    <w:left w:val="nil"/>
                    <w:bottom w:val="nil"/>
                    <w:right w:val="nil"/>
                  </w:tcBorders>
                  <w:shd w:val="clear" w:color="auto" w:fill="auto"/>
                  <w:noWrap/>
                  <w:hideMark/>
                </w:tcPr>
                <w:p w14:paraId="5A8E5F6F" w14:textId="76DF3DAD" w:rsidR="00223421" w:rsidRPr="00313721" w:rsidRDefault="0022342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*Priemerný ročný vplyv na PP vychádza z priemerného počtu nevrátených kaucií za 5 rokov (83 / 5 = 16,6 - čo zároveň predstavuje údaj o počte dotknutých subjektov z radov podnikateľov ročne) vynásobený sumou kaucie, t. j. 16,6 x 100 = 1 660 €.   </w:t>
                  </w:r>
                </w:p>
              </w:tc>
            </w:tr>
            <w:tr w:rsidR="00223421" w:rsidRPr="00313721" w14:paraId="7369BAEF" w14:textId="77777777" w:rsidTr="00223421">
              <w:trPr>
                <w:trHeight w:val="450"/>
              </w:trPr>
              <w:tc>
                <w:tcPr>
                  <w:tcW w:w="8680" w:type="dxa"/>
                  <w:gridSpan w:val="7"/>
                  <w:vMerge/>
                  <w:tcBorders>
                    <w:top w:val="single" w:sz="8" w:space="0" w:color="auto"/>
                    <w:left w:val="nil"/>
                    <w:bottom w:val="nil"/>
                    <w:right w:val="nil"/>
                  </w:tcBorders>
                  <w:vAlign w:val="center"/>
                  <w:hideMark/>
                </w:tcPr>
                <w:p w14:paraId="76E12808" w14:textId="77777777" w:rsidR="00223421" w:rsidRPr="00313721" w:rsidRDefault="00223421" w:rsidP="003D022E">
                  <w:pPr>
                    <w:spacing w:after="0" w:line="240" w:lineRule="auto"/>
                    <w:rPr>
                      <w:rFonts w:ascii="Times New Roman" w:eastAsia="Times New Roman" w:hAnsi="Times New Roman" w:cs="Times New Roman"/>
                      <w:color w:val="000000"/>
                      <w:sz w:val="20"/>
                      <w:szCs w:val="20"/>
                      <w:lang w:eastAsia="sk-SK"/>
                    </w:rPr>
                  </w:pPr>
                </w:p>
              </w:tc>
            </w:tr>
          </w:tbl>
          <w:p w14:paraId="3A355C82" w14:textId="77777777" w:rsidR="00334FB1" w:rsidRPr="00313721" w:rsidRDefault="00334FB1" w:rsidP="003D022E">
            <w:pPr>
              <w:jc w:val="both"/>
              <w:rPr>
                <w:rFonts w:ascii="Times New Roman" w:hAnsi="Times New Roman" w:cs="Times New Roman"/>
                <w:bCs/>
              </w:rPr>
            </w:pPr>
          </w:p>
          <w:p w14:paraId="3D4EBC70" w14:textId="044DBB20" w:rsidR="00165E01" w:rsidRPr="00313721" w:rsidRDefault="00165E01" w:rsidP="00165E01">
            <w:pPr>
              <w:pStyle w:val="Odsekzoznamu"/>
              <w:numPr>
                <w:ilvl w:val="0"/>
                <w:numId w:val="34"/>
              </w:numPr>
              <w:ind w:left="314"/>
              <w:jc w:val="both"/>
              <w:rPr>
                <w:rFonts w:ascii="Times New Roman" w:hAnsi="Times New Roman" w:cs="Times New Roman"/>
                <w:b/>
              </w:rPr>
            </w:pPr>
            <w:r w:rsidRPr="00313721">
              <w:rPr>
                <w:rFonts w:ascii="Times New Roman" w:hAnsi="Times New Roman" w:cs="Times New Roman"/>
                <w:b/>
              </w:rPr>
              <w:t>č. 3 a 4</w:t>
            </w:r>
          </w:p>
          <w:p w14:paraId="2C2AC078" w14:textId="1600F1F3" w:rsidR="00334FB1" w:rsidRPr="00313721" w:rsidRDefault="00334FB1" w:rsidP="00165E01">
            <w:pPr>
              <w:ind w:left="-46"/>
              <w:jc w:val="both"/>
              <w:rPr>
                <w:rFonts w:ascii="Times New Roman" w:hAnsi="Times New Roman" w:cs="Times New Roman"/>
                <w:b/>
              </w:rPr>
            </w:pPr>
            <w:r w:rsidRPr="00313721">
              <w:rPr>
                <w:rFonts w:ascii="Times New Roman" w:hAnsi="Times New Roman" w:cs="Times New Roman"/>
                <w:b/>
              </w:rPr>
              <w:t>Zmeny v sadzobníku správnych poplatkov a sadzobníku udržiavacích poplatkov</w:t>
            </w:r>
          </w:p>
          <w:p w14:paraId="7F267BE1" w14:textId="77777777" w:rsidR="00334FB1" w:rsidRPr="00313721" w:rsidRDefault="00334FB1" w:rsidP="003D022E">
            <w:pPr>
              <w:pStyle w:val="Odsekzoznamu"/>
              <w:jc w:val="both"/>
              <w:rPr>
                <w:rFonts w:ascii="Times New Roman" w:hAnsi="Times New Roman" w:cs="Times New Roman"/>
                <w:b/>
              </w:rPr>
            </w:pPr>
          </w:p>
          <w:p w14:paraId="5CC1C2FA" w14:textId="2E83B2A1" w:rsidR="00AA428E" w:rsidRPr="00313721" w:rsidRDefault="00CD7B8C" w:rsidP="00AA428E">
            <w:pPr>
              <w:tabs>
                <w:tab w:val="num" w:pos="1080"/>
              </w:tabs>
              <w:jc w:val="both"/>
              <w:rPr>
                <w:rFonts w:ascii="Times New Roman" w:hAnsi="Times New Roman" w:cs="Times New Roman"/>
                <w:bCs/>
              </w:rPr>
            </w:pPr>
            <w:r w:rsidRPr="00313721">
              <w:rPr>
                <w:rFonts w:ascii="Times New Roman" w:hAnsi="Times New Roman" w:cs="Times New Roman"/>
                <w:bCs/>
              </w:rPr>
              <w:t>V súvislosti so zmenami sadzieb správnych poplatkov predkladateľ identifikoval dopad na 11 </w:t>
            </w:r>
            <w:r w:rsidR="00FB6D68" w:rsidRPr="00313721">
              <w:rPr>
                <w:rFonts w:ascii="Times New Roman" w:hAnsi="Times New Roman" w:cs="Times New Roman"/>
                <w:bCs/>
              </w:rPr>
              <w:t>283</w:t>
            </w:r>
            <w:r w:rsidRPr="00313721">
              <w:rPr>
                <w:rFonts w:ascii="Times New Roman" w:hAnsi="Times New Roman" w:cs="Times New Roman"/>
                <w:bCs/>
              </w:rPr>
              <w:t xml:space="preserve"> podnikateľov a v súvislosti so zmenami sadzieb udržiavacích poplatkov predkladateľ identifikoval dopad na </w:t>
            </w:r>
            <w:r w:rsidR="003D3D0D" w:rsidRPr="00313721">
              <w:rPr>
                <w:rFonts w:ascii="Times New Roman" w:hAnsi="Times New Roman" w:cs="Times New Roman"/>
                <w:bCs/>
              </w:rPr>
              <w:t>19 606</w:t>
            </w:r>
            <w:r w:rsidR="00AA428E" w:rsidRPr="00313721">
              <w:rPr>
                <w:rFonts w:ascii="Times New Roman" w:hAnsi="Times New Roman" w:cs="Times New Roman"/>
                <w:bCs/>
              </w:rPr>
              <w:t xml:space="preserve"> podnikateľov. Pri určení skupiny subjektov dotknutých zmenou jednotlivých regulácií spočívajúcich v úprave sadzieb vybraných správnych poplatkov a zavedenia nových správnych poplatkov ako aj úpravy sadzieb udržiavacích poplatkov predkladateľ vychádzal z expertného odhadu založeného na interných štatistických údajoch za predchádzajúce sledované obdobie rokov 2019 až 2023, pričom priemerný počet jednotlivých úkonov spojených s úhradou správneho poplatku a udržiavacieho poplatku v predchádzajúcom období  (viď Tabuľka č. 4) použil ako údaj rovnajúci sa počtu dotknutých subjektov.</w:t>
            </w:r>
            <w:r w:rsidR="003D3D0D" w:rsidRPr="00313721">
              <w:rPr>
                <w:rFonts w:ascii="Times New Roman" w:hAnsi="Times New Roman" w:cs="Times New Roman"/>
                <w:bCs/>
              </w:rPr>
              <w:t xml:space="preserve"> Následne tento údaj /početnosť krátil o 5 %, keď zohľadnil skutočnosť, že cca 95 % subjektov je z podnikateľského prostredia. </w:t>
            </w:r>
            <w:r w:rsidR="00AA428E" w:rsidRPr="00313721">
              <w:rPr>
                <w:rFonts w:ascii="Times New Roman" w:hAnsi="Times New Roman" w:cs="Times New Roman"/>
                <w:bCs/>
              </w:rPr>
              <w:t xml:space="preserve">   </w:t>
            </w:r>
          </w:p>
          <w:p w14:paraId="1061D587" w14:textId="77777777" w:rsidR="00AA428E" w:rsidRPr="00313721" w:rsidRDefault="00AA428E" w:rsidP="00AA428E">
            <w:pPr>
              <w:jc w:val="both"/>
              <w:rPr>
                <w:rFonts w:ascii="Times New Roman" w:hAnsi="Times New Roman" w:cs="Times New Roman"/>
                <w:bCs/>
              </w:rPr>
            </w:pPr>
          </w:p>
          <w:p w14:paraId="494C649B" w14:textId="77777777" w:rsidR="00AA428E" w:rsidRPr="00313721" w:rsidRDefault="00AA428E" w:rsidP="00AA428E">
            <w:pPr>
              <w:jc w:val="both"/>
              <w:rPr>
                <w:rFonts w:ascii="Times New Roman" w:eastAsia="Times New Roman" w:hAnsi="Times New Roman" w:cs="Times New Roman"/>
                <w:color w:val="FFFFFF" w:themeColor="background1"/>
                <w:lang w:eastAsia="sk-SK"/>
              </w:rPr>
            </w:pPr>
            <w:r w:rsidRPr="00313721">
              <w:rPr>
                <w:rFonts w:ascii="Times New Roman" w:hAnsi="Times New Roman" w:cs="Times New Roman"/>
                <w:b/>
              </w:rPr>
              <w:t xml:space="preserve">Tabuľka č. 4 Príjmy zo správnych poplatkov (SP) a udržiavacích poplatkov (UP) v rokoch 2019 až 2023 zaokrúhlené na tis. € </w:t>
            </w:r>
            <w:r w:rsidRPr="00313721">
              <w:rPr>
                <w:rFonts w:ascii="Times New Roman" w:eastAsia="Times New Roman" w:hAnsi="Times New Roman" w:cs="Times New Roman"/>
                <w:color w:val="FFFFFF" w:themeColor="background1"/>
                <w:lang w:eastAsia="sk-SK"/>
              </w:rPr>
              <w:t>€</w:t>
            </w:r>
          </w:p>
          <w:tbl>
            <w:tblPr>
              <w:tblW w:w="8730" w:type="dxa"/>
              <w:tblCellMar>
                <w:left w:w="70" w:type="dxa"/>
                <w:right w:w="70" w:type="dxa"/>
              </w:tblCellMar>
              <w:tblLook w:val="04A0" w:firstRow="1" w:lastRow="0" w:firstColumn="1" w:lastColumn="0" w:noHBand="0" w:noVBand="1"/>
            </w:tblPr>
            <w:tblGrid>
              <w:gridCol w:w="871"/>
              <w:gridCol w:w="1275"/>
              <w:gridCol w:w="969"/>
              <w:gridCol w:w="1174"/>
              <w:gridCol w:w="1136"/>
              <w:gridCol w:w="1045"/>
              <w:gridCol w:w="1252"/>
              <w:gridCol w:w="1008"/>
            </w:tblGrid>
            <w:tr w:rsidR="00AA428E" w:rsidRPr="00313721" w14:paraId="5DE212CE" w14:textId="77777777" w:rsidTr="00BD5208">
              <w:trPr>
                <w:trHeight w:val="895"/>
              </w:trPr>
              <w:tc>
                <w:tcPr>
                  <w:tcW w:w="871" w:type="dxa"/>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12BC6C7F"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Rok</w:t>
                  </w:r>
                </w:p>
              </w:tc>
              <w:tc>
                <w:tcPr>
                  <w:tcW w:w="1275" w:type="dxa"/>
                  <w:tcBorders>
                    <w:top w:val="single" w:sz="8" w:space="0" w:color="auto"/>
                    <w:left w:val="nil"/>
                    <w:bottom w:val="single" w:sz="4" w:space="0" w:color="auto"/>
                    <w:right w:val="single" w:sz="4" w:space="0" w:color="auto"/>
                  </w:tcBorders>
                  <w:shd w:val="clear" w:color="000000" w:fill="1F497D"/>
                  <w:noWrap/>
                  <w:vAlign w:val="center"/>
                  <w:hideMark/>
                </w:tcPr>
                <w:p w14:paraId="619B03F9"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počet spracovaných SP</w:t>
                  </w:r>
                </w:p>
              </w:tc>
              <w:tc>
                <w:tcPr>
                  <w:tcW w:w="969" w:type="dxa"/>
                  <w:tcBorders>
                    <w:top w:val="single" w:sz="8" w:space="0" w:color="auto"/>
                    <w:left w:val="nil"/>
                    <w:bottom w:val="single" w:sz="4" w:space="0" w:color="auto"/>
                    <w:right w:val="single" w:sz="4" w:space="0" w:color="auto"/>
                  </w:tcBorders>
                  <w:shd w:val="clear" w:color="000000" w:fill="1F497D"/>
                  <w:vAlign w:val="center"/>
                  <w:hideMark/>
                </w:tcPr>
                <w:p w14:paraId="12F45E5F"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 xml:space="preserve">suma vybraných SP </w:t>
                  </w:r>
                </w:p>
              </w:tc>
              <w:tc>
                <w:tcPr>
                  <w:tcW w:w="1174" w:type="dxa"/>
                  <w:tcBorders>
                    <w:top w:val="single" w:sz="8" w:space="0" w:color="auto"/>
                    <w:left w:val="nil"/>
                    <w:bottom w:val="single" w:sz="4" w:space="0" w:color="auto"/>
                    <w:right w:val="nil"/>
                  </w:tcBorders>
                  <w:shd w:val="clear" w:color="000000" w:fill="1F497D"/>
                </w:tcPr>
                <w:p w14:paraId="43D5201A" w14:textId="77777777" w:rsidR="00AA428E" w:rsidRPr="00313721" w:rsidRDefault="00AA428E" w:rsidP="00AA428E">
                  <w:pPr>
                    <w:spacing w:after="0" w:line="240" w:lineRule="auto"/>
                    <w:jc w:val="center"/>
                    <w:rPr>
                      <w:rFonts w:ascii="Times New Roman" w:hAnsi="Times New Roman" w:cs="Times New Roman"/>
                      <w:color w:val="FFFFFF" w:themeColor="background1"/>
                      <w:sz w:val="18"/>
                      <w:szCs w:val="18"/>
                    </w:rPr>
                  </w:pPr>
                </w:p>
                <w:p w14:paraId="623D6B1F"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hAnsi="Times New Roman" w:cs="Times New Roman"/>
                      <w:color w:val="FFFFFF" w:themeColor="background1"/>
                      <w:sz w:val="18"/>
                      <w:szCs w:val="18"/>
                    </w:rPr>
                    <w:t>počet spracovaných UP</w:t>
                  </w:r>
                </w:p>
              </w:tc>
              <w:tc>
                <w:tcPr>
                  <w:tcW w:w="1136" w:type="dxa"/>
                  <w:tcBorders>
                    <w:top w:val="single" w:sz="8" w:space="0" w:color="auto"/>
                    <w:left w:val="nil"/>
                    <w:bottom w:val="single" w:sz="4" w:space="0" w:color="auto"/>
                    <w:right w:val="single" w:sz="4" w:space="0" w:color="auto"/>
                  </w:tcBorders>
                  <w:shd w:val="clear" w:color="000000" w:fill="1F497D"/>
                  <w:noWrap/>
                  <w:vAlign w:val="center"/>
                  <w:hideMark/>
                </w:tcPr>
                <w:p w14:paraId="694370C1"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 xml:space="preserve">suma vybraných UP </w:t>
                  </w:r>
                </w:p>
              </w:tc>
              <w:tc>
                <w:tcPr>
                  <w:tcW w:w="1045" w:type="dxa"/>
                  <w:tcBorders>
                    <w:top w:val="single" w:sz="8" w:space="0" w:color="auto"/>
                    <w:left w:val="nil"/>
                    <w:bottom w:val="single" w:sz="4" w:space="0" w:color="auto"/>
                    <w:right w:val="single" w:sz="4" w:space="0" w:color="auto"/>
                  </w:tcBorders>
                  <w:shd w:val="clear" w:color="000000" w:fill="1F497D"/>
                  <w:noWrap/>
                  <w:vAlign w:val="center"/>
                  <w:hideMark/>
                </w:tcPr>
                <w:p w14:paraId="5B499CEA"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 xml:space="preserve">príjmy ÚPV SR z ÚP </w:t>
                  </w:r>
                </w:p>
              </w:tc>
              <w:tc>
                <w:tcPr>
                  <w:tcW w:w="1252" w:type="dxa"/>
                  <w:tcBorders>
                    <w:top w:val="single" w:sz="8" w:space="0" w:color="auto"/>
                    <w:left w:val="nil"/>
                    <w:bottom w:val="single" w:sz="4" w:space="0" w:color="auto"/>
                    <w:right w:val="single" w:sz="4" w:space="0" w:color="auto"/>
                  </w:tcBorders>
                  <w:shd w:val="clear" w:color="000000" w:fill="1F497D"/>
                  <w:vAlign w:val="center"/>
                  <w:hideMark/>
                </w:tcPr>
                <w:p w14:paraId="3215A010"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počet spracovaných SP a UP spolu</w:t>
                  </w:r>
                </w:p>
              </w:tc>
              <w:tc>
                <w:tcPr>
                  <w:tcW w:w="1008" w:type="dxa"/>
                  <w:tcBorders>
                    <w:top w:val="single" w:sz="8" w:space="0" w:color="auto"/>
                    <w:left w:val="nil"/>
                    <w:bottom w:val="single" w:sz="4" w:space="0" w:color="auto"/>
                    <w:right w:val="single" w:sz="8" w:space="0" w:color="auto"/>
                  </w:tcBorders>
                  <w:shd w:val="clear" w:color="000000" w:fill="1F497D"/>
                  <w:vAlign w:val="center"/>
                  <w:hideMark/>
                </w:tcPr>
                <w:p w14:paraId="02AA649A" w14:textId="77777777" w:rsidR="00AA428E" w:rsidRPr="00313721" w:rsidRDefault="00AA428E" w:rsidP="00AA428E">
                  <w:pPr>
                    <w:spacing w:after="0" w:line="240" w:lineRule="auto"/>
                    <w:jc w:val="center"/>
                    <w:rPr>
                      <w:rFonts w:ascii="Times New Roman" w:eastAsia="Times New Roman" w:hAnsi="Times New Roman" w:cs="Times New Roman"/>
                      <w:color w:val="FFFFFF"/>
                      <w:sz w:val="18"/>
                      <w:szCs w:val="18"/>
                      <w:lang w:eastAsia="sk-SK"/>
                    </w:rPr>
                  </w:pPr>
                  <w:r w:rsidRPr="00313721">
                    <w:rPr>
                      <w:rFonts w:ascii="Times New Roman" w:eastAsia="Times New Roman" w:hAnsi="Times New Roman" w:cs="Times New Roman"/>
                      <w:color w:val="FFFFFF"/>
                      <w:sz w:val="18"/>
                      <w:szCs w:val="18"/>
                      <w:lang w:eastAsia="sk-SK"/>
                    </w:rPr>
                    <w:t xml:space="preserve">príjmy ÚPV SR zo SP a UP spolu </w:t>
                  </w:r>
                </w:p>
              </w:tc>
            </w:tr>
            <w:tr w:rsidR="00AA428E" w:rsidRPr="00313721" w14:paraId="025B46EB" w14:textId="77777777" w:rsidTr="00BD5208">
              <w:trPr>
                <w:trHeight w:val="298"/>
              </w:trPr>
              <w:tc>
                <w:tcPr>
                  <w:tcW w:w="871" w:type="dxa"/>
                  <w:tcBorders>
                    <w:top w:val="single" w:sz="4" w:space="0" w:color="FFFFFF"/>
                    <w:left w:val="single" w:sz="4" w:space="0" w:color="FFFFFF"/>
                    <w:bottom w:val="single" w:sz="4" w:space="0" w:color="FFFFFF"/>
                    <w:right w:val="single" w:sz="4" w:space="0" w:color="FFFFFF"/>
                  </w:tcBorders>
                  <w:shd w:val="clear" w:color="000000" w:fill="16365C"/>
                  <w:noWrap/>
                  <w:vAlign w:val="bottom"/>
                  <w:hideMark/>
                </w:tcPr>
                <w:p w14:paraId="44F83EC8"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lastRenderedPageBreak/>
                    <w:t>2019</w:t>
                  </w:r>
                </w:p>
              </w:tc>
              <w:tc>
                <w:tcPr>
                  <w:tcW w:w="1275" w:type="dxa"/>
                  <w:tcBorders>
                    <w:top w:val="nil"/>
                    <w:left w:val="nil"/>
                    <w:bottom w:val="single" w:sz="4" w:space="0" w:color="auto"/>
                    <w:right w:val="single" w:sz="4" w:space="0" w:color="auto"/>
                  </w:tcBorders>
                  <w:shd w:val="clear" w:color="auto" w:fill="auto"/>
                  <w:noWrap/>
                  <w:vAlign w:val="bottom"/>
                  <w:hideMark/>
                </w:tcPr>
                <w:p w14:paraId="028D5640"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12809</w:t>
                  </w:r>
                </w:p>
              </w:tc>
              <w:tc>
                <w:tcPr>
                  <w:tcW w:w="96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33295B1"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1011078</w:t>
                  </w:r>
                </w:p>
              </w:tc>
              <w:tc>
                <w:tcPr>
                  <w:tcW w:w="1174" w:type="dxa"/>
                  <w:tcBorders>
                    <w:top w:val="nil"/>
                    <w:left w:val="nil"/>
                    <w:bottom w:val="single" w:sz="4" w:space="0" w:color="auto"/>
                    <w:right w:val="nil"/>
                  </w:tcBorders>
                </w:tcPr>
                <w:p w14:paraId="46A562DF"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hAnsi="Times New Roman" w:cs="Times New Roman"/>
                    </w:rPr>
                    <w:t>19 562</w:t>
                  </w:r>
                </w:p>
              </w:tc>
              <w:tc>
                <w:tcPr>
                  <w:tcW w:w="1136" w:type="dxa"/>
                  <w:tcBorders>
                    <w:top w:val="nil"/>
                    <w:left w:val="nil"/>
                    <w:bottom w:val="single" w:sz="4" w:space="0" w:color="auto"/>
                    <w:right w:val="single" w:sz="4" w:space="0" w:color="auto"/>
                  </w:tcBorders>
                  <w:shd w:val="clear" w:color="auto" w:fill="auto"/>
                  <w:noWrap/>
                  <w:vAlign w:val="bottom"/>
                  <w:hideMark/>
                </w:tcPr>
                <w:p w14:paraId="51CEDEFF"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4882880</w:t>
                  </w:r>
                </w:p>
              </w:tc>
              <w:tc>
                <w:tcPr>
                  <w:tcW w:w="1045" w:type="dxa"/>
                  <w:tcBorders>
                    <w:top w:val="nil"/>
                    <w:left w:val="nil"/>
                    <w:bottom w:val="single" w:sz="4" w:space="0" w:color="auto"/>
                    <w:right w:val="single" w:sz="4" w:space="0" w:color="auto"/>
                  </w:tcBorders>
                  <w:shd w:val="clear" w:color="auto" w:fill="auto"/>
                  <w:noWrap/>
                  <w:vAlign w:val="bottom"/>
                  <w:hideMark/>
                </w:tcPr>
                <w:p w14:paraId="084DB49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2644009</w:t>
                  </w:r>
                </w:p>
              </w:tc>
              <w:tc>
                <w:tcPr>
                  <w:tcW w:w="1252" w:type="dxa"/>
                  <w:tcBorders>
                    <w:top w:val="nil"/>
                    <w:left w:val="nil"/>
                    <w:bottom w:val="single" w:sz="4" w:space="0" w:color="auto"/>
                    <w:right w:val="single" w:sz="4" w:space="0" w:color="auto"/>
                  </w:tcBorders>
                  <w:shd w:val="clear" w:color="auto" w:fill="auto"/>
                  <w:noWrap/>
                  <w:vAlign w:val="bottom"/>
                  <w:hideMark/>
                </w:tcPr>
                <w:p w14:paraId="28165B3A"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32 371</w:t>
                  </w:r>
                </w:p>
              </w:tc>
              <w:tc>
                <w:tcPr>
                  <w:tcW w:w="1008" w:type="dxa"/>
                  <w:tcBorders>
                    <w:top w:val="single" w:sz="4" w:space="0" w:color="auto"/>
                    <w:left w:val="nil"/>
                    <w:bottom w:val="single" w:sz="4" w:space="0" w:color="auto"/>
                    <w:right w:val="single" w:sz="8" w:space="0" w:color="auto"/>
                  </w:tcBorders>
                  <w:shd w:val="clear" w:color="auto" w:fill="auto"/>
                  <w:noWrap/>
                  <w:vAlign w:val="bottom"/>
                  <w:hideMark/>
                </w:tcPr>
                <w:p w14:paraId="7CB68D65"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3655087</w:t>
                  </w:r>
                </w:p>
              </w:tc>
            </w:tr>
            <w:tr w:rsidR="00AA428E" w:rsidRPr="00313721" w14:paraId="7B53801E" w14:textId="77777777" w:rsidTr="00BD5208">
              <w:trPr>
                <w:trHeight w:val="298"/>
              </w:trPr>
              <w:tc>
                <w:tcPr>
                  <w:tcW w:w="871" w:type="dxa"/>
                  <w:tcBorders>
                    <w:top w:val="single" w:sz="4" w:space="0" w:color="FFFFFF"/>
                    <w:left w:val="single" w:sz="4" w:space="0" w:color="FFFFFF"/>
                    <w:bottom w:val="single" w:sz="4" w:space="0" w:color="FFFFFF"/>
                    <w:right w:val="single" w:sz="4" w:space="0" w:color="FFFFFF"/>
                  </w:tcBorders>
                  <w:shd w:val="clear" w:color="000000" w:fill="16365C"/>
                  <w:noWrap/>
                  <w:vAlign w:val="bottom"/>
                  <w:hideMark/>
                </w:tcPr>
                <w:p w14:paraId="02BC5627"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0E41D32A"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12298</w:t>
                  </w:r>
                </w:p>
              </w:tc>
              <w:tc>
                <w:tcPr>
                  <w:tcW w:w="96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E4EB731"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995000</w:t>
                  </w:r>
                </w:p>
              </w:tc>
              <w:tc>
                <w:tcPr>
                  <w:tcW w:w="1174" w:type="dxa"/>
                  <w:tcBorders>
                    <w:top w:val="nil"/>
                    <w:left w:val="nil"/>
                    <w:bottom w:val="single" w:sz="4" w:space="0" w:color="auto"/>
                    <w:right w:val="nil"/>
                  </w:tcBorders>
                </w:tcPr>
                <w:p w14:paraId="7CD682D8"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hAnsi="Times New Roman" w:cs="Times New Roman"/>
                    </w:rPr>
                    <w:t>20 026</w:t>
                  </w:r>
                </w:p>
              </w:tc>
              <w:tc>
                <w:tcPr>
                  <w:tcW w:w="1136" w:type="dxa"/>
                  <w:tcBorders>
                    <w:top w:val="nil"/>
                    <w:left w:val="nil"/>
                    <w:bottom w:val="single" w:sz="4" w:space="0" w:color="auto"/>
                    <w:right w:val="single" w:sz="4" w:space="0" w:color="auto"/>
                  </w:tcBorders>
                  <w:shd w:val="clear" w:color="auto" w:fill="auto"/>
                  <w:noWrap/>
                  <w:vAlign w:val="bottom"/>
                  <w:hideMark/>
                </w:tcPr>
                <w:p w14:paraId="4C66A162"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5131479</w:t>
                  </w:r>
                </w:p>
              </w:tc>
              <w:tc>
                <w:tcPr>
                  <w:tcW w:w="1045" w:type="dxa"/>
                  <w:tcBorders>
                    <w:top w:val="nil"/>
                    <w:left w:val="nil"/>
                    <w:bottom w:val="single" w:sz="4" w:space="0" w:color="auto"/>
                    <w:right w:val="single" w:sz="4" w:space="0" w:color="auto"/>
                  </w:tcBorders>
                  <w:shd w:val="clear" w:color="auto" w:fill="auto"/>
                  <w:noWrap/>
                  <w:vAlign w:val="bottom"/>
                  <w:hideMark/>
                </w:tcPr>
                <w:p w14:paraId="1849F942"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2777259</w:t>
                  </w:r>
                </w:p>
              </w:tc>
              <w:tc>
                <w:tcPr>
                  <w:tcW w:w="1252" w:type="dxa"/>
                  <w:tcBorders>
                    <w:top w:val="nil"/>
                    <w:left w:val="nil"/>
                    <w:bottom w:val="single" w:sz="4" w:space="0" w:color="auto"/>
                    <w:right w:val="single" w:sz="4" w:space="0" w:color="auto"/>
                  </w:tcBorders>
                  <w:shd w:val="clear" w:color="auto" w:fill="auto"/>
                  <w:noWrap/>
                  <w:vAlign w:val="bottom"/>
                  <w:hideMark/>
                </w:tcPr>
                <w:p w14:paraId="68EC057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32 324</w:t>
                  </w:r>
                </w:p>
              </w:tc>
              <w:tc>
                <w:tcPr>
                  <w:tcW w:w="1008" w:type="dxa"/>
                  <w:tcBorders>
                    <w:top w:val="single" w:sz="4" w:space="0" w:color="auto"/>
                    <w:left w:val="nil"/>
                    <w:bottom w:val="single" w:sz="4" w:space="0" w:color="auto"/>
                    <w:right w:val="single" w:sz="8" w:space="0" w:color="auto"/>
                  </w:tcBorders>
                  <w:shd w:val="clear" w:color="auto" w:fill="auto"/>
                  <w:noWrap/>
                  <w:vAlign w:val="bottom"/>
                  <w:hideMark/>
                </w:tcPr>
                <w:p w14:paraId="419B3BD7"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2876759</w:t>
                  </w:r>
                </w:p>
              </w:tc>
            </w:tr>
            <w:tr w:rsidR="00AA428E" w:rsidRPr="00313721" w14:paraId="4FDA24D1" w14:textId="77777777" w:rsidTr="00BD5208">
              <w:trPr>
                <w:trHeight w:val="298"/>
              </w:trPr>
              <w:tc>
                <w:tcPr>
                  <w:tcW w:w="871" w:type="dxa"/>
                  <w:tcBorders>
                    <w:top w:val="single" w:sz="4" w:space="0" w:color="FFFFFF"/>
                    <w:left w:val="single" w:sz="4" w:space="0" w:color="FFFFFF"/>
                    <w:bottom w:val="single" w:sz="4" w:space="0" w:color="FFFFFF"/>
                    <w:right w:val="single" w:sz="4" w:space="0" w:color="FFFFFF"/>
                  </w:tcBorders>
                  <w:shd w:val="clear" w:color="000000" w:fill="16365C"/>
                  <w:noWrap/>
                  <w:vAlign w:val="bottom"/>
                  <w:hideMark/>
                </w:tcPr>
                <w:p w14:paraId="4D66F702"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2021</w:t>
                  </w:r>
                </w:p>
              </w:tc>
              <w:tc>
                <w:tcPr>
                  <w:tcW w:w="1275" w:type="dxa"/>
                  <w:tcBorders>
                    <w:top w:val="nil"/>
                    <w:left w:val="nil"/>
                    <w:bottom w:val="single" w:sz="4" w:space="0" w:color="auto"/>
                    <w:right w:val="single" w:sz="4" w:space="0" w:color="auto"/>
                  </w:tcBorders>
                  <w:shd w:val="clear" w:color="auto" w:fill="auto"/>
                  <w:noWrap/>
                  <w:vAlign w:val="bottom"/>
                  <w:hideMark/>
                </w:tcPr>
                <w:p w14:paraId="021EE82A"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12645</w:t>
                  </w:r>
                </w:p>
              </w:tc>
              <w:tc>
                <w:tcPr>
                  <w:tcW w:w="96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6BD3DF7"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916000</w:t>
                  </w:r>
                </w:p>
              </w:tc>
              <w:tc>
                <w:tcPr>
                  <w:tcW w:w="1174" w:type="dxa"/>
                  <w:tcBorders>
                    <w:top w:val="nil"/>
                    <w:left w:val="nil"/>
                    <w:bottom w:val="single" w:sz="4" w:space="0" w:color="auto"/>
                    <w:right w:val="nil"/>
                  </w:tcBorders>
                </w:tcPr>
                <w:p w14:paraId="54FF1B1A"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hAnsi="Times New Roman" w:cs="Times New Roman"/>
                    </w:rPr>
                    <w:t>21 182</w:t>
                  </w:r>
                </w:p>
              </w:tc>
              <w:tc>
                <w:tcPr>
                  <w:tcW w:w="1136" w:type="dxa"/>
                  <w:tcBorders>
                    <w:top w:val="nil"/>
                    <w:left w:val="nil"/>
                    <w:bottom w:val="single" w:sz="4" w:space="0" w:color="auto"/>
                    <w:right w:val="single" w:sz="4" w:space="0" w:color="auto"/>
                  </w:tcBorders>
                  <w:shd w:val="clear" w:color="auto" w:fill="auto"/>
                  <w:noWrap/>
                  <w:vAlign w:val="bottom"/>
                  <w:hideMark/>
                </w:tcPr>
                <w:p w14:paraId="59BF9447"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5544623</w:t>
                  </w:r>
                </w:p>
              </w:tc>
              <w:tc>
                <w:tcPr>
                  <w:tcW w:w="1045" w:type="dxa"/>
                  <w:tcBorders>
                    <w:top w:val="nil"/>
                    <w:left w:val="nil"/>
                    <w:bottom w:val="single" w:sz="4" w:space="0" w:color="auto"/>
                    <w:right w:val="single" w:sz="4" w:space="0" w:color="auto"/>
                  </w:tcBorders>
                  <w:shd w:val="clear" w:color="auto" w:fill="auto"/>
                  <w:noWrap/>
                  <w:vAlign w:val="bottom"/>
                  <w:hideMark/>
                </w:tcPr>
                <w:p w14:paraId="25A84DD9"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2918275</w:t>
                  </w:r>
                </w:p>
              </w:tc>
              <w:tc>
                <w:tcPr>
                  <w:tcW w:w="1252" w:type="dxa"/>
                  <w:tcBorders>
                    <w:top w:val="nil"/>
                    <w:left w:val="nil"/>
                    <w:bottom w:val="single" w:sz="4" w:space="0" w:color="auto"/>
                    <w:right w:val="single" w:sz="4" w:space="0" w:color="auto"/>
                  </w:tcBorders>
                  <w:shd w:val="clear" w:color="auto" w:fill="auto"/>
                  <w:noWrap/>
                  <w:vAlign w:val="bottom"/>
                  <w:hideMark/>
                </w:tcPr>
                <w:p w14:paraId="44BF4071"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33 827</w:t>
                  </w:r>
                </w:p>
              </w:tc>
              <w:tc>
                <w:tcPr>
                  <w:tcW w:w="1008" w:type="dxa"/>
                  <w:tcBorders>
                    <w:top w:val="single" w:sz="4" w:space="0" w:color="auto"/>
                    <w:left w:val="nil"/>
                    <w:bottom w:val="single" w:sz="4" w:space="0" w:color="auto"/>
                    <w:right w:val="single" w:sz="8" w:space="0" w:color="auto"/>
                  </w:tcBorders>
                  <w:shd w:val="clear" w:color="auto" w:fill="auto"/>
                  <w:noWrap/>
                  <w:vAlign w:val="bottom"/>
                  <w:hideMark/>
                </w:tcPr>
                <w:p w14:paraId="78181B3E"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3834275</w:t>
                  </w:r>
                </w:p>
              </w:tc>
            </w:tr>
            <w:tr w:rsidR="00AA428E" w:rsidRPr="00313721" w14:paraId="4846412B" w14:textId="77777777" w:rsidTr="00BD5208">
              <w:trPr>
                <w:trHeight w:val="298"/>
              </w:trPr>
              <w:tc>
                <w:tcPr>
                  <w:tcW w:w="871" w:type="dxa"/>
                  <w:tcBorders>
                    <w:top w:val="single" w:sz="4" w:space="0" w:color="FFFFFF"/>
                    <w:left w:val="single" w:sz="4" w:space="0" w:color="FFFFFF"/>
                    <w:bottom w:val="single" w:sz="4" w:space="0" w:color="FFFFFF"/>
                    <w:right w:val="single" w:sz="4" w:space="0" w:color="FFFFFF"/>
                  </w:tcBorders>
                  <w:shd w:val="clear" w:color="000000" w:fill="16365C"/>
                  <w:noWrap/>
                  <w:vAlign w:val="bottom"/>
                  <w:hideMark/>
                </w:tcPr>
                <w:p w14:paraId="7EC3332C"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218F299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11095</w:t>
                  </w:r>
                </w:p>
              </w:tc>
              <w:tc>
                <w:tcPr>
                  <w:tcW w:w="96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C3BD449"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835000</w:t>
                  </w:r>
                </w:p>
              </w:tc>
              <w:tc>
                <w:tcPr>
                  <w:tcW w:w="1174" w:type="dxa"/>
                  <w:tcBorders>
                    <w:top w:val="nil"/>
                    <w:left w:val="nil"/>
                    <w:bottom w:val="single" w:sz="4" w:space="0" w:color="auto"/>
                    <w:right w:val="nil"/>
                  </w:tcBorders>
                </w:tcPr>
                <w:p w14:paraId="6E4BB81A"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hAnsi="Times New Roman" w:cs="Times New Roman"/>
                    </w:rPr>
                    <w:t>23 026</w:t>
                  </w:r>
                </w:p>
              </w:tc>
              <w:tc>
                <w:tcPr>
                  <w:tcW w:w="1136" w:type="dxa"/>
                  <w:tcBorders>
                    <w:top w:val="nil"/>
                    <w:left w:val="nil"/>
                    <w:bottom w:val="single" w:sz="4" w:space="0" w:color="auto"/>
                    <w:right w:val="single" w:sz="4" w:space="0" w:color="auto"/>
                  </w:tcBorders>
                  <w:shd w:val="clear" w:color="auto" w:fill="auto"/>
                  <w:noWrap/>
                  <w:vAlign w:val="bottom"/>
                  <w:hideMark/>
                </w:tcPr>
                <w:p w14:paraId="69E2B780"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5642490</w:t>
                  </w:r>
                </w:p>
              </w:tc>
              <w:tc>
                <w:tcPr>
                  <w:tcW w:w="1045" w:type="dxa"/>
                  <w:tcBorders>
                    <w:top w:val="nil"/>
                    <w:left w:val="nil"/>
                    <w:bottom w:val="single" w:sz="4" w:space="0" w:color="auto"/>
                    <w:right w:val="single" w:sz="4" w:space="0" w:color="auto"/>
                  </w:tcBorders>
                  <w:shd w:val="clear" w:color="auto" w:fill="auto"/>
                  <w:noWrap/>
                  <w:vAlign w:val="bottom"/>
                  <w:hideMark/>
                </w:tcPr>
                <w:p w14:paraId="39A6A5A8"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2953354</w:t>
                  </w:r>
                </w:p>
              </w:tc>
              <w:tc>
                <w:tcPr>
                  <w:tcW w:w="1252" w:type="dxa"/>
                  <w:tcBorders>
                    <w:top w:val="nil"/>
                    <w:left w:val="nil"/>
                    <w:bottom w:val="single" w:sz="4" w:space="0" w:color="auto"/>
                    <w:right w:val="single" w:sz="4" w:space="0" w:color="auto"/>
                  </w:tcBorders>
                  <w:shd w:val="clear" w:color="auto" w:fill="auto"/>
                  <w:noWrap/>
                  <w:vAlign w:val="bottom"/>
                  <w:hideMark/>
                </w:tcPr>
                <w:p w14:paraId="492DF70C"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34 121</w:t>
                  </w:r>
                </w:p>
              </w:tc>
              <w:tc>
                <w:tcPr>
                  <w:tcW w:w="1008" w:type="dxa"/>
                  <w:tcBorders>
                    <w:top w:val="single" w:sz="4" w:space="0" w:color="auto"/>
                    <w:left w:val="nil"/>
                    <w:bottom w:val="single" w:sz="4" w:space="0" w:color="auto"/>
                    <w:right w:val="single" w:sz="8" w:space="0" w:color="auto"/>
                  </w:tcBorders>
                  <w:shd w:val="clear" w:color="auto" w:fill="auto"/>
                  <w:noWrap/>
                  <w:vAlign w:val="bottom"/>
                  <w:hideMark/>
                </w:tcPr>
                <w:p w14:paraId="036B591C"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3788354</w:t>
                  </w:r>
                </w:p>
              </w:tc>
            </w:tr>
            <w:tr w:rsidR="00AA428E" w:rsidRPr="00313721" w14:paraId="52900517" w14:textId="77777777" w:rsidTr="00BD5208">
              <w:trPr>
                <w:trHeight w:val="298"/>
              </w:trPr>
              <w:tc>
                <w:tcPr>
                  <w:tcW w:w="871" w:type="dxa"/>
                  <w:tcBorders>
                    <w:top w:val="single" w:sz="4" w:space="0" w:color="FFFFFF"/>
                    <w:left w:val="single" w:sz="4" w:space="0" w:color="FFFFFF"/>
                    <w:bottom w:val="single" w:sz="4" w:space="0" w:color="auto"/>
                    <w:right w:val="single" w:sz="4" w:space="0" w:color="FFFFFF"/>
                  </w:tcBorders>
                  <w:shd w:val="clear" w:color="000000" w:fill="16365C"/>
                  <w:noWrap/>
                  <w:vAlign w:val="bottom"/>
                  <w:hideMark/>
                </w:tcPr>
                <w:p w14:paraId="4A3ED8BA"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2023</w:t>
                  </w:r>
                </w:p>
              </w:tc>
              <w:tc>
                <w:tcPr>
                  <w:tcW w:w="1275" w:type="dxa"/>
                  <w:tcBorders>
                    <w:top w:val="nil"/>
                    <w:left w:val="nil"/>
                    <w:bottom w:val="single" w:sz="4" w:space="0" w:color="auto"/>
                    <w:right w:val="single" w:sz="4" w:space="0" w:color="auto"/>
                  </w:tcBorders>
                  <w:shd w:val="clear" w:color="auto" w:fill="auto"/>
                  <w:noWrap/>
                  <w:vAlign w:val="bottom"/>
                  <w:hideMark/>
                </w:tcPr>
                <w:p w14:paraId="680D23B2"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10540</w:t>
                  </w:r>
                </w:p>
              </w:tc>
              <w:tc>
                <w:tcPr>
                  <w:tcW w:w="96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B1F527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769000</w:t>
                  </w:r>
                </w:p>
              </w:tc>
              <w:tc>
                <w:tcPr>
                  <w:tcW w:w="1174" w:type="dxa"/>
                  <w:tcBorders>
                    <w:top w:val="nil"/>
                    <w:left w:val="nil"/>
                    <w:bottom w:val="single" w:sz="4" w:space="0" w:color="auto"/>
                    <w:right w:val="nil"/>
                  </w:tcBorders>
                </w:tcPr>
                <w:p w14:paraId="5BAC2B53"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hAnsi="Times New Roman" w:cs="Times New Roman"/>
                    </w:rPr>
                    <w:t>19 395</w:t>
                  </w:r>
                </w:p>
              </w:tc>
              <w:tc>
                <w:tcPr>
                  <w:tcW w:w="1136" w:type="dxa"/>
                  <w:tcBorders>
                    <w:top w:val="nil"/>
                    <w:left w:val="nil"/>
                    <w:bottom w:val="single" w:sz="4" w:space="0" w:color="auto"/>
                    <w:right w:val="single" w:sz="4" w:space="0" w:color="auto"/>
                  </w:tcBorders>
                  <w:shd w:val="clear" w:color="auto" w:fill="auto"/>
                  <w:noWrap/>
                  <w:vAlign w:val="bottom"/>
                  <w:hideMark/>
                </w:tcPr>
                <w:p w14:paraId="7706E58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5582475</w:t>
                  </w:r>
                </w:p>
              </w:tc>
              <w:tc>
                <w:tcPr>
                  <w:tcW w:w="1045" w:type="dxa"/>
                  <w:tcBorders>
                    <w:top w:val="nil"/>
                    <w:left w:val="nil"/>
                    <w:bottom w:val="single" w:sz="4" w:space="0" w:color="auto"/>
                    <w:right w:val="single" w:sz="4" w:space="0" w:color="auto"/>
                  </w:tcBorders>
                  <w:shd w:val="clear" w:color="auto" w:fill="auto"/>
                  <w:noWrap/>
                  <w:vAlign w:val="bottom"/>
                  <w:hideMark/>
                </w:tcPr>
                <w:p w14:paraId="5EA0EFE5"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2929123</w:t>
                  </w:r>
                </w:p>
              </w:tc>
              <w:tc>
                <w:tcPr>
                  <w:tcW w:w="1252" w:type="dxa"/>
                  <w:tcBorders>
                    <w:top w:val="nil"/>
                    <w:left w:val="nil"/>
                    <w:bottom w:val="single" w:sz="4" w:space="0" w:color="auto"/>
                    <w:right w:val="single" w:sz="4" w:space="0" w:color="auto"/>
                  </w:tcBorders>
                  <w:shd w:val="clear" w:color="auto" w:fill="auto"/>
                  <w:noWrap/>
                  <w:vAlign w:val="bottom"/>
                  <w:hideMark/>
                </w:tcPr>
                <w:p w14:paraId="5F1FFB55"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29 935</w:t>
                  </w:r>
                </w:p>
              </w:tc>
              <w:tc>
                <w:tcPr>
                  <w:tcW w:w="1008" w:type="dxa"/>
                  <w:tcBorders>
                    <w:top w:val="single" w:sz="4" w:space="0" w:color="auto"/>
                    <w:left w:val="nil"/>
                    <w:bottom w:val="single" w:sz="4" w:space="0" w:color="auto"/>
                    <w:right w:val="single" w:sz="8" w:space="0" w:color="auto"/>
                  </w:tcBorders>
                  <w:shd w:val="clear" w:color="auto" w:fill="auto"/>
                  <w:noWrap/>
                  <w:vAlign w:val="bottom"/>
                  <w:hideMark/>
                </w:tcPr>
                <w:p w14:paraId="68F9CF3B"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3698123</w:t>
                  </w:r>
                </w:p>
              </w:tc>
            </w:tr>
            <w:tr w:rsidR="00AA428E" w:rsidRPr="00313721" w14:paraId="6D1EF22E" w14:textId="77777777" w:rsidTr="00BD5208">
              <w:trPr>
                <w:trHeight w:val="313"/>
              </w:trPr>
              <w:tc>
                <w:tcPr>
                  <w:tcW w:w="871" w:type="dxa"/>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7A202A74" w14:textId="77777777" w:rsidR="00AA428E" w:rsidRPr="00313721" w:rsidRDefault="00AA428E" w:rsidP="00AA428E">
                  <w:pPr>
                    <w:spacing w:after="0" w:line="240" w:lineRule="auto"/>
                    <w:jc w:val="center"/>
                    <w:rPr>
                      <w:rFonts w:ascii="Times New Roman" w:eastAsia="Times New Roman" w:hAnsi="Times New Roman" w:cs="Times New Roman"/>
                      <w:b/>
                      <w:bCs/>
                      <w:color w:val="FFFFFF"/>
                      <w:lang w:eastAsia="sk-SK"/>
                    </w:rPr>
                  </w:pPr>
                  <w:r w:rsidRPr="00313721">
                    <w:rPr>
                      <w:rFonts w:ascii="Times New Roman" w:eastAsia="Times New Roman" w:hAnsi="Times New Roman" w:cs="Times New Roman"/>
                      <w:b/>
                      <w:bCs/>
                      <w:color w:val="FFFFFF"/>
                      <w:lang w:eastAsia="sk-SK"/>
                    </w:rPr>
                    <w:t>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A1F2" w14:textId="77777777" w:rsidR="00AA428E" w:rsidRPr="00313721" w:rsidRDefault="00AA428E" w:rsidP="00AA428E">
                  <w:pPr>
                    <w:spacing w:after="0" w:line="240" w:lineRule="auto"/>
                    <w:jc w:val="right"/>
                    <w:rPr>
                      <w:rFonts w:ascii="Times New Roman" w:eastAsia="Times New Roman" w:hAnsi="Times New Roman" w:cs="Times New Roman"/>
                      <w:b/>
                      <w:bCs/>
                      <w:color w:val="000000"/>
                      <w:lang w:eastAsia="sk-SK"/>
                    </w:rPr>
                  </w:pPr>
                  <w:r w:rsidRPr="00313721">
                    <w:rPr>
                      <w:rFonts w:ascii="Times New Roman" w:eastAsia="Times New Roman" w:hAnsi="Times New Roman" w:cs="Times New Roman"/>
                      <w:b/>
                      <w:bCs/>
                      <w:color w:val="FF0000"/>
                      <w:lang w:eastAsia="sk-SK"/>
                    </w:rPr>
                    <w:t>11877</w:t>
                  </w:r>
                </w:p>
              </w:tc>
              <w:tc>
                <w:tcPr>
                  <w:tcW w:w="96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6F9699DA" w14:textId="2BB6FF31" w:rsidR="00AA428E" w:rsidRPr="00313721" w:rsidRDefault="00AA428E" w:rsidP="00AA428E">
                  <w:pPr>
                    <w:spacing w:after="0" w:line="240" w:lineRule="auto"/>
                    <w:jc w:val="right"/>
                    <w:rPr>
                      <w:rFonts w:ascii="Times New Roman" w:eastAsia="Times New Roman" w:hAnsi="Times New Roman" w:cs="Times New Roman"/>
                      <w:color w:val="000000"/>
                      <w:lang w:eastAsia="sk-SK"/>
                    </w:rPr>
                  </w:pPr>
                </w:p>
              </w:tc>
              <w:tc>
                <w:tcPr>
                  <w:tcW w:w="1174" w:type="dxa"/>
                  <w:tcBorders>
                    <w:top w:val="single" w:sz="4" w:space="0" w:color="auto"/>
                    <w:left w:val="single" w:sz="4" w:space="0" w:color="auto"/>
                    <w:bottom w:val="single" w:sz="4" w:space="0" w:color="auto"/>
                    <w:right w:val="single" w:sz="4" w:space="0" w:color="auto"/>
                  </w:tcBorders>
                </w:tcPr>
                <w:p w14:paraId="7F993155" w14:textId="77777777" w:rsidR="00AA428E" w:rsidRPr="00313721" w:rsidRDefault="00AA428E" w:rsidP="00AA428E">
                  <w:pPr>
                    <w:spacing w:after="0" w:line="240" w:lineRule="auto"/>
                    <w:jc w:val="right"/>
                    <w:rPr>
                      <w:rFonts w:ascii="Times New Roman" w:eastAsia="Times New Roman" w:hAnsi="Times New Roman" w:cs="Times New Roman"/>
                      <w:b/>
                      <w:bCs/>
                      <w:color w:val="000000"/>
                      <w:lang w:eastAsia="sk-SK"/>
                    </w:rPr>
                  </w:pPr>
                  <w:r w:rsidRPr="00313721">
                    <w:rPr>
                      <w:rFonts w:ascii="Times New Roman" w:hAnsi="Times New Roman" w:cs="Times New Roman"/>
                      <w:b/>
                      <w:bCs/>
                      <w:color w:val="FF0000"/>
                    </w:rPr>
                    <w:t>20 638</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94DF" w14:textId="77777777" w:rsidR="00AA428E" w:rsidRPr="00313721" w:rsidRDefault="00AA428E" w:rsidP="00AA428E">
                  <w:pPr>
                    <w:spacing w:after="0" w:line="240" w:lineRule="auto"/>
                    <w:jc w:val="right"/>
                    <w:rPr>
                      <w:rFonts w:ascii="Times New Roman" w:eastAsia="Times New Roman" w:hAnsi="Times New Roman" w:cs="Times New Roman"/>
                      <w:color w:val="000000"/>
                      <w:lang w:eastAsia="sk-SK"/>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06C1" w14:textId="77777777" w:rsidR="00AA428E" w:rsidRPr="00313721" w:rsidRDefault="00AA428E" w:rsidP="00AA428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 </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E87D" w14:textId="77777777" w:rsidR="00AA428E" w:rsidRPr="00313721" w:rsidRDefault="00AA428E" w:rsidP="00AA428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 </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DD1A" w14:textId="77777777" w:rsidR="00AA428E" w:rsidRPr="00313721" w:rsidRDefault="00AA428E" w:rsidP="00AA428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 </w:t>
                  </w:r>
                </w:p>
              </w:tc>
            </w:tr>
            <w:tr w:rsidR="003D3D0D" w:rsidRPr="00313721" w14:paraId="3713A10A" w14:textId="77777777" w:rsidTr="00BD5208">
              <w:trPr>
                <w:trHeight w:val="313"/>
              </w:trPr>
              <w:tc>
                <w:tcPr>
                  <w:tcW w:w="871" w:type="dxa"/>
                  <w:tcBorders>
                    <w:top w:val="single" w:sz="4" w:space="0" w:color="auto"/>
                    <w:left w:val="single" w:sz="4" w:space="0" w:color="auto"/>
                    <w:bottom w:val="single" w:sz="4" w:space="0" w:color="auto"/>
                    <w:right w:val="single" w:sz="4" w:space="0" w:color="auto"/>
                  </w:tcBorders>
                  <w:shd w:val="clear" w:color="000000" w:fill="16365C"/>
                  <w:noWrap/>
                  <w:vAlign w:val="bottom"/>
                </w:tcPr>
                <w:p w14:paraId="7AC56FFF" w14:textId="26794C3E" w:rsidR="003D3D0D" w:rsidRPr="00313721" w:rsidRDefault="003D3D0D" w:rsidP="00AA428E">
                  <w:pPr>
                    <w:spacing w:after="0" w:line="240" w:lineRule="auto"/>
                    <w:jc w:val="center"/>
                    <w:rPr>
                      <w:rFonts w:ascii="Times New Roman" w:eastAsia="Times New Roman" w:hAnsi="Times New Roman" w:cs="Times New Roman"/>
                      <w:b/>
                      <w:bCs/>
                      <w:color w:val="FFFFFF"/>
                      <w:sz w:val="20"/>
                      <w:szCs w:val="20"/>
                      <w:lang w:eastAsia="sk-SK"/>
                    </w:rPr>
                  </w:pPr>
                  <w:r w:rsidRPr="00313721">
                    <w:rPr>
                      <w:rFonts w:ascii="Times New Roman" w:eastAsia="Times New Roman" w:hAnsi="Times New Roman" w:cs="Times New Roman"/>
                      <w:b/>
                      <w:bCs/>
                      <w:color w:val="FFFFFF"/>
                      <w:sz w:val="20"/>
                      <w:szCs w:val="20"/>
                      <w:lang w:eastAsia="sk-SK"/>
                    </w:rPr>
                    <w:t xml:space="preserve">95% z Ø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675B0" w14:textId="7686234A" w:rsidR="003D3D0D" w:rsidRPr="00313721" w:rsidRDefault="003D3D0D" w:rsidP="00BD5208">
                  <w:pPr>
                    <w:spacing w:after="0" w:line="240" w:lineRule="auto"/>
                    <w:jc w:val="right"/>
                    <w:rPr>
                      <w:rFonts w:ascii="Times New Roman" w:eastAsia="Times New Roman" w:hAnsi="Times New Roman" w:cs="Times New Roman"/>
                      <w:b/>
                      <w:bCs/>
                      <w:color w:val="FF0000"/>
                      <w:lang w:eastAsia="sk-SK"/>
                    </w:rPr>
                  </w:pPr>
                  <w:r w:rsidRPr="00313721">
                    <w:rPr>
                      <w:rFonts w:ascii="Times New Roman" w:eastAsia="Times New Roman" w:hAnsi="Times New Roman" w:cs="Times New Roman"/>
                      <w:b/>
                      <w:bCs/>
                      <w:color w:val="FF0000"/>
                      <w:lang w:eastAsia="sk-SK"/>
                    </w:rPr>
                    <w:t>11283,15</w:t>
                  </w:r>
                </w:p>
              </w:tc>
              <w:tc>
                <w:tcPr>
                  <w:tcW w:w="96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CBD91B8" w14:textId="77777777" w:rsidR="003D3D0D" w:rsidRPr="00313721" w:rsidRDefault="003D3D0D" w:rsidP="00AA428E">
                  <w:pPr>
                    <w:spacing w:after="0" w:line="240" w:lineRule="auto"/>
                    <w:jc w:val="right"/>
                    <w:rPr>
                      <w:rFonts w:ascii="Times New Roman" w:eastAsia="Times New Roman" w:hAnsi="Times New Roman" w:cs="Times New Roman"/>
                      <w:color w:val="000000"/>
                      <w:lang w:eastAsia="sk-SK"/>
                    </w:rPr>
                  </w:pPr>
                </w:p>
              </w:tc>
              <w:tc>
                <w:tcPr>
                  <w:tcW w:w="1174" w:type="dxa"/>
                  <w:tcBorders>
                    <w:top w:val="single" w:sz="4" w:space="0" w:color="auto"/>
                    <w:left w:val="single" w:sz="4" w:space="0" w:color="auto"/>
                    <w:bottom w:val="single" w:sz="4" w:space="0" w:color="auto"/>
                    <w:right w:val="single" w:sz="4" w:space="0" w:color="auto"/>
                  </w:tcBorders>
                </w:tcPr>
                <w:p w14:paraId="5F8BFCD5" w14:textId="3B0FA586" w:rsidR="003D3D0D" w:rsidRPr="00313721" w:rsidRDefault="003D3D0D" w:rsidP="00BD5208">
                  <w:pPr>
                    <w:spacing w:after="0" w:line="240" w:lineRule="auto"/>
                    <w:jc w:val="right"/>
                    <w:rPr>
                      <w:rFonts w:ascii="Times New Roman" w:hAnsi="Times New Roman" w:cs="Times New Roman"/>
                      <w:b/>
                      <w:bCs/>
                      <w:color w:val="FF0000"/>
                    </w:rPr>
                  </w:pPr>
                  <w:r w:rsidRPr="00313721">
                    <w:rPr>
                      <w:rFonts w:ascii="Times New Roman" w:hAnsi="Times New Roman" w:cs="Times New Roman"/>
                      <w:b/>
                      <w:bCs/>
                      <w:color w:val="FF0000"/>
                    </w:rPr>
                    <w:t>19 606,1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F720A" w14:textId="77777777" w:rsidR="003D3D0D" w:rsidRPr="00313721" w:rsidRDefault="003D3D0D" w:rsidP="00AA428E">
                  <w:pPr>
                    <w:spacing w:after="0" w:line="240" w:lineRule="auto"/>
                    <w:jc w:val="right"/>
                    <w:rPr>
                      <w:rFonts w:ascii="Times New Roman" w:eastAsia="Times New Roman" w:hAnsi="Times New Roman" w:cs="Times New Roman"/>
                      <w:color w:val="000000"/>
                      <w:lang w:eastAsia="sk-SK"/>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6AA60" w14:textId="77777777" w:rsidR="003D3D0D" w:rsidRPr="00313721" w:rsidRDefault="003D3D0D" w:rsidP="00AA428E">
                  <w:pPr>
                    <w:spacing w:after="0" w:line="240" w:lineRule="auto"/>
                    <w:rPr>
                      <w:rFonts w:ascii="Times New Roman" w:eastAsia="Times New Roman" w:hAnsi="Times New Roman" w:cs="Times New Roman"/>
                      <w:color w:val="000000"/>
                      <w:lang w:eastAsia="sk-SK"/>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2D5F5" w14:textId="77777777" w:rsidR="003D3D0D" w:rsidRPr="00313721" w:rsidRDefault="003D3D0D" w:rsidP="00AA428E">
                  <w:pPr>
                    <w:spacing w:after="0" w:line="240" w:lineRule="auto"/>
                    <w:rPr>
                      <w:rFonts w:ascii="Times New Roman" w:eastAsia="Times New Roman" w:hAnsi="Times New Roman" w:cs="Times New Roman"/>
                      <w:color w:val="000000"/>
                      <w:lang w:eastAsia="sk-SK"/>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CA81" w14:textId="77777777" w:rsidR="003D3D0D" w:rsidRPr="00313721" w:rsidRDefault="003D3D0D" w:rsidP="00AA428E">
                  <w:pPr>
                    <w:spacing w:after="0" w:line="240" w:lineRule="auto"/>
                    <w:rPr>
                      <w:rFonts w:ascii="Times New Roman" w:eastAsia="Times New Roman" w:hAnsi="Times New Roman" w:cs="Times New Roman"/>
                      <w:color w:val="000000"/>
                      <w:lang w:eastAsia="sk-SK"/>
                    </w:rPr>
                  </w:pPr>
                </w:p>
              </w:tc>
            </w:tr>
          </w:tbl>
          <w:p w14:paraId="74A2ED84" w14:textId="77777777" w:rsidR="00AA428E" w:rsidRPr="00313721" w:rsidRDefault="00AA428E" w:rsidP="00AA428E">
            <w:pPr>
              <w:ind w:right="-680"/>
              <w:jc w:val="both"/>
              <w:rPr>
                <w:rFonts w:ascii="Times New Roman" w:hAnsi="Times New Roman" w:cs="Times New Roman"/>
                <w:b/>
              </w:rPr>
            </w:pPr>
            <w:r w:rsidRPr="00313721">
              <w:rPr>
                <w:rFonts w:ascii="Times New Roman" w:hAnsi="Times New Roman" w:cs="Times New Roman"/>
                <w:b/>
              </w:rPr>
              <w:t xml:space="preserve">Zdroj: Interné štatistiky ÚPV SR, vnútorný informačný systém </w:t>
            </w:r>
            <w:proofErr w:type="spellStart"/>
            <w:r w:rsidRPr="00313721">
              <w:rPr>
                <w:rFonts w:ascii="Times New Roman" w:hAnsi="Times New Roman" w:cs="Times New Roman"/>
                <w:b/>
              </w:rPr>
              <w:t>Fabasoft</w:t>
            </w:r>
            <w:proofErr w:type="spellEnd"/>
            <w:r w:rsidRPr="00313721">
              <w:rPr>
                <w:rFonts w:ascii="Times New Roman" w:hAnsi="Times New Roman" w:cs="Times New Roman"/>
                <w:b/>
              </w:rPr>
              <w:t xml:space="preserve">, </w:t>
            </w:r>
            <w:hyperlink r:id="rId12" w:history="1">
              <w:r w:rsidRPr="00313721">
                <w:rPr>
                  <w:rStyle w:val="Hypertextovprepojenie"/>
                  <w:rFonts w:ascii="Times New Roman" w:hAnsi="Times New Roman" w:cs="Times New Roman"/>
                  <w:b/>
                </w:rPr>
                <w:t>výročné správy ÚPV SR</w:t>
              </w:r>
            </w:hyperlink>
            <w:r w:rsidRPr="00313721">
              <w:rPr>
                <w:rFonts w:ascii="Times New Roman" w:hAnsi="Times New Roman" w:cs="Times New Roman"/>
                <w:b/>
              </w:rPr>
              <w:t xml:space="preserve"> </w:t>
            </w:r>
          </w:p>
          <w:p w14:paraId="297EE115" w14:textId="77777777" w:rsidR="00AA428E" w:rsidRPr="00313721" w:rsidRDefault="00AA428E" w:rsidP="00AA428E">
            <w:pPr>
              <w:ind w:right="-680"/>
              <w:jc w:val="both"/>
              <w:rPr>
                <w:rFonts w:ascii="Times New Roman" w:hAnsi="Times New Roman" w:cs="Times New Roman"/>
                <w:b/>
              </w:rPr>
            </w:pPr>
          </w:p>
          <w:p w14:paraId="4481B525" w14:textId="7FD554CE" w:rsidR="00CD7B8C" w:rsidRPr="00313721" w:rsidRDefault="00AA428E" w:rsidP="00CD7B8C">
            <w:pPr>
              <w:tabs>
                <w:tab w:val="num" w:pos="1080"/>
              </w:tabs>
              <w:jc w:val="both"/>
              <w:rPr>
                <w:rFonts w:ascii="Times New Roman" w:hAnsi="Times New Roman" w:cs="Times New Roman"/>
                <w:bCs/>
              </w:rPr>
            </w:pPr>
            <w:r w:rsidRPr="00313721">
              <w:rPr>
                <w:rFonts w:ascii="Times New Roman" w:hAnsi="Times New Roman" w:cs="Times New Roman"/>
                <w:bCs/>
              </w:rPr>
              <w:t xml:space="preserve">V súvislosti s úpravami sadzieb správnych poplatkov sa predpokladá finančná záťaž </w:t>
            </w:r>
            <w:r w:rsidR="00BD5208" w:rsidRPr="00313721">
              <w:rPr>
                <w:rFonts w:ascii="Times New Roman" w:hAnsi="Times New Roman" w:cs="Times New Roman"/>
                <w:bCs/>
              </w:rPr>
              <w:t xml:space="preserve">na podnikateľské prostredie </w:t>
            </w:r>
            <w:r w:rsidRPr="00313721">
              <w:rPr>
                <w:rFonts w:ascii="Times New Roman" w:hAnsi="Times New Roman" w:cs="Times New Roman"/>
                <w:bCs/>
              </w:rPr>
              <w:t xml:space="preserve">vo výške </w:t>
            </w:r>
            <w:r w:rsidR="00E90D1E" w:rsidRPr="00313721">
              <w:rPr>
                <w:rFonts w:ascii="Times New Roman" w:eastAsia="Times New Roman" w:hAnsi="Times New Roman" w:cs="Times New Roman"/>
                <w:color w:val="000000"/>
                <w:lang w:eastAsia="sk-SK"/>
              </w:rPr>
              <w:t>190 112</w:t>
            </w:r>
            <w:r w:rsidRPr="00313721">
              <w:rPr>
                <w:rFonts w:ascii="Times New Roman" w:hAnsi="Times New Roman" w:cs="Times New Roman"/>
                <w:bCs/>
              </w:rPr>
              <w:t xml:space="preserve"> € a v súvislosti s úpravami sadzieb udržiavacích poplatkov vo výške 1</w:t>
            </w:r>
            <w:r w:rsidR="00F765F6" w:rsidRPr="00313721">
              <w:rPr>
                <w:rFonts w:ascii="Times New Roman" w:hAnsi="Times New Roman" w:cs="Times New Roman"/>
                <w:bCs/>
              </w:rPr>
              <w:t> </w:t>
            </w:r>
            <w:r w:rsidRPr="00313721">
              <w:rPr>
                <w:rFonts w:ascii="Times New Roman" w:hAnsi="Times New Roman" w:cs="Times New Roman"/>
                <w:bCs/>
              </w:rPr>
              <w:t>0</w:t>
            </w:r>
            <w:r w:rsidR="00F765F6" w:rsidRPr="00313721">
              <w:rPr>
                <w:rFonts w:ascii="Times New Roman" w:hAnsi="Times New Roman" w:cs="Times New Roman"/>
                <w:bCs/>
              </w:rPr>
              <w:t>39 018</w:t>
            </w:r>
            <w:r w:rsidRPr="00313721">
              <w:rPr>
                <w:rFonts w:ascii="Times New Roman" w:hAnsi="Times New Roman" w:cs="Times New Roman"/>
                <w:bCs/>
              </w:rPr>
              <w:t xml:space="preserve"> € ročne</w:t>
            </w:r>
            <w:r w:rsidR="00BD5208" w:rsidRPr="00313721">
              <w:rPr>
                <w:rFonts w:ascii="Times New Roman" w:hAnsi="Times New Roman" w:cs="Times New Roman"/>
                <w:bCs/>
              </w:rPr>
              <w:t xml:space="preserve">. </w:t>
            </w:r>
            <w:r w:rsidR="00CD7B8C" w:rsidRPr="00313721">
              <w:rPr>
                <w:rFonts w:ascii="Times New Roman" w:hAnsi="Times New Roman" w:cs="Times New Roman"/>
                <w:bCs/>
              </w:rPr>
              <w:t xml:space="preserve">Z hľadiska identifikácie nákladov na strane podnikateľského prostredia predkladateľ zaradil všetky identifikované vplyvy, ktoré sú aj súčasťou Kalkulačky nákladov medzi priame náklady v kategórii B. Iné poplatky. </w:t>
            </w:r>
          </w:p>
          <w:p w14:paraId="7B37051C" w14:textId="08CC07CC" w:rsidR="004F4982" w:rsidRPr="00313721" w:rsidRDefault="004F4982" w:rsidP="00CD7B8C">
            <w:pPr>
              <w:tabs>
                <w:tab w:val="num" w:pos="1080"/>
              </w:tabs>
              <w:jc w:val="both"/>
              <w:rPr>
                <w:rFonts w:ascii="Times New Roman" w:hAnsi="Times New Roman" w:cs="Times New Roman"/>
                <w:bCs/>
              </w:rPr>
            </w:pPr>
          </w:p>
          <w:p w14:paraId="13DF9CC6" w14:textId="76F511F6" w:rsidR="007349D2" w:rsidRPr="00313721" w:rsidRDefault="004F4982" w:rsidP="004F4982">
            <w:pPr>
              <w:jc w:val="both"/>
              <w:rPr>
                <w:rFonts w:ascii="Times New Roman" w:hAnsi="Times New Roman" w:cs="Times New Roman"/>
              </w:rPr>
            </w:pPr>
            <w:r w:rsidRPr="00313721">
              <w:rPr>
                <w:rFonts w:ascii="Times New Roman" w:hAnsi="Times New Roman" w:cs="Times New Roman"/>
              </w:rPr>
              <w:t xml:space="preserve">Popis jednotlivých navrhovaných sadzieb správnych poplatkov z hľadiska ich dopadu na podnikateľské prostredie ako celok a zároveň na jedného podnikateľa je súčasťou samostatnej prílohy (tabuľka Excel – správne </w:t>
            </w:r>
            <w:proofErr w:type="spellStart"/>
            <w:r w:rsidRPr="00313721">
              <w:rPr>
                <w:rFonts w:ascii="Times New Roman" w:hAnsi="Times New Roman" w:cs="Times New Roman"/>
              </w:rPr>
              <w:t>poplatky_vplyvy</w:t>
            </w:r>
            <w:proofErr w:type="spellEnd"/>
            <w:r w:rsidRPr="00313721">
              <w:rPr>
                <w:rFonts w:ascii="Times New Roman" w:hAnsi="Times New Roman" w:cs="Times New Roman"/>
              </w:rPr>
              <w:t xml:space="preserve">). Predkladateľ </w:t>
            </w:r>
            <w:r w:rsidR="007349D2" w:rsidRPr="00313721">
              <w:rPr>
                <w:rFonts w:ascii="Times New Roman" w:hAnsi="Times New Roman" w:cs="Times New Roman"/>
              </w:rPr>
              <w:t xml:space="preserve">na účely vyčíslenia predpokladaného vplyvu na PP </w:t>
            </w:r>
          </w:p>
          <w:p w14:paraId="412F4430" w14:textId="32AC1B18" w:rsidR="007349D2" w:rsidRPr="00313721" w:rsidRDefault="007349D2" w:rsidP="007349D2">
            <w:pPr>
              <w:pStyle w:val="Odsekzoznamu"/>
              <w:numPr>
                <w:ilvl w:val="0"/>
                <w:numId w:val="35"/>
              </w:numPr>
              <w:jc w:val="both"/>
              <w:rPr>
                <w:rFonts w:ascii="Times New Roman" w:hAnsi="Times New Roman" w:cs="Times New Roman"/>
              </w:rPr>
            </w:pPr>
            <w:r w:rsidRPr="00313721">
              <w:rPr>
                <w:rFonts w:ascii="Times New Roman" w:hAnsi="Times New Roman" w:cs="Times New Roman"/>
              </w:rPr>
              <w:t>vychádzal z</w:t>
            </w:r>
            <w:r w:rsidR="00E90D1E" w:rsidRPr="00313721">
              <w:rPr>
                <w:rFonts w:ascii="Times New Roman" w:hAnsi="Times New Roman" w:cs="Times New Roman"/>
              </w:rPr>
              <w:t xml:space="preserve"> priemerného </w:t>
            </w:r>
            <w:r w:rsidRPr="00313721">
              <w:rPr>
                <w:rFonts w:ascii="Times New Roman" w:hAnsi="Times New Roman" w:cs="Times New Roman"/>
              </w:rPr>
              <w:t>poč</w:t>
            </w:r>
            <w:r w:rsidR="00E90D1E" w:rsidRPr="00313721">
              <w:rPr>
                <w:rFonts w:ascii="Times New Roman" w:hAnsi="Times New Roman" w:cs="Times New Roman"/>
              </w:rPr>
              <w:t xml:space="preserve">tu spracovaných </w:t>
            </w:r>
            <w:r w:rsidRPr="00313721">
              <w:rPr>
                <w:rFonts w:ascii="Times New Roman" w:hAnsi="Times New Roman" w:cs="Times New Roman"/>
              </w:rPr>
              <w:t>správny</w:t>
            </w:r>
            <w:r w:rsidR="00E90D1E" w:rsidRPr="00313721">
              <w:rPr>
                <w:rFonts w:ascii="Times New Roman" w:hAnsi="Times New Roman" w:cs="Times New Roman"/>
              </w:rPr>
              <w:t>ch</w:t>
            </w:r>
            <w:r w:rsidRPr="00313721">
              <w:rPr>
                <w:rFonts w:ascii="Times New Roman" w:hAnsi="Times New Roman" w:cs="Times New Roman"/>
              </w:rPr>
              <w:t xml:space="preserve"> poplatk</w:t>
            </w:r>
            <w:r w:rsidR="00E90D1E" w:rsidRPr="00313721">
              <w:rPr>
                <w:rFonts w:ascii="Times New Roman" w:hAnsi="Times New Roman" w:cs="Times New Roman"/>
              </w:rPr>
              <w:t>ov</w:t>
            </w:r>
            <w:r w:rsidRPr="00313721">
              <w:rPr>
                <w:rFonts w:ascii="Times New Roman" w:hAnsi="Times New Roman" w:cs="Times New Roman"/>
              </w:rPr>
              <w:t xml:space="preserve"> za rok</w:t>
            </w:r>
            <w:r w:rsidR="00E90D1E" w:rsidRPr="00313721">
              <w:rPr>
                <w:rFonts w:ascii="Times New Roman" w:hAnsi="Times New Roman" w:cs="Times New Roman"/>
              </w:rPr>
              <w:t>y</w:t>
            </w:r>
            <w:r w:rsidRPr="00313721">
              <w:rPr>
                <w:rFonts w:ascii="Times New Roman" w:hAnsi="Times New Roman" w:cs="Times New Roman"/>
              </w:rPr>
              <w:t xml:space="preserve"> </w:t>
            </w:r>
            <w:r w:rsidR="00E90D1E" w:rsidRPr="00313721">
              <w:rPr>
                <w:rFonts w:ascii="Times New Roman" w:hAnsi="Times New Roman" w:cs="Times New Roman"/>
              </w:rPr>
              <w:t xml:space="preserve">2019 až </w:t>
            </w:r>
            <w:r w:rsidRPr="00313721">
              <w:rPr>
                <w:rFonts w:ascii="Times New Roman" w:hAnsi="Times New Roman" w:cs="Times New Roman"/>
              </w:rPr>
              <w:t>2023 (počet stotožnil s očakávaným počtom v nasledujúcom období)</w:t>
            </w:r>
            <w:r w:rsidR="00725D18" w:rsidRPr="00313721">
              <w:rPr>
                <w:rFonts w:ascii="Times New Roman" w:hAnsi="Times New Roman" w:cs="Times New Roman"/>
              </w:rPr>
              <w:t xml:space="preserve"> a údaj o početnos</w:t>
            </w:r>
            <w:r w:rsidR="00E90D1E" w:rsidRPr="00313721">
              <w:rPr>
                <w:rFonts w:ascii="Times New Roman" w:hAnsi="Times New Roman" w:cs="Times New Roman"/>
              </w:rPr>
              <w:t>ti</w:t>
            </w:r>
            <w:r w:rsidR="00725D18" w:rsidRPr="00313721">
              <w:rPr>
                <w:rFonts w:ascii="Times New Roman" w:hAnsi="Times New Roman" w:cs="Times New Roman"/>
              </w:rPr>
              <w:t xml:space="preserve"> krátil o 5 % tak, aby zohľadnil skutočnosť, že cca 95 % subjektov je podnikateľov</w:t>
            </w:r>
            <w:r w:rsidRPr="00313721">
              <w:rPr>
                <w:rFonts w:ascii="Times New Roman" w:hAnsi="Times New Roman" w:cs="Times New Roman"/>
              </w:rPr>
              <w:t>,</w:t>
            </w:r>
          </w:p>
          <w:p w14:paraId="3ABF1562" w14:textId="77777777" w:rsidR="007349D2" w:rsidRPr="00313721" w:rsidRDefault="004F4982" w:rsidP="007349D2">
            <w:pPr>
              <w:pStyle w:val="Odsekzoznamu"/>
              <w:numPr>
                <w:ilvl w:val="0"/>
                <w:numId w:val="35"/>
              </w:numPr>
              <w:jc w:val="both"/>
              <w:rPr>
                <w:rFonts w:ascii="Times New Roman" w:hAnsi="Times New Roman" w:cs="Times New Roman"/>
              </w:rPr>
            </w:pPr>
            <w:r w:rsidRPr="00313721">
              <w:rPr>
                <w:rFonts w:ascii="Times New Roman" w:hAnsi="Times New Roman" w:cs="Times New Roman"/>
              </w:rPr>
              <w:t>porovnal rozdiel navrhovanej výšky sadzby správneho poplatku oproti aktuálnej výške správneho poplatku</w:t>
            </w:r>
            <w:r w:rsidR="007349D2" w:rsidRPr="00313721">
              <w:rPr>
                <w:rFonts w:ascii="Times New Roman" w:hAnsi="Times New Roman" w:cs="Times New Roman"/>
              </w:rPr>
              <w:t xml:space="preserve"> (dopad na 1 podnikateľa)</w:t>
            </w:r>
            <w:r w:rsidRPr="00313721">
              <w:rPr>
                <w:rFonts w:ascii="Times New Roman" w:hAnsi="Times New Roman" w:cs="Times New Roman"/>
              </w:rPr>
              <w:t xml:space="preserve">, </w:t>
            </w:r>
          </w:p>
          <w:p w14:paraId="79EE39D9" w14:textId="4CA90189" w:rsidR="00F85887" w:rsidRPr="00313721" w:rsidRDefault="00E90D1E" w:rsidP="004A73E3">
            <w:pPr>
              <w:pStyle w:val="Odsekzoznamu"/>
              <w:numPr>
                <w:ilvl w:val="0"/>
                <w:numId w:val="35"/>
              </w:numPr>
              <w:tabs>
                <w:tab w:val="num" w:pos="1080"/>
              </w:tabs>
              <w:jc w:val="both"/>
              <w:rPr>
                <w:rFonts w:ascii="Times New Roman" w:hAnsi="Times New Roman" w:cs="Times New Roman"/>
                <w:bCs/>
              </w:rPr>
            </w:pPr>
            <w:r w:rsidRPr="00313721">
              <w:rPr>
                <w:rFonts w:ascii="Times New Roman" w:hAnsi="Times New Roman" w:cs="Times New Roman"/>
              </w:rPr>
              <w:t>pri jednotlivých sad</w:t>
            </w:r>
            <w:r w:rsidR="00BF7438" w:rsidRPr="00313721">
              <w:rPr>
                <w:rFonts w:ascii="Times New Roman" w:hAnsi="Times New Roman" w:cs="Times New Roman"/>
              </w:rPr>
              <w:t>z</w:t>
            </w:r>
            <w:r w:rsidRPr="00313721">
              <w:rPr>
                <w:rFonts w:ascii="Times New Roman" w:hAnsi="Times New Roman" w:cs="Times New Roman"/>
              </w:rPr>
              <w:t xml:space="preserve">bách správnych poplatkov </w:t>
            </w:r>
            <w:r w:rsidR="007349D2" w:rsidRPr="00313721">
              <w:rPr>
                <w:rFonts w:ascii="Times New Roman" w:hAnsi="Times New Roman" w:cs="Times New Roman"/>
              </w:rPr>
              <w:t xml:space="preserve">zohľadnil </w:t>
            </w:r>
            <w:r w:rsidR="00C80D13" w:rsidRPr="00313721">
              <w:rPr>
                <w:rFonts w:ascii="Times New Roman" w:hAnsi="Times New Roman" w:cs="Times New Roman"/>
              </w:rPr>
              <w:t xml:space="preserve">reálnu </w:t>
            </w:r>
            <w:r w:rsidR="007349D2" w:rsidRPr="00313721">
              <w:rPr>
                <w:rFonts w:ascii="Times New Roman" w:hAnsi="Times New Roman" w:cs="Times New Roman"/>
              </w:rPr>
              <w:t xml:space="preserve">mieru využívania elektronických služieb vo vzťahu k listinnej komunikácii s ÚPV SR </w:t>
            </w:r>
            <w:r w:rsidRPr="00313721">
              <w:rPr>
                <w:rFonts w:ascii="Times New Roman" w:hAnsi="Times New Roman" w:cs="Times New Roman"/>
              </w:rPr>
              <w:t xml:space="preserve">v roku 2023 </w:t>
            </w:r>
            <w:r w:rsidR="0015517E" w:rsidRPr="00313721">
              <w:rPr>
                <w:rFonts w:ascii="Times New Roman" w:hAnsi="Times New Roman" w:cs="Times New Roman"/>
              </w:rPr>
              <w:t xml:space="preserve">na účely výpočtu vplyvu zníženej </w:t>
            </w:r>
            <w:r w:rsidR="007349D2" w:rsidRPr="00313721">
              <w:rPr>
                <w:rFonts w:ascii="Times New Roman" w:hAnsi="Times New Roman" w:cs="Times New Roman"/>
              </w:rPr>
              <w:t>sadzb</w:t>
            </w:r>
            <w:r w:rsidRPr="00313721">
              <w:rPr>
                <w:rFonts w:ascii="Times New Roman" w:hAnsi="Times New Roman" w:cs="Times New Roman"/>
              </w:rPr>
              <w:t>y</w:t>
            </w:r>
            <w:r w:rsidR="007349D2" w:rsidRPr="00313721">
              <w:rPr>
                <w:rFonts w:ascii="Times New Roman" w:hAnsi="Times New Roman" w:cs="Times New Roman"/>
              </w:rPr>
              <w:t xml:space="preserve"> správneho poplatku</w:t>
            </w:r>
            <w:r w:rsidR="0015517E" w:rsidRPr="00313721">
              <w:rPr>
                <w:rFonts w:ascii="Times New Roman" w:hAnsi="Times New Roman" w:cs="Times New Roman"/>
              </w:rPr>
              <w:t xml:space="preserve"> za elektronické podania</w:t>
            </w:r>
            <w:r w:rsidR="00725D18" w:rsidRPr="00313721">
              <w:rPr>
                <w:rFonts w:ascii="Times New Roman" w:hAnsi="Times New Roman" w:cs="Times New Roman"/>
              </w:rPr>
              <w:t xml:space="preserve">. </w:t>
            </w:r>
          </w:p>
          <w:p w14:paraId="201A5007" w14:textId="77777777" w:rsidR="007349D2" w:rsidRPr="00313721" w:rsidRDefault="007349D2" w:rsidP="007349D2">
            <w:pPr>
              <w:pStyle w:val="Odsekzoznamu"/>
              <w:tabs>
                <w:tab w:val="num" w:pos="1080"/>
              </w:tabs>
              <w:jc w:val="both"/>
              <w:rPr>
                <w:rFonts w:ascii="Times New Roman" w:hAnsi="Times New Roman" w:cs="Times New Roman"/>
                <w:bCs/>
              </w:rPr>
            </w:pPr>
          </w:p>
          <w:p w14:paraId="5C299066" w14:textId="77BC76C0" w:rsidR="000D1259" w:rsidRPr="00313721" w:rsidRDefault="000D1259" w:rsidP="000D1259">
            <w:pPr>
              <w:jc w:val="both"/>
              <w:rPr>
                <w:rFonts w:ascii="Times New Roman" w:hAnsi="Times New Roman" w:cs="Times New Roman"/>
                <w:bCs/>
              </w:rPr>
            </w:pPr>
            <w:r w:rsidRPr="00313721">
              <w:rPr>
                <w:rFonts w:ascii="Times New Roman" w:hAnsi="Times New Roman" w:cs="Times New Roman"/>
                <w:bCs/>
              </w:rPr>
              <w:t xml:space="preserve">Predkladateľ dopĺňa, že s účinnosťou od 1.4.2024 na základe zákona č. </w:t>
            </w:r>
            <w:r w:rsidRPr="00313721">
              <w:rPr>
                <w:rFonts w:ascii="Times New Roman" w:hAnsi="Times New Roman" w:cs="Times New Roman"/>
                <w:color w:val="000000"/>
              </w:rPr>
              <w:t>530/2023 Z. z., ktorým sa menia a dopĺňajú niektoré zákony v súvislosti so zlepšením stavu verejných financií, konkrétne článku IV., ktorým došlo k zmene zákona NR SR č. 145/1995 Z. z. o správnych poplatkoch, d</w:t>
            </w:r>
            <w:r w:rsidRPr="00313721">
              <w:rPr>
                <w:rFonts w:ascii="Times New Roman" w:hAnsi="Times New Roman" w:cs="Times New Roman"/>
                <w:bCs/>
              </w:rPr>
              <w:t>ošlo k úprave výšky zľavy poskytovanej pri návrhoch podaných elektronickými prostriedkami, pri zachovaní 50 % zníženia sadzby správneho poplatku, so stanovením maximálneho zníženia výslednej sumy zo 70 € na 50 €. V nadväznosti na uvedenú legislatívnu zmenu predkladateľ očakáva pozitívny dopad zmeny tejto regulácie na výšku vybraných správnych poplatkov za rok 2024 (</w:t>
            </w:r>
            <w:r w:rsidR="0015517E" w:rsidRPr="00313721">
              <w:rPr>
                <w:rFonts w:ascii="Times New Roman" w:hAnsi="Times New Roman" w:cs="Times New Roman"/>
                <w:bCs/>
              </w:rPr>
              <w:t xml:space="preserve">tento </w:t>
            </w:r>
            <w:r w:rsidR="001300F8" w:rsidRPr="00313721">
              <w:rPr>
                <w:rFonts w:ascii="Times New Roman" w:hAnsi="Times New Roman" w:cs="Times New Roman"/>
                <w:bCs/>
              </w:rPr>
              <w:t>dopad však nezakladá vplyv na základe predkladaného návrhu zákona, preto predkladateľ pri výpočte vplyvu vychádzal z údajov za rok 2023)</w:t>
            </w:r>
            <w:r w:rsidR="008D3ACD" w:rsidRPr="00313721">
              <w:rPr>
                <w:rFonts w:ascii="Times New Roman" w:hAnsi="Times New Roman" w:cs="Times New Roman"/>
                <w:bCs/>
              </w:rPr>
              <w:t>. A</w:t>
            </w:r>
            <w:r w:rsidRPr="00313721">
              <w:rPr>
                <w:rFonts w:ascii="Times New Roman" w:hAnsi="Times New Roman" w:cs="Times New Roman"/>
                <w:bCs/>
              </w:rPr>
              <w:t xml:space="preserve">však s ohľadom na vysoký podiel podaní adresovaných ÚPV SR realizovaných elektronickými prostriedkami a výšku jednotlivých správnych poplatkov, pričom viaceré z nich nedosahujú ani výšku maximálneho zníženia výslednej sumy (50 €), a teda v plnej miere sa na </w:t>
            </w:r>
            <w:proofErr w:type="spellStart"/>
            <w:r w:rsidRPr="00313721">
              <w:rPr>
                <w:rFonts w:ascii="Times New Roman" w:hAnsi="Times New Roman" w:cs="Times New Roman"/>
                <w:bCs/>
              </w:rPr>
              <w:t>ne</w:t>
            </w:r>
            <w:proofErr w:type="spellEnd"/>
            <w:r w:rsidRPr="00313721">
              <w:rPr>
                <w:rFonts w:ascii="Times New Roman" w:hAnsi="Times New Roman" w:cs="Times New Roman"/>
                <w:bCs/>
              </w:rPr>
              <w:t xml:space="preserve"> naďalej vzťahuje 50 % zníženie celkového poplatku v prípade podania návrhu elektronickými prostriedkami, je a naďalej </w:t>
            </w:r>
            <w:r w:rsidR="008D3ACD" w:rsidRPr="00313721">
              <w:rPr>
                <w:rFonts w:ascii="Times New Roman" w:hAnsi="Times New Roman" w:cs="Times New Roman"/>
                <w:bCs/>
              </w:rPr>
              <w:t xml:space="preserve">aj </w:t>
            </w:r>
            <w:r w:rsidRPr="00313721">
              <w:rPr>
                <w:rFonts w:ascii="Times New Roman" w:hAnsi="Times New Roman" w:cs="Times New Roman"/>
                <w:bCs/>
              </w:rPr>
              <w:t>bude vplyv zľavy za podania realizované elektronickými prostriedkami v prípade ÚPV SR signifikantný.</w:t>
            </w:r>
          </w:p>
          <w:p w14:paraId="2402F091" w14:textId="1FD3C019" w:rsidR="000D1259" w:rsidRPr="00313721" w:rsidRDefault="000D1259" w:rsidP="000D1259">
            <w:pPr>
              <w:jc w:val="both"/>
              <w:rPr>
                <w:rFonts w:ascii="Times New Roman" w:hAnsi="Times New Roman" w:cs="Times New Roman"/>
                <w:bCs/>
              </w:rPr>
            </w:pPr>
          </w:p>
          <w:p w14:paraId="705C0542" w14:textId="6A539B8C" w:rsidR="00725D18" w:rsidRPr="00313721" w:rsidRDefault="007944CD" w:rsidP="000D1259">
            <w:pPr>
              <w:tabs>
                <w:tab w:val="num" w:pos="1080"/>
              </w:tabs>
              <w:jc w:val="both"/>
              <w:rPr>
                <w:rFonts w:ascii="Times New Roman" w:hAnsi="Times New Roman" w:cs="Times New Roman"/>
                <w:bCs/>
              </w:rPr>
            </w:pPr>
            <w:r w:rsidRPr="00313721">
              <w:rPr>
                <w:rFonts w:ascii="Times New Roman" w:hAnsi="Times New Roman" w:cs="Times New Roman"/>
              </w:rPr>
              <w:t xml:space="preserve">Popis jednotlivých navrhovaných sadzieb udržiavacích poplatkov z hľadiska ich dopadu na podnikateľské prostredie ako celok a zároveň na jedného podnikateľa je súčasťou samostatnej prílohy (tabuľka Excel – udržiavacie </w:t>
            </w:r>
            <w:proofErr w:type="spellStart"/>
            <w:r w:rsidRPr="00313721">
              <w:rPr>
                <w:rFonts w:ascii="Times New Roman" w:hAnsi="Times New Roman" w:cs="Times New Roman"/>
              </w:rPr>
              <w:t>poplatky_vplyvy</w:t>
            </w:r>
            <w:proofErr w:type="spellEnd"/>
            <w:r w:rsidRPr="00313721">
              <w:rPr>
                <w:rFonts w:ascii="Times New Roman" w:hAnsi="Times New Roman" w:cs="Times New Roman"/>
              </w:rPr>
              <w:t xml:space="preserve">). </w:t>
            </w:r>
            <w:r w:rsidR="000D1259" w:rsidRPr="00313721">
              <w:rPr>
                <w:rFonts w:ascii="Times New Roman" w:hAnsi="Times New Roman" w:cs="Times New Roman"/>
                <w:bCs/>
              </w:rPr>
              <w:t>Pri výpočte vplyvov úpravy udržiavacích poplatkov predkladateľ</w:t>
            </w:r>
          </w:p>
          <w:p w14:paraId="72C73CEC" w14:textId="4CD12C1D" w:rsidR="00725D18" w:rsidRPr="00313721" w:rsidRDefault="000D1259" w:rsidP="00725D18">
            <w:pPr>
              <w:pStyle w:val="Odsekzoznamu"/>
              <w:numPr>
                <w:ilvl w:val="0"/>
                <w:numId w:val="39"/>
              </w:numPr>
              <w:tabs>
                <w:tab w:val="num" w:pos="1080"/>
              </w:tabs>
              <w:jc w:val="both"/>
              <w:rPr>
                <w:rFonts w:ascii="Times New Roman" w:hAnsi="Times New Roman" w:cs="Times New Roman"/>
                <w:bCs/>
              </w:rPr>
            </w:pPr>
            <w:r w:rsidRPr="00313721">
              <w:rPr>
                <w:rFonts w:ascii="Times New Roman" w:hAnsi="Times New Roman" w:cs="Times New Roman"/>
                <w:bCs/>
              </w:rPr>
              <w:t>vychádzal z porovnania aktuálnej a navrhovanej výšky sadzieb</w:t>
            </w:r>
            <w:r w:rsidR="00725D18" w:rsidRPr="00313721">
              <w:rPr>
                <w:rFonts w:ascii="Times New Roman" w:hAnsi="Times New Roman" w:cs="Times New Roman"/>
                <w:bCs/>
              </w:rPr>
              <w:t xml:space="preserve"> (v rámci navrhovanej sadzby </w:t>
            </w:r>
            <w:r w:rsidR="006836F9" w:rsidRPr="00313721">
              <w:rPr>
                <w:rFonts w:ascii="Times New Roman" w:hAnsi="Times New Roman" w:cs="Times New Roman"/>
                <w:bCs/>
              </w:rPr>
              <w:t xml:space="preserve">udržiavacích poplatkov za národné patenty a európske patenty </w:t>
            </w:r>
            <w:r w:rsidR="00725D18" w:rsidRPr="00313721">
              <w:rPr>
                <w:rFonts w:ascii="Times New Roman" w:hAnsi="Times New Roman" w:cs="Times New Roman"/>
                <w:bCs/>
              </w:rPr>
              <w:t>dochádza k navýšeniu o cca 20 %</w:t>
            </w:r>
            <w:r w:rsidR="006836F9" w:rsidRPr="00313721">
              <w:rPr>
                <w:rFonts w:ascii="Times New Roman" w:hAnsi="Times New Roman" w:cs="Times New Roman"/>
                <w:bCs/>
              </w:rPr>
              <w:t xml:space="preserve"> a o cca 47 % za dodatkové ochranné osvedčenia</w:t>
            </w:r>
            <w:r w:rsidR="00F765F6" w:rsidRPr="00313721">
              <w:rPr>
                <w:rFonts w:ascii="Times New Roman" w:hAnsi="Times New Roman" w:cs="Times New Roman"/>
                <w:bCs/>
              </w:rPr>
              <w:t>.</w:t>
            </w:r>
            <w:r w:rsidR="006836F9" w:rsidRPr="00313721">
              <w:rPr>
                <w:rFonts w:ascii="Times New Roman" w:hAnsi="Times New Roman" w:cs="Times New Roman"/>
                <w:bCs/>
              </w:rPr>
              <w:t xml:space="preserve"> Pri určení miery navrhovaného zvýšenia </w:t>
            </w:r>
            <w:r w:rsidR="008868C9" w:rsidRPr="00313721">
              <w:rPr>
                <w:rFonts w:ascii="Times New Roman" w:hAnsi="Times New Roman" w:cs="Times New Roman"/>
                <w:bCs/>
              </w:rPr>
              <w:t xml:space="preserve">predkladateľ </w:t>
            </w:r>
            <w:r w:rsidR="006836F9" w:rsidRPr="00313721">
              <w:rPr>
                <w:rFonts w:ascii="Times New Roman" w:hAnsi="Times New Roman" w:cs="Times New Roman"/>
                <w:bCs/>
              </w:rPr>
              <w:t>zohľad</w:t>
            </w:r>
            <w:r w:rsidR="008868C9" w:rsidRPr="00313721">
              <w:rPr>
                <w:rFonts w:ascii="Times New Roman" w:hAnsi="Times New Roman" w:cs="Times New Roman"/>
                <w:bCs/>
              </w:rPr>
              <w:t>n</w:t>
            </w:r>
            <w:r w:rsidR="006836F9" w:rsidRPr="00313721">
              <w:rPr>
                <w:rFonts w:ascii="Times New Roman" w:hAnsi="Times New Roman" w:cs="Times New Roman"/>
                <w:bCs/>
              </w:rPr>
              <w:t xml:space="preserve">il osobitosti a trendy v prostredí patentovej ochrany tak, aby výška udržiavacích poplatkov nebránila prístupu inovátorov k patentovej ochrane, keď </w:t>
            </w:r>
            <w:r w:rsidR="006836F9" w:rsidRPr="00313721">
              <w:rPr>
                <w:rFonts w:ascii="Times New Roman" w:hAnsi="Times New Roman" w:cs="Times New Roman"/>
                <w:bCs/>
              </w:rPr>
              <w:lastRenderedPageBreak/>
              <w:t xml:space="preserve">predkladateľ zohľadnil aj </w:t>
            </w:r>
            <w:r w:rsidR="00F765F6" w:rsidRPr="00313721">
              <w:rPr>
                <w:rFonts w:ascii="Times New Roman" w:hAnsi="Times New Roman" w:cs="Times New Roman"/>
                <w:bCs/>
              </w:rPr>
              <w:t>interne vypracovan</w:t>
            </w:r>
            <w:r w:rsidR="006836F9" w:rsidRPr="00313721">
              <w:rPr>
                <w:rFonts w:ascii="Times New Roman" w:hAnsi="Times New Roman" w:cs="Times New Roman"/>
                <w:bCs/>
              </w:rPr>
              <w:t>ú</w:t>
            </w:r>
            <w:r w:rsidR="00F765F6" w:rsidRPr="00313721">
              <w:rPr>
                <w:rFonts w:ascii="Times New Roman" w:hAnsi="Times New Roman" w:cs="Times New Roman"/>
                <w:bCs/>
              </w:rPr>
              <w:t xml:space="preserve"> analýz</w:t>
            </w:r>
            <w:r w:rsidR="006836F9" w:rsidRPr="00313721">
              <w:rPr>
                <w:rFonts w:ascii="Times New Roman" w:hAnsi="Times New Roman" w:cs="Times New Roman"/>
                <w:bCs/>
              </w:rPr>
              <w:t>u</w:t>
            </w:r>
            <w:r w:rsidR="00F765F6" w:rsidRPr="00313721">
              <w:rPr>
                <w:rFonts w:ascii="Times New Roman" w:hAnsi="Times New Roman" w:cs="Times New Roman"/>
                <w:bCs/>
              </w:rPr>
              <w:t xml:space="preserve"> porovnania výšky sadzieb udržiavacích poplatkov v rámci EÚ, a to z pohľadu </w:t>
            </w:r>
            <w:r w:rsidR="006836F9" w:rsidRPr="00313721">
              <w:rPr>
                <w:rFonts w:ascii="Times New Roman" w:hAnsi="Times New Roman" w:cs="Times New Roman"/>
                <w:bCs/>
              </w:rPr>
              <w:t xml:space="preserve">krajín, ktoré sú, resp. nie sú súčasťou systému európskeho patentu s jednotným účinkom ako aj sadzby udržiavacích poplatkov za európsky patent s jednotným účinkom; navýšenie udržiavacích poplatkov za dodatkové ochranné osvedčenia prihliada na </w:t>
            </w:r>
            <w:r w:rsidR="00DD3146" w:rsidRPr="00313721">
              <w:rPr>
                <w:rFonts w:ascii="Times New Roman" w:hAnsi="Times New Roman" w:cs="Times New Roman"/>
                <w:bCs/>
              </w:rPr>
              <w:t>charakter</w:t>
            </w:r>
            <w:r w:rsidR="008868C9" w:rsidRPr="00313721">
              <w:rPr>
                <w:rFonts w:ascii="Times New Roman" w:hAnsi="Times New Roman" w:cs="Times New Roman"/>
                <w:bCs/>
              </w:rPr>
              <w:t xml:space="preserve"> ochrany </w:t>
            </w:r>
            <w:r w:rsidR="00DD3146" w:rsidRPr="00313721">
              <w:rPr>
                <w:rFonts w:ascii="Times New Roman" w:hAnsi="Times New Roman" w:cs="Times New Roman"/>
                <w:bCs/>
              </w:rPr>
              <w:t>spojenej s</w:t>
            </w:r>
            <w:r w:rsidR="008868C9" w:rsidRPr="00313721">
              <w:rPr>
                <w:rFonts w:ascii="Times New Roman" w:hAnsi="Times New Roman" w:cs="Times New Roman"/>
                <w:bCs/>
              </w:rPr>
              <w:t xml:space="preserve"> dodatkov</w:t>
            </w:r>
            <w:r w:rsidR="00DD3146" w:rsidRPr="00313721">
              <w:rPr>
                <w:rFonts w:ascii="Times New Roman" w:hAnsi="Times New Roman" w:cs="Times New Roman"/>
                <w:bCs/>
              </w:rPr>
              <w:t>ým</w:t>
            </w:r>
            <w:r w:rsidR="008868C9" w:rsidRPr="00313721">
              <w:rPr>
                <w:rFonts w:ascii="Times New Roman" w:hAnsi="Times New Roman" w:cs="Times New Roman"/>
                <w:bCs/>
              </w:rPr>
              <w:t xml:space="preserve"> ochrann</w:t>
            </w:r>
            <w:r w:rsidR="00DD3146" w:rsidRPr="00313721">
              <w:rPr>
                <w:rFonts w:ascii="Times New Roman" w:hAnsi="Times New Roman" w:cs="Times New Roman"/>
                <w:bCs/>
              </w:rPr>
              <w:t>ým</w:t>
            </w:r>
            <w:r w:rsidR="008868C9" w:rsidRPr="00313721">
              <w:rPr>
                <w:rFonts w:ascii="Times New Roman" w:hAnsi="Times New Roman" w:cs="Times New Roman"/>
                <w:bCs/>
              </w:rPr>
              <w:t xml:space="preserve"> osvedčen</w:t>
            </w:r>
            <w:r w:rsidR="00DD3146" w:rsidRPr="00313721">
              <w:rPr>
                <w:rFonts w:ascii="Times New Roman" w:hAnsi="Times New Roman" w:cs="Times New Roman"/>
                <w:bCs/>
              </w:rPr>
              <w:t>ím</w:t>
            </w:r>
            <w:r w:rsidR="00BF7438" w:rsidRPr="00313721">
              <w:rPr>
                <w:rFonts w:ascii="Times New Roman" w:hAnsi="Times New Roman" w:cs="Times New Roman"/>
                <w:bCs/>
              </w:rPr>
              <w:t>;</w:t>
            </w:r>
            <w:r w:rsidR="00725D18" w:rsidRPr="00313721">
              <w:rPr>
                <w:rFonts w:ascii="Times New Roman" w:hAnsi="Times New Roman" w:cs="Times New Roman"/>
                <w:bCs/>
              </w:rPr>
              <w:t xml:space="preserve"> zároveň sa </w:t>
            </w:r>
            <w:r w:rsidR="008F0148" w:rsidRPr="00313721">
              <w:rPr>
                <w:rFonts w:ascii="Times New Roman" w:hAnsi="Times New Roman" w:cs="Times New Roman"/>
                <w:bCs/>
              </w:rPr>
              <w:t>uplat</w:t>
            </w:r>
            <w:r w:rsidR="008868C9" w:rsidRPr="00313721">
              <w:rPr>
                <w:rFonts w:ascii="Times New Roman" w:hAnsi="Times New Roman" w:cs="Times New Roman"/>
                <w:bCs/>
              </w:rPr>
              <w:t>nilo</w:t>
            </w:r>
            <w:r w:rsidR="00725D18" w:rsidRPr="00313721">
              <w:rPr>
                <w:rFonts w:ascii="Times New Roman" w:hAnsi="Times New Roman" w:cs="Times New Roman"/>
                <w:bCs/>
              </w:rPr>
              <w:t xml:space="preserve"> pravidlo zaokrúhlenia)</w:t>
            </w:r>
          </w:p>
          <w:p w14:paraId="48B79FAF" w14:textId="54BCEADA" w:rsidR="00725D18" w:rsidRPr="00313721" w:rsidRDefault="000D1259" w:rsidP="008F0148">
            <w:pPr>
              <w:pStyle w:val="Odsekzoznamu"/>
              <w:numPr>
                <w:ilvl w:val="0"/>
                <w:numId w:val="35"/>
              </w:numPr>
              <w:ind w:left="734" w:hanging="425"/>
              <w:jc w:val="both"/>
              <w:rPr>
                <w:rFonts w:ascii="Times New Roman" w:hAnsi="Times New Roman" w:cs="Times New Roman"/>
              </w:rPr>
            </w:pPr>
            <w:r w:rsidRPr="00313721">
              <w:rPr>
                <w:rFonts w:ascii="Times New Roman" w:hAnsi="Times New Roman" w:cs="Times New Roman"/>
                <w:bCs/>
              </w:rPr>
              <w:t>zohľadnil početnosť spracovaných udržiavacích poplatkov v predchádzajúcom sledovanom období</w:t>
            </w:r>
            <w:r w:rsidR="00725D18" w:rsidRPr="00313721">
              <w:rPr>
                <w:rFonts w:ascii="Times New Roman" w:hAnsi="Times New Roman" w:cs="Times New Roman"/>
                <w:bCs/>
              </w:rPr>
              <w:t xml:space="preserve"> (priemer za roky 2019 až 2023), priemernú početnosť krátil o 5 %</w:t>
            </w:r>
            <w:r w:rsidR="00725D18" w:rsidRPr="00313721">
              <w:rPr>
                <w:rFonts w:ascii="Times New Roman" w:hAnsi="Times New Roman" w:cs="Times New Roman"/>
              </w:rPr>
              <w:t xml:space="preserve"> tak, aby zohľadnil skutočnosť, že cca 95 % subjektov je podnikateľov a výsledný údaj stotožnil s počt</w:t>
            </w:r>
            <w:r w:rsidR="00BF7438" w:rsidRPr="00313721">
              <w:rPr>
                <w:rFonts w:ascii="Times New Roman" w:hAnsi="Times New Roman" w:cs="Times New Roman"/>
              </w:rPr>
              <w:t>om</w:t>
            </w:r>
            <w:r w:rsidR="00725D18" w:rsidRPr="00313721">
              <w:rPr>
                <w:rFonts w:ascii="Times New Roman" w:hAnsi="Times New Roman" w:cs="Times New Roman"/>
              </w:rPr>
              <w:t xml:space="preserve"> dotknutých subjektov z podnikateľského prostredia</w:t>
            </w:r>
            <w:r w:rsidR="008F0148" w:rsidRPr="00313721">
              <w:rPr>
                <w:rFonts w:ascii="Times New Roman" w:hAnsi="Times New Roman" w:cs="Times New Roman"/>
              </w:rPr>
              <w:t>.</w:t>
            </w:r>
          </w:p>
          <w:p w14:paraId="59C4062F" w14:textId="77777777" w:rsidR="008F0148" w:rsidRPr="00313721" w:rsidRDefault="008F0148" w:rsidP="008F0148">
            <w:pPr>
              <w:pStyle w:val="Odsekzoznamu"/>
              <w:ind w:left="734"/>
              <w:jc w:val="both"/>
              <w:rPr>
                <w:rFonts w:ascii="Times New Roman" w:hAnsi="Times New Roman" w:cs="Times New Roman"/>
              </w:rPr>
            </w:pPr>
          </w:p>
          <w:p w14:paraId="7370E4F6" w14:textId="497DF34A" w:rsidR="000D1259" w:rsidRPr="00313721" w:rsidRDefault="000D1259" w:rsidP="008F0148">
            <w:pPr>
              <w:tabs>
                <w:tab w:val="num" w:pos="1080"/>
              </w:tabs>
              <w:jc w:val="both"/>
              <w:rPr>
                <w:rFonts w:ascii="Times New Roman" w:hAnsi="Times New Roman" w:cs="Times New Roman"/>
                <w:bCs/>
              </w:rPr>
            </w:pPr>
            <w:r w:rsidRPr="00313721">
              <w:rPr>
                <w:rFonts w:ascii="Times New Roman" w:hAnsi="Times New Roman" w:cs="Times New Roman"/>
                <w:bCs/>
              </w:rPr>
              <w:t xml:space="preserve">Úhrada udržiavacích poplatkov je podmienkou verejnoprávnej ochrany patentov, európskych patentov a DDO.  Prehľad zaplatených udržiavacích poplatkov v členení podľa druhu udržiavacích poplatkov  za roky 2019 až 2023 je uvedený v Tabuľke č. </w:t>
            </w:r>
            <w:r w:rsidR="00610D27" w:rsidRPr="00313721">
              <w:rPr>
                <w:rFonts w:ascii="Times New Roman" w:hAnsi="Times New Roman" w:cs="Times New Roman"/>
                <w:bCs/>
              </w:rPr>
              <w:t>5</w:t>
            </w:r>
            <w:r w:rsidRPr="00313721">
              <w:rPr>
                <w:rFonts w:ascii="Times New Roman" w:hAnsi="Times New Roman" w:cs="Times New Roman"/>
                <w:bCs/>
              </w:rPr>
              <w:t xml:space="preserve">. Sumár vychádza z interných štatistických údajov a bol vytvorený na účely identifikácie priemerného počtu zaplatených udržiavacích poplatkov v sledovanom období, prehľad nediferencuje medzi jednotlivými rokmi za udržiavanie platnosti, t. j. za predĺženie platnosti príslušného predmetu priemyselného vlastníctva. Keďže tak ako vyplýva aj zo samotného návrhu zákona, výška udržiavacieho poplatku sa v závislosti od roku predĺženia platnosti mení, pričom nárast sumy zohľadňuje pridanú hodnotu súvisiacu s dĺžkou priznávanej ochrany a nie je lineárny, na účely výpočtu predpokladaných vplyvov na podnikateľské prostredie v súvislosti s predloženým návrhom zákona predkladateľ vychádzal z priemerného počtu zaplatených udržiavacích poplatkov v sledovanom období, pričom tento údaj v rámci výpočtu priradil k počtu dotknutých podnikateľských subjektov a navrhované navýšenie sadzby udržiavacích poplatkov </w:t>
            </w:r>
            <w:r w:rsidR="000B02D9">
              <w:rPr>
                <w:rFonts w:ascii="Times New Roman" w:hAnsi="Times New Roman" w:cs="Times New Roman"/>
                <w:bCs/>
              </w:rPr>
              <w:t xml:space="preserve">za národné patenty a európske patenty </w:t>
            </w:r>
            <w:r w:rsidRPr="00313721">
              <w:rPr>
                <w:rFonts w:ascii="Times New Roman" w:hAnsi="Times New Roman" w:cs="Times New Roman"/>
                <w:bCs/>
              </w:rPr>
              <w:t xml:space="preserve">v priemere o 20 % </w:t>
            </w:r>
            <w:r w:rsidR="000B02D9">
              <w:rPr>
                <w:rFonts w:ascii="Times New Roman" w:hAnsi="Times New Roman" w:cs="Times New Roman"/>
                <w:bCs/>
              </w:rPr>
              <w:t xml:space="preserve">a udržiavacích poplatkov za dodatkové ochranné osvedčenia v priemere o 47 % </w:t>
            </w:r>
            <w:r w:rsidRPr="00313721">
              <w:rPr>
                <w:rFonts w:ascii="Times New Roman" w:hAnsi="Times New Roman" w:cs="Times New Roman"/>
                <w:bCs/>
              </w:rPr>
              <w:t xml:space="preserve">zohľadnil vo vzťahu k celkovej sume zaplatených udržiavacích poplatkov v predchádzajúcom období. Zároveň zohľadnil princíp povinného odvodu časti vybraných udržiavacích poplatkov za európske patenty Európskemu patentovému úradu.   </w:t>
            </w:r>
          </w:p>
          <w:p w14:paraId="4D0CB637" w14:textId="77777777" w:rsidR="000D1259" w:rsidRPr="00313721" w:rsidRDefault="000D1259" w:rsidP="000D1259">
            <w:pPr>
              <w:tabs>
                <w:tab w:val="num" w:pos="1080"/>
              </w:tabs>
              <w:jc w:val="both"/>
              <w:rPr>
                <w:rFonts w:ascii="Times New Roman" w:hAnsi="Times New Roman" w:cs="Times New Roman"/>
                <w:bCs/>
              </w:rPr>
            </w:pPr>
          </w:p>
          <w:p w14:paraId="7BB737C4" w14:textId="77777777" w:rsidR="000D1259" w:rsidRPr="00313721" w:rsidRDefault="000D1259" w:rsidP="000D1259">
            <w:pPr>
              <w:tabs>
                <w:tab w:val="num" w:pos="1080"/>
              </w:tabs>
              <w:jc w:val="both"/>
              <w:rPr>
                <w:rFonts w:ascii="Times New Roman" w:hAnsi="Times New Roman" w:cs="Times New Roman"/>
                <w:b/>
              </w:rPr>
            </w:pPr>
            <w:r w:rsidRPr="00313721">
              <w:rPr>
                <w:rFonts w:ascii="Times New Roman" w:hAnsi="Times New Roman" w:cs="Times New Roman"/>
                <w:b/>
              </w:rPr>
              <w:t>Zaplatené udržiavacie poplatky v rokoch 2019 až 2023 podľa početnosti</w:t>
            </w:r>
          </w:p>
          <w:p w14:paraId="3EE34799" w14:textId="2AEDC6DC" w:rsidR="000D1259" w:rsidRPr="00313721" w:rsidRDefault="000D1259" w:rsidP="000D1259">
            <w:pPr>
              <w:tabs>
                <w:tab w:val="num" w:pos="1080"/>
              </w:tabs>
              <w:jc w:val="right"/>
              <w:rPr>
                <w:rFonts w:ascii="Times New Roman" w:hAnsi="Times New Roman" w:cs="Times New Roman"/>
                <w:bCs/>
              </w:rPr>
            </w:pPr>
            <w:r w:rsidRPr="00313721">
              <w:rPr>
                <w:rFonts w:ascii="Times New Roman" w:hAnsi="Times New Roman" w:cs="Times New Roman"/>
                <w:bCs/>
              </w:rPr>
              <w:t xml:space="preserve">Tabuľka č. </w:t>
            </w:r>
            <w:r w:rsidR="00610D27" w:rsidRPr="00313721">
              <w:rPr>
                <w:rFonts w:ascii="Times New Roman" w:hAnsi="Times New Roman" w:cs="Times New Roman"/>
                <w:bCs/>
              </w:rPr>
              <w:t>5</w:t>
            </w:r>
          </w:p>
          <w:tbl>
            <w:tblPr>
              <w:tblW w:w="8486" w:type="dxa"/>
              <w:tblCellMar>
                <w:left w:w="70" w:type="dxa"/>
                <w:right w:w="70" w:type="dxa"/>
              </w:tblCellMar>
              <w:tblLook w:val="04A0" w:firstRow="1" w:lastRow="0" w:firstColumn="1" w:lastColumn="0" w:noHBand="0" w:noVBand="1"/>
            </w:tblPr>
            <w:tblGrid>
              <w:gridCol w:w="1830"/>
              <w:gridCol w:w="1514"/>
              <w:gridCol w:w="1514"/>
              <w:gridCol w:w="1514"/>
              <w:gridCol w:w="2114"/>
            </w:tblGrid>
            <w:tr w:rsidR="000D1259" w:rsidRPr="00313721" w14:paraId="22715F87" w14:textId="77777777" w:rsidTr="001C45BA">
              <w:trPr>
                <w:trHeight w:val="579"/>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99EA" w14:textId="77777777" w:rsidR="000D1259" w:rsidRPr="00313721" w:rsidRDefault="000D1259" w:rsidP="000D1259">
                  <w:pPr>
                    <w:spacing w:after="0" w:line="240" w:lineRule="auto"/>
                    <w:jc w:val="center"/>
                    <w:rPr>
                      <w:rFonts w:ascii="Times New Roman" w:eastAsia="Times New Roman" w:hAnsi="Times New Roman" w:cs="Times New Roman"/>
                      <w:b/>
                      <w:bCs/>
                      <w:i/>
                      <w:iCs/>
                      <w:sz w:val="18"/>
                      <w:szCs w:val="18"/>
                      <w:lang w:eastAsia="sk-SK"/>
                    </w:rPr>
                  </w:pPr>
                  <w:r w:rsidRPr="00313721">
                    <w:rPr>
                      <w:rFonts w:ascii="Times New Roman" w:eastAsia="Times New Roman" w:hAnsi="Times New Roman" w:cs="Times New Roman"/>
                      <w:b/>
                      <w:bCs/>
                      <w:i/>
                      <w:iCs/>
                      <w:sz w:val="18"/>
                      <w:szCs w:val="18"/>
                      <w:lang w:eastAsia="sk-SK"/>
                    </w:rPr>
                    <w:t>Rok</w:t>
                  </w:r>
                </w:p>
              </w:tc>
              <w:tc>
                <w:tcPr>
                  <w:tcW w:w="1514" w:type="dxa"/>
                  <w:tcBorders>
                    <w:top w:val="single" w:sz="4" w:space="0" w:color="auto"/>
                    <w:left w:val="nil"/>
                    <w:bottom w:val="single" w:sz="4" w:space="0" w:color="auto"/>
                    <w:right w:val="single" w:sz="4" w:space="0" w:color="auto"/>
                  </w:tcBorders>
                  <w:shd w:val="clear" w:color="000000" w:fill="FFFFCC"/>
                  <w:vAlign w:val="center"/>
                  <w:hideMark/>
                </w:tcPr>
                <w:p w14:paraId="6CA37DF9" w14:textId="77777777" w:rsidR="000D1259" w:rsidRPr="00313721" w:rsidRDefault="000D1259" w:rsidP="000D1259">
                  <w:pPr>
                    <w:spacing w:after="0" w:line="240" w:lineRule="auto"/>
                    <w:jc w:val="center"/>
                    <w:rPr>
                      <w:rFonts w:ascii="Times New Roman" w:eastAsia="Times New Roman" w:hAnsi="Times New Roman" w:cs="Times New Roman"/>
                      <w:b/>
                      <w:bCs/>
                      <w:i/>
                      <w:iCs/>
                      <w:sz w:val="18"/>
                      <w:szCs w:val="18"/>
                      <w:lang w:eastAsia="sk-SK"/>
                    </w:rPr>
                  </w:pPr>
                  <w:r w:rsidRPr="00313721">
                    <w:rPr>
                      <w:rFonts w:ascii="Times New Roman" w:eastAsia="Times New Roman" w:hAnsi="Times New Roman" w:cs="Times New Roman"/>
                      <w:b/>
                      <w:bCs/>
                      <w:i/>
                      <w:iCs/>
                      <w:sz w:val="18"/>
                      <w:szCs w:val="18"/>
                      <w:lang w:eastAsia="sk-SK"/>
                    </w:rPr>
                    <w:t>PP</w:t>
                  </w:r>
                </w:p>
              </w:tc>
              <w:tc>
                <w:tcPr>
                  <w:tcW w:w="1514" w:type="dxa"/>
                  <w:tcBorders>
                    <w:top w:val="single" w:sz="4" w:space="0" w:color="auto"/>
                    <w:left w:val="nil"/>
                    <w:bottom w:val="single" w:sz="4" w:space="0" w:color="auto"/>
                    <w:right w:val="single" w:sz="4" w:space="0" w:color="auto"/>
                  </w:tcBorders>
                  <w:shd w:val="clear" w:color="000000" w:fill="FFCCFF"/>
                  <w:vAlign w:val="center"/>
                  <w:hideMark/>
                </w:tcPr>
                <w:p w14:paraId="57249CBC" w14:textId="77777777" w:rsidR="000D1259" w:rsidRPr="00313721" w:rsidRDefault="000D1259" w:rsidP="000D1259">
                  <w:pPr>
                    <w:spacing w:after="0" w:line="240" w:lineRule="auto"/>
                    <w:jc w:val="center"/>
                    <w:rPr>
                      <w:rFonts w:ascii="Times New Roman" w:eastAsia="Times New Roman" w:hAnsi="Times New Roman" w:cs="Times New Roman"/>
                      <w:b/>
                      <w:bCs/>
                      <w:i/>
                      <w:iCs/>
                      <w:sz w:val="18"/>
                      <w:szCs w:val="18"/>
                      <w:lang w:eastAsia="sk-SK"/>
                    </w:rPr>
                  </w:pPr>
                  <w:r w:rsidRPr="00313721">
                    <w:rPr>
                      <w:rFonts w:ascii="Times New Roman" w:eastAsia="Times New Roman" w:hAnsi="Times New Roman" w:cs="Times New Roman"/>
                      <w:b/>
                      <w:bCs/>
                      <w:i/>
                      <w:iCs/>
                      <w:sz w:val="18"/>
                      <w:szCs w:val="18"/>
                      <w:lang w:eastAsia="sk-SK"/>
                    </w:rPr>
                    <w:t>EP</w:t>
                  </w:r>
                </w:p>
              </w:tc>
              <w:tc>
                <w:tcPr>
                  <w:tcW w:w="1514" w:type="dxa"/>
                  <w:tcBorders>
                    <w:top w:val="single" w:sz="4" w:space="0" w:color="auto"/>
                    <w:left w:val="nil"/>
                    <w:bottom w:val="single" w:sz="4" w:space="0" w:color="auto"/>
                    <w:right w:val="single" w:sz="4" w:space="0" w:color="auto"/>
                  </w:tcBorders>
                  <w:shd w:val="clear" w:color="000000" w:fill="CCFFCC"/>
                  <w:vAlign w:val="center"/>
                  <w:hideMark/>
                </w:tcPr>
                <w:p w14:paraId="329DCC10" w14:textId="77777777" w:rsidR="000D1259" w:rsidRPr="00313721" w:rsidRDefault="000D1259" w:rsidP="000D1259">
                  <w:pPr>
                    <w:spacing w:after="0" w:line="240" w:lineRule="auto"/>
                    <w:jc w:val="center"/>
                    <w:rPr>
                      <w:rFonts w:ascii="Times New Roman" w:eastAsia="Times New Roman" w:hAnsi="Times New Roman" w:cs="Times New Roman"/>
                      <w:b/>
                      <w:bCs/>
                      <w:i/>
                      <w:iCs/>
                      <w:sz w:val="18"/>
                      <w:szCs w:val="18"/>
                      <w:lang w:eastAsia="sk-SK"/>
                    </w:rPr>
                  </w:pPr>
                  <w:r w:rsidRPr="00313721">
                    <w:rPr>
                      <w:rFonts w:ascii="Times New Roman" w:eastAsia="Times New Roman" w:hAnsi="Times New Roman" w:cs="Times New Roman"/>
                      <w:b/>
                      <w:bCs/>
                      <w:i/>
                      <w:iCs/>
                      <w:sz w:val="18"/>
                      <w:szCs w:val="18"/>
                      <w:lang w:eastAsia="sk-SK"/>
                    </w:rPr>
                    <w:t>DOO</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6AAA4DA3" w14:textId="77777777" w:rsidR="000D1259" w:rsidRPr="00313721" w:rsidRDefault="000D1259" w:rsidP="000D1259">
                  <w:pPr>
                    <w:spacing w:after="0" w:line="240" w:lineRule="auto"/>
                    <w:jc w:val="center"/>
                    <w:rPr>
                      <w:rFonts w:ascii="Times New Roman" w:eastAsia="Times New Roman" w:hAnsi="Times New Roman" w:cs="Times New Roman"/>
                      <w:b/>
                      <w:bCs/>
                      <w:i/>
                      <w:iCs/>
                      <w:sz w:val="18"/>
                      <w:szCs w:val="18"/>
                      <w:lang w:eastAsia="sk-SK"/>
                    </w:rPr>
                  </w:pPr>
                  <w:r w:rsidRPr="00313721">
                    <w:rPr>
                      <w:rFonts w:ascii="Times New Roman" w:eastAsia="Times New Roman" w:hAnsi="Times New Roman" w:cs="Times New Roman"/>
                      <w:b/>
                      <w:bCs/>
                      <w:i/>
                      <w:iCs/>
                      <w:sz w:val="18"/>
                      <w:szCs w:val="18"/>
                      <w:lang w:eastAsia="sk-SK"/>
                    </w:rPr>
                    <w:t>Celkový počet zaplatených UP</w:t>
                  </w:r>
                </w:p>
              </w:tc>
            </w:tr>
            <w:tr w:rsidR="000D1259" w:rsidRPr="00313721" w14:paraId="5BD1A494"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726A7470"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2019</w:t>
                  </w:r>
                </w:p>
              </w:tc>
              <w:tc>
                <w:tcPr>
                  <w:tcW w:w="1514" w:type="dxa"/>
                  <w:tcBorders>
                    <w:top w:val="nil"/>
                    <w:left w:val="nil"/>
                    <w:bottom w:val="single" w:sz="4" w:space="0" w:color="auto"/>
                    <w:right w:val="single" w:sz="4" w:space="0" w:color="auto"/>
                  </w:tcBorders>
                  <w:shd w:val="clear" w:color="000000" w:fill="FFFFCC"/>
                  <w:noWrap/>
                  <w:vAlign w:val="center"/>
                  <w:hideMark/>
                </w:tcPr>
                <w:p w14:paraId="7901E7F1"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806</w:t>
                  </w:r>
                </w:p>
              </w:tc>
              <w:tc>
                <w:tcPr>
                  <w:tcW w:w="1514" w:type="dxa"/>
                  <w:tcBorders>
                    <w:top w:val="nil"/>
                    <w:left w:val="nil"/>
                    <w:bottom w:val="single" w:sz="4" w:space="0" w:color="auto"/>
                    <w:right w:val="single" w:sz="4" w:space="0" w:color="auto"/>
                  </w:tcBorders>
                  <w:shd w:val="clear" w:color="000000" w:fill="FFCCFF"/>
                  <w:noWrap/>
                  <w:vAlign w:val="center"/>
                  <w:hideMark/>
                </w:tcPr>
                <w:p w14:paraId="592C011C"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18 715</w:t>
                  </w:r>
                </w:p>
              </w:tc>
              <w:tc>
                <w:tcPr>
                  <w:tcW w:w="1514" w:type="dxa"/>
                  <w:tcBorders>
                    <w:top w:val="nil"/>
                    <w:left w:val="nil"/>
                    <w:bottom w:val="single" w:sz="4" w:space="0" w:color="auto"/>
                    <w:right w:val="single" w:sz="4" w:space="0" w:color="auto"/>
                  </w:tcBorders>
                  <w:shd w:val="clear" w:color="000000" w:fill="CCFFCC"/>
                  <w:noWrap/>
                  <w:vAlign w:val="center"/>
                  <w:hideMark/>
                </w:tcPr>
                <w:p w14:paraId="0833730E"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41</w:t>
                  </w:r>
                </w:p>
              </w:tc>
              <w:tc>
                <w:tcPr>
                  <w:tcW w:w="2114" w:type="dxa"/>
                  <w:tcBorders>
                    <w:top w:val="nil"/>
                    <w:left w:val="nil"/>
                    <w:bottom w:val="single" w:sz="4" w:space="0" w:color="auto"/>
                    <w:right w:val="single" w:sz="4" w:space="0" w:color="auto"/>
                  </w:tcBorders>
                  <w:shd w:val="clear" w:color="auto" w:fill="auto"/>
                  <w:noWrap/>
                  <w:vAlign w:val="center"/>
                  <w:hideMark/>
                </w:tcPr>
                <w:p w14:paraId="38D1986F" w14:textId="77777777" w:rsidR="000D1259" w:rsidRPr="00313721" w:rsidRDefault="000D1259" w:rsidP="000D1259">
                  <w:pPr>
                    <w:spacing w:after="0" w:line="240" w:lineRule="auto"/>
                    <w:jc w:val="center"/>
                    <w:rPr>
                      <w:rFonts w:ascii="Times New Roman" w:eastAsia="Times New Roman" w:hAnsi="Times New Roman" w:cs="Times New Roman"/>
                      <w:color w:val="FF0000"/>
                      <w:sz w:val="20"/>
                      <w:szCs w:val="20"/>
                      <w:lang w:eastAsia="sk-SK"/>
                    </w:rPr>
                  </w:pPr>
                  <w:r w:rsidRPr="00313721">
                    <w:rPr>
                      <w:rFonts w:ascii="Times New Roman" w:eastAsia="Times New Roman" w:hAnsi="Times New Roman" w:cs="Times New Roman"/>
                      <w:color w:val="FF0000"/>
                      <w:sz w:val="20"/>
                      <w:szCs w:val="20"/>
                      <w:lang w:eastAsia="sk-SK"/>
                    </w:rPr>
                    <w:t>19 562</w:t>
                  </w:r>
                </w:p>
              </w:tc>
            </w:tr>
            <w:tr w:rsidR="000D1259" w:rsidRPr="00313721" w14:paraId="16A5A039"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14A39BD5"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2020</w:t>
                  </w:r>
                </w:p>
              </w:tc>
              <w:tc>
                <w:tcPr>
                  <w:tcW w:w="1514" w:type="dxa"/>
                  <w:tcBorders>
                    <w:top w:val="nil"/>
                    <w:left w:val="nil"/>
                    <w:bottom w:val="single" w:sz="4" w:space="0" w:color="auto"/>
                    <w:right w:val="single" w:sz="4" w:space="0" w:color="auto"/>
                  </w:tcBorders>
                  <w:shd w:val="clear" w:color="000000" w:fill="FFFFCC"/>
                  <w:noWrap/>
                  <w:vAlign w:val="center"/>
                  <w:hideMark/>
                </w:tcPr>
                <w:p w14:paraId="639DFA97"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601</w:t>
                  </w:r>
                </w:p>
              </w:tc>
              <w:tc>
                <w:tcPr>
                  <w:tcW w:w="1514" w:type="dxa"/>
                  <w:tcBorders>
                    <w:top w:val="nil"/>
                    <w:left w:val="nil"/>
                    <w:bottom w:val="single" w:sz="4" w:space="0" w:color="auto"/>
                    <w:right w:val="single" w:sz="4" w:space="0" w:color="auto"/>
                  </w:tcBorders>
                  <w:shd w:val="clear" w:color="000000" w:fill="FFCCFF"/>
                  <w:noWrap/>
                  <w:vAlign w:val="center"/>
                  <w:hideMark/>
                </w:tcPr>
                <w:p w14:paraId="3EA3663F"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19 388</w:t>
                  </w:r>
                </w:p>
              </w:tc>
              <w:tc>
                <w:tcPr>
                  <w:tcW w:w="1514" w:type="dxa"/>
                  <w:tcBorders>
                    <w:top w:val="nil"/>
                    <w:left w:val="nil"/>
                    <w:bottom w:val="single" w:sz="4" w:space="0" w:color="auto"/>
                    <w:right w:val="single" w:sz="4" w:space="0" w:color="auto"/>
                  </w:tcBorders>
                  <w:shd w:val="clear" w:color="000000" w:fill="CCFFCC"/>
                  <w:noWrap/>
                  <w:vAlign w:val="center"/>
                  <w:hideMark/>
                </w:tcPr>
                <w:p w14:paraId="1D964E3D"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37</w:t>
                  </w:r>
                </w:p>
              </w:tc>
              <w:tc>
                <w:tcPr>
                  <w:tcW w:w="2114" w:type="dxa"/>
                  <w:tcBorders>
                    <w:top w:val="nil"/>
                    <w:left w:val="nil"/>
                    <w:bottom w:val="single" w:sz="4" w:space="0" w:color="auto"/>
                    <w:right w:val="single" w:sz="4" w:space="0" w:color="auto"/>
                  </w:tcBorders>
                  <w:shd w:val="clear" w:color="auto" w:fill="auto"/>
                  <w:noWrap/>
                  <w:vAlign w:val="center"/>
                  <w:hideMark/>
                </w:tcPr>
                <w:p w14:paraId="2A443B59" w14:textId="77777777" w:rsidR="000D1259" w:rsidRPr="00313721" w:rsidRDefault="000D1259" w:rsidP="000D1259">
                  <w:pPr>
                    <w:spacing w:after="0" w:line="240" w:lineRule="auto"/>
                    <w:jc w:val="center"/>
                    <w:rPr>
                      <w:rFonts w:ascii="Times New Roman" w:eastAsia="Times New Roman" w:hAnsi="Times New Roman" w:cs="Times New Roman"/>
                      <w:color w:val="FF0000"/>
                      <w:sz w:val="20"/>
                      <w:szCs w:val="20"/>
                      <w:lang w:eastAsia="sk-SK"/>
                    </w:rPr>
                  </w:pPr>
                  <w:r w:rsidRPr="00313721">
                    <w:rPr>
                      <w:rFonts w:ascii="Times New Roman" w:eastAsia="Times New Roman" w:hAnsi="Times New Roman" w:cs="Times New Roman"/>
                      <w:color w:val="FF0000"/>
                      <w:sz w:val="20"/>
                      <w:szCs w:val="20"/>
                      <w:lang w:eastAsia="sk-SK"/>
                    </w:rPr>
                    <w:t>20 026</w:t>
                  </w:r>
                </w:p>
              </w:tc>
            </w:tr>
            <w:tr w:rsidR="000D1259" w:rsidRPr="00313721" w14:paraId="739E25E8"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6B006AD8"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2021</w:t>
                  </w:r>
                </w:p>
              </w:tc>
              <w:tc>
                <w:tcPr>
                  <w:tcW w:w="1514" w:type="dxa"/>
                  <w:tcBorders>
                    <w:top w:val="nil"/>
                    <w:left w:val="nil"/>
                    <w:bottom w:val="single" w:sz="4" w:space="0" w:color="auto"/>
                    <w:right w:val="single" w:sz="4" w:space="0" w:color="auto"/>
                  </w:tcBorders>
                  <w:shd w:val="clear" w:color="000000" w:fill="FFFFCC"/>
                  <w:noWrap/>
                  <w:vAlign w:val="center"/>
                  <w:hideMark/>
                </w:tcPr>
                <w:p w14:paraId="0A0FCCE5"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497</w:t>
                  </w:r>
                </w:p>
              </w:tc>
              <w:tc>
                <w:tcPr>
                  <w:tcW w:w="1514" w:type="dxa"/>
                  <w:tcBorders>
                    <w:top w:val="nil"/>
                    <w:left w:val="nil"/>
                    <w:bottom w:val="single" w:sz="4" w:space="0" w:color="auto"/>
                    <w:right w:val="single" w:sz="4" w:space="0" w:color="auto"/>
                  </w:tcBorders>
                  <w:shd w:val="clear" w:color="000000" w:fill="FFCCFF"/>
                  <w:noWrap/>
                  <w:vAlign w:val="center"/>
                  <w:hideMark/>
                </w:tcPr>
                <w:p w14:paraId="1B341A60"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20 639</w:t>
                  </w:r>
                </w:p>
              </w:tc>
              <w:tc>
                <w:tcPr>
                  <w:tcW w:w="1514" w:type="dxa"/>
                  <w:tcBorders>
                    <w:top w:val="nil"/>
                    <w:left w:val="nil"/>
                    <w:bottom w:val="single" w:sz="4" w:space="0" w:color="auto"/>
                    <w:right w:val="single" w:sz="4" w:space="0" w:color="auto"/>
                  </w:tcBorders>
                  <w:shd w:val="clear" w:color="000000" w:fill="CCFFCC"/>
                  <w:noWrap/>
                  <w:vAlign w:val="center"/>
                  <w:hideMark/>
                </w:tcPr>
                <w:p w14:paraId="38E49CA8"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46</w:t>
                  </w:r>
                </w:p>
              </w:tc>
              <w:tc>
                <w:tcPr>
                  <w:tcW w:w="2114" w:type="dxa"/>
                  <w:tcBorders>
                    <w:top w:val="nil"/>
                    <w:left w:val="nil"/>
                    <w:bottom w:val="single" w:sz="4" w:space="0" w:color="auto"/>
                    <w:right w:val="single" w:sz="4" w:space="0" w:color="auto"/>
                  </w:tcBorders>
                  <w:shd w:val="clear" w:color="auto" w:fill="auto"/>
                  <w:noWrap/>
                  <w:vAlign w:val="center"/>
                  <w:hideMark/>
                </w:tcPr>
                <w:p w14:paraId="355AB352" w14:textId="77777777" w:rsidR="000D1259" w:rsidRPr="00313721" w:rsidRDefault="000D1259" w:rsidP="000D1259">
                  <w:pPr>
                    <w:spacing w:after="0" w:line="240" w:lineRule="auto"/>
                    <w:jc w:val="center"/>
                    <w:rPr>
                      <w:rFonts w:ascii="Times New Roman" w:eastAsia="Times New Roman" w:hAnsi="Times New Roman" w:cs="Times New Roman"/>
                      <w:color w:val="FF0000"/>
                      <w:sz w:val="20"/>
                      <w:szCs w:val="20"/>
                      <w:lang w:eastAsia="sk-SK"/>
                    </w:rPr>
                  </w:pPr>
                  <w:r w:rsidRPr="00313721">
                    <w:rPr>
                      <w:rFonts w:ascii="Times New Roman" w:eastAsia="Times New Roman" w:hAnsi="Times New Roman" w:cs="Times New Roman"/>
                      <w:color w:val="FF0000"/>
                      <w:sz w:val="20"/>
                      <w:szCs w:val="20"/>
                      <w:lang w:eastAsia="sk-SK"/>
                    </w:rPr>
                    <w:t>21 182</w:t>
                  </w:r>
                </w:p>
              </w:tc>
            </w:tr>
            <w:tr w:rsidR="000D1259" w:rsidRPr="00313721" w14:paraId="27128F9C"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15211C50"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2022</w:t>
                  </w:r>
                </w:p>
              </w:tc>
              <w:tc>
                <w:tcPr>
                  <w:tcW w:w="1514" w:type="dxa"/>
                  <w:tcBorders>
                    <w:top w:val="nil"/>
                    <w:left w:val="nil"/>
                    <w:bottom w:val="single" w:sz="4" w:space="0" w:color="auto"/>
                    <w:right w:val="single" w:sz="4" w:space="0" w:color="auto"/>
                  </w:tcBorders>
                  <w:shd w:val="clear" w:color="000000" w:fill="FFFFCC"/>
                  <w:noWrap/>
                  <w:vAlign w:val="center"/>
                  <w:hideMark/>
                </w:tcPr>
                <w:p w14:paraId="3247D340"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543</w:t>
                  </w:r>
                </w:p>
              </w:tc>
              <w:tc>
                <w:tcPr>
                  <w:tcW w:w="1514" w:type="dxa"/>
                  <w:tcBorders>
                    <w:top w:val="nil"/>
                    <w:left w:val="nil"/>
                    <w:bottom w:val="single" w:sz="4" w:space="0" w:color="auto"/>
                    <w:right w:val="single" w:sz="4" w:space="0" w:color="auto"/>
                  </w:tcBorders>
                  <w:shd w:val="clear" w:color="000000" w:fill="FFCCFF"/>
                  <w:noWrap/>
                  <w:vAlign w:val="center"/>
                  <w:hideMark/>
                </w:tcPr>
                <w:p w14:paraId="087FFBD8"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22 407</w:t>
                  </w:r>
                </w:p>
              </w:tc>
              <w:tc>
                <w:tcPr>
                  <w:tcW w:w="1514" w:type="dxa"/>
                  <w:tcBorders>
                    <w:top w:val="nil"/>
                    <w:left w:val="nil"/>
                    <w:bottom w:val="single" w:sz="4" w:space="0" w:color="auto"/>
                    <w:right w:val="single" w:sz="4" w:space="0" w:color="auto"/>
                  </w:tcBorders>
                  <w:shd w:val="clear" w:color="000000" w:fill="CCFFCC"/>
                  <w:noWrap/>
                  <w:vAlign w:val="center"/>
                  <w:hideMark/>
                </w:tcPr>
                <w:p w14:paraId="30ED4CC9"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76</w:t>
                  </w:r>
                </w:p>
              </w:tc>
              <w:tc>
                <w:tcPr>
                  <w:tcW w:w="2114" w:type="dxa"/>
                  <w:tcBorders>
                    <w:top w:val="nil"/>
                    <w:left w:val="nil"/>
                    <w:bottom w:val="single" w:sz="4" w:space="0" w:color="auto"/>
                    <w:right w:val="single" w:sz="4" w:space="0" w:color="auto"/>
                  </w:tcBorders>
                  <w:shd w:val="clear" w:color="auto" w:fill="auto"/>
                  <w:noWrap/>
                  <w:vAlign w:val="center"/>
                  <w:hideMark/>
                </w:tcPr>
                <w:p w14:paraId="1AA78128" w14:textId="77777777" w:rsidR="000D1259" w:rsidRPr="00313721" w:rsidRDefault="000D1259" w:rsidP="000D1259">
                  <w:pPr>
                    <w:spacing w:after="0" w:line="240" w:lineRule="auto"/>
                    <w:jc w:val="center"/>
                    <w:rPr>
                      <w:rFonts w:ascii="Times New Roman" w:eastAsia="Times New Roman" w:hAnsi="Times New Roman" w:cs="Times New Roman"/>
                      <w:color w:val="FF0000"/>
                      <w:sz w:val="20"/>
                      <w:szCs w:val="20"/>
                      <w:lang w:eastAsia="sk-SK"/>
                    </w:rPr>
                  </w:pPr>
                  <w:r w:rsidRPr="00313721">
                    <w:rPr>
                      <w:rFonts w:ascii="Times New Roman" w:eastAsia="Times New Roman" w:hAnsi="Times New Roman" w:cs="Times New Roman"/>
                      <w:color w:val="FF0000"/>
                      <w:sz w:val="20"/>
                      <w:szCs w:val="20"/>
                      <w:lang w:eastAsia="sk-SK"/>
                    </w:rPr>
                    <w:t>23 026</w:t>
                  </w:r>
                </w:p>
              </w:tc>
            </w:tr>
            <w:tr w:rsidR="000D1259" w:rsidRPr="00313721" w14:paraId="4D84A0AD"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0E1C105E"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2023</w:t>
                  </w:r>
                </w:p>
              </w:tc>
              <w:tc>
                <w:tcPr>
                  <w:tcW w:w="1514" w:type="dxa"/>
                  <w:tcBorders>
                    <w:top w:val="nil"/>
                    <w:left w:val="nil"/>
                    <w:bottom w:val="single" w:sz="4" w:space="0" w:color="auto"/>
                    <w:right w:val="single" w:sz="4" w:space="0" w:color="auto"/>
                  </w:tcBorders>
                  <w:shd w:val="clear" w:color="000000" w:fill="FFFFCC"/>
                  <w:noWrap/>
                  <w:vAlign w:val="center"/>
                  <w:hideMark/>
                </w:tcPr>
                <w:p w14:paraId="65AC9E91"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457</w:t>
                  </w:r>
                </w:p>
              </w:tc>
              <w:tc>
                <w:tcPr>
                  <w:tcW w:w="1514" w:type="dxa"/>
                  <w:tcBorders>
                    <w:top w:val="nil"/>
                    <w:left w:val="nil"/>
                    <w:bottom w:val="single" w:sz="4" w:space="0" w:color="auto"/>
                    <w:right w:val="single" w:sz="4" w:space="0" w:color="auto"/>
                  </w:tcBorders>
                  <w:shd w:val="clear" w:color="000000" w:fill="FFCCFF"/>
                  <w:noWrap/>
                  <w:vAlign w:val="center"/>
                  <w:hideMark/>
                </w:tcPr>
                <w:p w14:paraId="2A4C1843"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18 857</w:t>
                  </w:r>
                </w:p>
              </w:tc>
              <w:tc>
                <w:tcPr>
                  <w:tcW w:w="1514" w:type="dxa"/>
                  <w:tcBorders>
                    <w:top w:val="nil"/>
                    <w:left w:val="nil"/>
                    <w:bottom w:val="single" w:sz="4" w:space="0" w:color="auto"/>
                    <w:right w:val="single" w:sz="4" w:space="0" w:color="auto"/>
                  </w:tcBorders>
                  <w:shd w:val="clear" w:color="000000" w:fill="CCFFCC"/>
                  <w:noWrap/>
                  <w:vAlign w:val="center"/>
                  <w:hideMark/>
                </w:tcPr>
                <w:p w14:paraId="444B9848"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81</w:t>
                  </w:r>
                </w:p>
              </w:tc>
              <w:tc>
                <w:tcPr>
                  <w:tcW w:w="2114" w:type="dxa"/>
                  <w:tcBorders>
                    <w:top w:val="nil"/>
                    <w:left w:val="nil"/>
                    <w:bottom w:val="single" w:sz="4" w:space="0" w:color="auto"/>
                    <w:right w:val="single" w:sz="4" w:space="0" w:color="auto"/>
                  </w:tcBorders>
                  <w:shd w:val="clear" w:color="auto" w:fill="auto"/>
                  <w:noWrap/>
                  <w:vAlign w:val="center"/>
                  <w:hideMark/>
                </w:tcPr>
                <w:p w14:paraId="231DE91C" w14:textId="77777777" w:rsidR="000D1259" w:rsidRPr="00313721" w:rsidRDefault="000D1259" w:rsidP="000D1259">
                  <w:pPr>
                    <w:spacing w:after="0" w:line="240" w:lineRule="auto"/>
                    <w:jc w:val="center"/>
                    <w:rPr>
                      <w:rFonts w:ascii="Times New Roman" w:eastAsia="Times New Roman" w:hAnsi="Times New Roman" w:cs="Times New Roman"/>
                      <w:color w:val="FF0000"/>
                      <w:sz w:val="20"/>
                      <w:szCs w:val="20"/>
                      <w:lang w:eastAsia="sk-SK"/>
                    </w:rPr>
                  </w:pPr>
                  <w:r w:rsidRPr="00313721">
                    <w:rPr>
                      <w:rFonts w:ascii="Times New Roman" w:eastAsia="Times New Roman" w:hAnsi="Times New Roman" w:cs="Times New Roman"/>
                      <w:color w:val="FF0000"/>
                      <w:sz w:val="20"/>
                      <w:szCs w:val="20"/>
                      <w:lang w:eastAsia="sk-SK"/>
                    </w:rPr>
                    <w:t>19 395</w:t>
                  </w:r>
                </w:p>
              </w:tc>
            </w:tr>
            <w:tr w:rsidR="000D1259" w:rsidRPr="00313721" w14:paraId="1BCA7012"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7414EDF4"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Spolu:</w:t>
                  </w:r>
                </w:p>
              </w:tc>
              <w:tc>
                <w:tcPr>
                  <w:tcW w:w="1514" w:type="dxa"/>
                  <w:tcBorders>
                    <w:top w:val="nil"/>
                    <w:left w:val="nil"/>
                    <w:bottom w:val="single" w:sz="4" w:space="0" w:color="auto"/>
                    <w:right w:val="single" w:sz="4" w:space="0" w:color="auto"/>
                  </w:tcBorders>
                  <w:shd w:val="clear" w:color="000000" w:fill="FFFFCC"/>
                  <w:noWrap/>
                  <w:vAlign w:val="center"/>
                  <w:hideMark/>
                </w:tcPr>
                <w:p w14:paraId="61F99310"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2904</w:t>
                  </w:r>
                </w:p>
              </w:tc>
              <w:tc>
                <w:tcPr>
                  <w:tcW w:w="1514" w:type="dxa"/>
                  <w:tcBorders>
                    <w:top w:val="nil"/>
                    <w:left w:val="nil"/>
                    <w:bottom w:val="single" w:sz="4" w:space="0" w:color="auto"/>
                    <w:right w:val="single" w:sz="4" w:space="0" w:color="auto"/>
                  </w:tcBorders>
                  <w:shd w:val="clear" w:color="000000" w:fill="FFCCFF"/>
                  <w:noWrap/>
                  <w:vAlign w:val="center"/>
                  <w:hideMark/>
                </w:tcPr>
                <w:p w14:paraId="3E8BBC88"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100 006</w:t>
                  </w:r>
                </w:p>
              </w:tc>
              <w:tc>
                <w:tcPr>
                  <w:tcW w:w="1514" w:type="dxa"/>
                  <w:tcBorders>
                    <w:top w:val="nil"/>
                    <w:left w:val="nil"/>
                    <w:bottom w:val="single" w:sz="4" w:space="0" w:color="auto"/>
                    <w:right w:val="single" w:sz="4" w:space="0" w:color="auto"/>
                  </w:tcBorders>
                  <w:shd w:val="clear" w:color="000000" w:fill="CCFFCC"/>
                  <w:noWrap/>
                  <w:vAlign w:val="center"/>
                  <w:hideMark/>
                </w:tcPr>
                <w:p w14:paraId="11CC8094" w14:textId="77777777" w:rsidR="000D1259" w:rsidRPr="00313721" w:rsidRDefault="000D1259" w:rsidP="000D1259">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281</w:t>
                  </w:r>
                </w:p>
              </w:tc>
              <w:tc>
                <w:tcPr>
                  <w:tcW w:w="2114" w:type="dxa"/>
                  <w:tcBorders>
                    <w:top w:val="nil"/>
                    <w:left w:val="nil"/>
                    <w:bottom w:val="single" w:sz="4" w:space="0" w:color="auto"/>
                    <w:right w:val="single" w:sz="4" w:space="0" w:color="auto"/>
                  </w:tcBorders>
                  <w:shd w:val="clear" w:color="auto" w:fill="auto"/>
                  <w:noWrap/>
                  <w:vAlign w:val="center"/>
                  <w:hideMark/>
                </w:tcPr>
                <w:p w14:paraId="6D6D7911" w14:textId="77777777" w:rsidR="000D1259" w:rsidRPr="00313721" w:rsidRDefault="000D1259" w:rsidP="000D1259">
                  <w:pPr>
                    <w:spacing w:after="0" w:line="240" w:lineRule="auto"/>
                    <w:jc w:val="center"/>
                    <w:rPr>
                      <w:rFonts w:ascii="Times New Roman" w:eastAsia="Times New Roman" w:hAnsi="Times New Roman" w:cs="Times New Roman"/>
                      <w:b/>
                      <w:bCs/>
                      <w:color w:val="FF0000"/>
                      <w:sz w:val="20"/>
                      <w:szCs w:val="20"/>
                      <w:lang w:eastAsia="sk-SK"/>
                    </w:rPr>
                  </w:pPr>
                  <w:r w:rsidRPr="00313721">
                    <w:rPr>
                      <w:rFonts w:ascii="Times New Roman" w:eastAsia="Times New Roman" w:hAnsi="Times New Roman" w:cs="Times New Roman"/>
                      <w:b/>
                      <w:bCs/>
                      <w:color w:val="FF0000"/>
                      <w:sz w:val="20"/>
                      <w:szCs w:val="20"/>
                      <w:lang w:eastAsia="sk-SK"/>
                    </w:rPr>
                    <w:t>103 191</w:t>
                  </w:r>
                </w:p>
              </w:tc>
            </w:tr>
            <w:tr w:rsidR="000D1259" w:rsidRPr="00313721" w14:paraId="5F641709" w14:textId="77777777" w:rsidTr="001C45BA">
              <w:trPr>
                <w:trHeight w:val="244"/>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403A35C9" w14:textId="77777777" w:rsidR="000D1259" w:rsidRPr="00313721" w:rsidRDefault="000D1259" w:rsidP="000D1259">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Priemer</w:t>
                  </w:r>
                </w:p>
              </w:tc>
              <w:tc>
                <w:tcPr>
                  <w:tcW w:w="1514" w:type="dxa"/>
                  <w:tcBorders>
                    <w:top w:val="nil"/>
                    <w:left w:val="nil"/>
                    <w:bottom w:val="single" w:sz="4" w:space="0" w:color="auto"/>
                    <w:right w:val="single" w:sz="4" w:space="0" w:color="auto"/>
                  </w:tcBorders>
                  <w:shd w:val="clear" w:color="auto" w:fill="auto"/>
                  <w:noWrap/>
                  <w:vAlign w:val="bottom"/>
                  <w:hideMark/>
                </w:tcPr>
                <w:p w14:paraId="142E324B"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580,8</w:t>
                  </w:r>
                </w:p>
              </w:tc>
              <w:tc>
                <w:tcPr>
                  <w:tcW w:w="1514" w:type="dxa"/>
                  <w:tcBorders>
                    <w:top w:val="nil"/>
                    <w:left w:val="nil"/>
                    <w:bottom w:val="single" w:sz="4" w:space="0" w:color="auto"/>
                    <w:right w:val="single" w:sz="4" w:space="0" w:color="auto"/>
                  </w:tcBorders>
                  <w:shd w:val="clear" w:color="auto" w:fill="auto"/>
                  <w:noWrap/>
                  <w:vAlign w:val="bottom"/>
                  <w:hideMark/>
                </w:tcPr>
                <w:p w14:paraId="4B4C2BA8"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20 001</w:t>
                  </w:r>
                </w:p>
              </w:tc>
              <w:tc>
                <w:tcPr>
                  <w:tcW w:w="1514" w:type="dxa"/>
                  <w:tcBorders>
                    <w:top w:val="nil"/>
                    <w:left w:val="nil"/>
                    <w:bottom w:val="single" w:sz="4" w:space="0" w:color="auto"/>
                    <w:right w:val="single" w:sz="4" w:space="0" w:color="auto"/>
                  </w:tcBorders>
                  <w:shd w:val="clear" w:color="auto" w:fill="auto"/>
                  <w:noWrap/>
                  <w:vAlign w:val="bottom"/>
                  <w:hideMark/>
                </w:tcPr>
                <w:p w14:paraId="44339FA7"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56,2</w:t>
                  </w:r>
                </w:p>
              </w:tc>
              <w:tc>
                <w:tcPr>
                  <w:tcW w:w="2114" w:type="dxa"/>
                  <w:tcBorders>
                    <w:top w:val="nil"/>
                    <w:left w:val="nil"/>
                    <w:bottom w:val="single" w:sz="4" w:space="0" w:color="auto"/>
                    <w:right w:val="single" w:sz="4" w:space="0" w:color="auto"/>
                  </w:tcBorders>
                  <w:shd w:val="clear" w:color="auto" w:fill="auto"/>
                  <w:noWrap/>
                  <w:vAlign w:val="bottom"/>
                  <w:hideMark/>
                </w:tcPr>
                <w:p w14:paraId="0B80986C" w14:textId="77777777" w:rsidR="000D1259" w:rsidRPr="00313721" w:rsidRDefault="000D1259" w:rsidP="000D1259">
                  <w:pPr>
                    <w:spacing w:after="0" w:line="240" w:lineRule="auto"/>
                    <w:jc w:val="center"/>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20 638</w:t>
                  </w:r>
                </w:p>
              </w:tc>
            </w:tr>
          </w:tbl>
          <w:p w14:paraId="755B693E" w14:textId="77777777" w:rsidR="000D1259" w:rsidRPr="00313721" w:rsidRDefault="000D1259" w:rsidP="000D1259">
            <w:pPr>
              <w:jc w:val="both"/>
              <w:rPr>
                <w:rFonts w:ascii="Times New Roman" w:hAnsi="Times New Roman" w:cs="Times New Roman"/>
                <w:bCs/>
              </w:rPr>
            </w:pPr>
          </w:p>
          <w:p w14:paraId="026B611A" w14:textId="698A1C1E" w:rsidR="00334FB1" w:rsidRPr="00313721" w:rsidRDefault="000D1259" w:rsidP="003D022E">
            <w:pPr>
              <w:jc w:val="both"/>
              <w:rPr>
                <w:rFonts w:ascii="Times New Roman" w:hAnsi="Times New Roman" w:cs="Times New Roman"/>
                <w:bCs/>
              </w:rPr>
            </w:pPr>
            <w:r w:rsidRPr="00313721">
              <w:rPr>
                <w:rFonts w:ascii="Times New Roman" w:hAnsi="Times New Roman" w:cs="Times New Roman"/>
                <w:bCs/>
              </w:rPr>
              <w:t>P</w:t>
            </w:r>
            <w:r w:rsidR="00334FB1" w:rsidRPr="00313721">
              <w:rPr>
                <w:rFonts w:ascii="Times New Roman" w:hAnsi="Times New Roman" w:cs="Times New Roman"/>
                <w:bCs/>
              </w:rPr>
              <w:t>redmetom predloženého návrhu v časti novelizácie zákona</w:t>
            </w:r>
            <w:r w:rsidR="001536C5" w:rsidRPr="00313721">
              <w:rPr>
                <w:rFonts w:ascii="Times New Roman" w:hAnsi="Times New Roman" w:cs="Times New Roman"/>
                <w:bCs/>
              </w:rPr>
              <w:t xml:space="preserve"> NR SR</w:t>
            </w:r>
            <w:r w:rsidR="00334FB1" w:rsidRPr="00313721">
              <w:rPr>
                <w:rFonts w:ascii="Times New Roman" w:hAnsi="Times New Roman" w:cs="Times New Roman"/>
                <w:bCs/>
              </w:rPr>
              <w:t xml:space="preserve"> č. 145/1995 Zb. o správnych poplatkoch v znení neskorších predpisov je návrh na úpravu sadzieb správnych poplatkov v časti XVI. Priemyselné práva Sadzobníka správnych poplatkov, zavedenie dvoch nových správnych poplatkov a zrušenie troch správnych poplatkov. </w:t>
            </w:r>
          </w:p>
          <w:p w14:paraId="6C78C762" w14:textId="77777777" w:rsidR="00334FB1" w:rsidRPr="00313721" w:rsidRDefault="00334FB1" w:rsidP="003D022E">
            <w:pPr>
              <w:jc w:val="both"/>
              <w:rPr>
                <w:rFonts w:ascii="Times New Roman" w:hAnsi="Times New Roman" w:cs="Times New Roman"/>
                <w:bCs/>
              </w:rPr>
            </w:pPr>
          </w:p>
          <w:p w14:paraId="7085E97F"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Posledná revízia správnych poplatkov v oblasti priemyselného vlastníctva bola realizovaná zákonom č. 242/2017 Z. z., ktorým sa mení a dopĺňa zákon č. 435/2001 Z. z. o patentoch, dodatkových ochranných osvedčeniach a o zmene a doplnení niektorých zákonov (patentový zákon) v znení neskorších predpisov a ktorým sa menia a dopĺňajú niektoré zákony s účinnosťou od 1. januára 2018</w:t>
            </w:r>
            <w:r w:rsidRPr="00313721">
              <w:rPr>
                <w:rFonts w:ascii="Times New Roman" w:hAnsi="Times New Roman" w:cs="Times New Roman"/>
              </w:rPr>
              <w:t>, pričom táto úprava nepredstavovala výraznejšie navýšenie súm jednotlivých správnych poplatkov.</w:t>
            </w:r>
            <w:r w:rsidRPr="00313721">
              <w:rPr>
                <w:rFonts w:ascii="Times New Roman" w:hAnsi="Times New Roman" w:cs="Times New Roman"/>
                <w:bCs/>
              </w:rPr>
              <w:t xml:space="preserve"> </w:t>
            </w:r>
          </w:p>
          <w:p w14:paraId="5C5B9775" w14:textId="77777777" w:rsidR="00334FB1" w:rsidRPr="00313721" w:rsidRDefault="00334FB1" w:rsidP="003D022E">
            <w:pPr>
              <w:jc w:val="both"/>
              <w:rPr>
                <w:rFonts w:ascii="Times New Roman" w:hAnsi="Times New Roman" w:cs="Times New Roman"/>
                <w:bCs/>
              </w:rPr>
            </w:pPr>
          </w:p>
          <w:p w14:paraId="40CE5A1E"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Aktuálny návrh na úpravu sadzieb správnych poplatkov v oblasti priemyselného vlastníctva vychádza z potreby prehodnotiť výšku sadzieb vybraných správnych poplatkov za úkony realizované v konaní pred ÚPV SR s ohľadom na náročnosť jednotlivých úkonov a komplexnosť ich zabezpečenia, </w:t>
            </w:r>
            <w:r w:rsidRPr="00313721">
              <w:rPr>
                <w:rFonts w:ascii="Times New Roman" w:hAnsi="Times New Roman" w:cs="Times New Roman"/>
                <w:bCs/>
              </w:rPr>
              <w:lastRenderedPageBreak/>
              <w:t xml:space="preserve">pravidlá vyplývajúce z elektronizácie štátnej správy pri súbežnom prihliadnutí na celospoločenské ekonomické ukazovatele vyjadrené predovšetkým prostredníctvom inflačného koeficientu. </w:t>
            </w:r>
          </w:p>
          <w:p w14:paraId="4763F8FB" w14:textId="77777777" w:rsidR="00334FB1" w:rsidRPr="00313721" w:rsidRDefault="00334FB1" w:rsidP="003D022E">
            <w:pPr>
              <w:jc w:val="both"/>
              <w:rPr>
                <w:rFonts w:ascii="Times New Roman" w:hAnsi="Times New Roman" w:cs="Times New Roman"/>
                <w:bCs/>
              </w:rPr>
            </w:pPr>
          </w:p>
          <w:p w14:paraId="5C217C2E" w14:textId="61DB15EA" w:rsidR="00334FB1" w:rsidRPr="00313721" w:rsidRDefault="00334FB1" w:rsidP="003D022E">
            <w:pPr>
              <w:jc w:val="both"/>
              <w:rPr>
                <w:rFonts w:ascii="Times New Roman" w:hAnsi="Times New Roman" w:cs="Times New Roman"/>
              </w:rPr>
            </w:pPr>
            <w:r w:rsidRPr="00313721">
              <w:rPr>
                <w:rFonts w:ascii="Times New Roman" w:hAnsi="Times New Roman" w:cs="Times New Roman"/>
                <w:bCs/>
              </w:rPr>
              <w:t xml:space="preserve">Predmetom predloženého návrhu v časti novelizácie zákona </w:t>
            </w:r>
            <w:r w:rsidRPr="00313721">
              <w:rPr>
                <w:rFonts w:ascii="Times New Roman" w:eastAsia="Times New Roman" w:hAnsi="Times New Roman" w:cs="Times New Roman"/>
                <w:lang w:eastAsia="ja-JP"/>
              </w:rPr>
              <w:t xml:space="preserve">č. 495/2008 Z. z. </w:t>
            </w:r>
            <w:r w:rsidRPr="00313721">
              <w:rPr>
                <w:rFonts w:ascii="Times New Roman" w:hAnsi="Times New Roman" w:cs="Times New Roman"/>
              </w:rPr>
              <w:t xml:space="preserve">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w:t>
            </w:r>
            <w:r w:rsidRPr="00313721">
              <w:rPr>
                <w:rFonts w:ascii="Times New Roman" w:hAnsi="Times New Roman" w:cs="Times New Roman"/>
                <w:bCs/>
              </w:rPr>
              <w:t xml:space="preserve">je návrh na úpravu  Sadzobníka udržiavacích poplatkov. </w:t>
            </w:r>
            <w:r w:rsidRPr="00313721">
              <w:rPr>
                <w:rFonts w:ascii="Times New Roman" w:hAnsi="Times New Roman" w:cs="Times New Roman"/>
              </w:rPr>
              <w:t xml:space="preserve">Sumy udržiavacích poplatkov ustanovené v Sadzobníku udržiavacích poplatkov neboli vôbec upravované od účinnosti zákona o udržiavacích poplatkoch, t. j. od 1. februára 2009.  </w:t>
            </w:r>
          </w:p>
          <w:p w14:paraId="2CE49F1B" w14:textId="77777777" w:rsidR="000D1259" w:rsidRPr="00313721" w:rsidRDefault="000D1259" w:rsidP="003D022E">
            <w:pPr>
              <w:jc w:val="both"/>
              <w:rPr>
                <w:rFonts w:ascii="Times New Roman" w:hAnsi="Times New Roman" w:cs="Times New Roman"/>
                <w:bCs/>
              </w:rPr>
            </w:pPr>
          </w:p>
          <w:p w14:paraId="0BA5D93D" w14:textId="77777777"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Z prehľadu výberu správnych a udržiavacích poplatkov za roky 2019 až 2023 (viď Tabuľka č. 4) je možné skonštatovať klesajúci trend vo výbere správnych poplatkov zo strany ÚPV SR, resp. pretrvávajúci pokles celkovej sumy vybraných správnych poplatkov, a to aj pri vyrovnane oscilujúcom počte spracovaných správnych a udržiavacích poplatkoch. </w:t>
            </w:r>
          </w:p>
          <w:p w14:paraId="748BBB8B" w14:textId="77777777" w:rsidR="00334FB1" w:rsidRPr="00313721" w:rsidRDefault="00334FB1" w:rsidP="003D022E">
            <w:pPr>
              <w:jc w:val="both"/>
              <w:rPr>
                <w:rFonts w:ascii="Times New Roman" w:hAnsi="Times New Roman" w:cs="Times New Roman"/>
                <w:bCs/>
              </w:rPr>
            </w:pPr>
          </w:p>
          <w:p w14:paraId="43AC51BA" w14:textId="77777777" w:rsidR="00334FB1" w:rsidRPr="00313721" w:rsidRDefault="00334FB1" w:rsidP="003D022E">
            <w:pPr>
              <w:ind w:right="28"/>
              <w:jc w:val="both"/>
              <w:rPr>
                <w:rFonts w:ascii="Times New Roman" w:hAnsi="Times New Roman" w:cs="Times New Roman"/>
                <w:bCs/>
              </w:rPr>
            </w:pPr>
            <w:r w:rsidRPr="00313721">
              <w:rPr>
                <w:rFonts w:ascii="Times New Roman" w:hAnsi="Times New Roman" w:cs="Times New Roman"/>
                <w:bCs/>
              </w:rPr>
              <w:t xml:space="preserve">Vo vzťahu k údajom uvedeným v Tabuľke č. 4 predkladateľ pre úplnosť uvádza, že suma vybraných udržiavacích poplatkov predstavuje celkovú sumu, avšak príjmom ÚPV SR z udržiavacích poplatkov sa stáva až suma po odvedení časti udržiavacieho poplatku za európsky patent Európskemu patentovému úradu (čo predstavuje cca 50 % z vybraného udržiavacieho poplatku – viď </w:t>
            </w:r>
            <w:hyperlink r:id="rId13" w:history="1">
              <w:r w:rsidRPr="00313721">
                <w:rPr>
                  <w:rStyle w:val="Hypertextovprepojenie"/>
                  <w:rFonts w:ascii="Times New Roman" w:hAnsi="Times New Roman" w:cs="Times New Roman"/>
                  <w:bCs/>
                </w:rPr>
                <w:t>Rozhodnutie Správnej Rady EPO</w:t>
              </w:r>
            </w:hyperlink>
            <w:r w:rsidRPr="00313721">
              <w:rPr>
                <w:rFonts w:ascii="Times New Roman" w:hAnsi="Times New Roman" w:cs="Times New Roman"/>
                <w:bCs/>
              </w:rPr>
              <w:t>).</w:t>
            </w:r>
          </w:p>
          <w:p w14:paraId="44C83864" w14:textId="77777777" w:rsidR="00334FB1" w:rsidRPr="00313721" w:rsidRDefault="00334FB1" w:rsidP="003D022E">
            <w:pPr>
              <w:ind w:right="28"/>
              <w:jc w:val="both"/>
              <w:rPr>
                <w:rFonts w:ascii="Times New Roman" w:hAnsi="Times New Roman" w:cs="Times New Roman"/>
                <w:bCs/>
              </w:rPr>
            </w:pPr>
          </w:p>
          <w:p w14:paraId="50283CC7" w14:textId="77777777" w:rsidR="00334FB1" w:rsidRPr="00313721" w:rsidRDefault="00334FB1" w:rsidP="003D022E">
            <w:pPr>
              <w:ind w:right="28"/>
              <w:jc w:val="both"/>
              <w:rPr>
                <w:rFonts w:ascii="Times New Roman" w:hAnsi="Times New Roman" w:cs="Times New Roman"/>
              </w:rPr>
            </w:pPr>
            <w:r w:rsidRPr="00313721">
              <w:rPr>
                <w:rFonts w:ascii="Times New Roman" w:hAnsi="Times New Roman" w:cs="Times New Roman"/>
                <w:bCs/>
              </w:rPr>
              <w:t xml:space="preserve">Z tabuľky č. 4 ako aj z jednotlivých výročných správ ÚPV SR je zároveň zrejmé, že príjmy ÚPV SR z udržiavacích poplatkov majú najvyšší podiel na celkových príjmoch ÚPV SR, a teda zásadný vplyv na hospodárenie rozpočtovej kapitoly ÚPV SR. </w:t>
            </w:r>
          </w:p>
          <w:p w14:paraId="32B08013" w14:textId="77777777" w:rsidR="00334FB1" w:rsidRPr="00313721" w:rsidRDefault="00334FB1" w:rsidP="003D022E">
            <w:pPr>
              <w:ind w:right="28"/>
              <w:jc w:val="both"/>
              <w:rPr>
                <w:rFonts w:ascii="Times New Roman" w:hAnsi="Times New Roman" w:cs="Times New Roman"/>
                <w:bCs/>
              </w:rPr>
            </w:pPr>
          </w:p>
          <w:p w14:paraId="382E3451" w14:textId="4051DD6B" w:rsidR="00334FB1" w:rsidRPr="00313721" w:rsidRDefault="00334FB1" w:rsidP="003D022E">
            <w:pPr>
              <w:jc w:val="both"/>
              <w:rPr>
                <w:rFonts w:ascii="Times New Roman" w:hAnsi="Times New Roman" w:cs="Times New Roman"/>
                <w:bCs/>
              </w:rPr>
            </w:pPr>
            <w:r w:rsidRPr="00313721">
              <w:rPr>
                <w:rFonts w:ascii="Times New Roman" w:hAnsi="Times New Roman" w:cs="Times New Roman"/>
                <w:bCs/>
              </w:rPr>
              <w:t xml:space="preserve">Na účely komplexného pohľadu predkladateľ v Tabuľke č. </w:t>
            </w:r>
            <w:r w:rsidR="00610D27" w:rsidRPr="00313721">
              <w:rPr>
                <w:rFonts w:ascii="Times New Roman" w:hAnsi="Times New Roman" w:cs="Times New Roman"/>
                <w:bCs/>
              </w:rPr>
              <w:t>6</w:t>
            </w:r>
            <w:r w:rsidRPr="00313721">
              <w:rPr>
                <w:rFonts w:ascii="Times New Roman" w:hAnsi="Times New Roman" w:cs="Times New Roman"/>
                <w:bCs/>
              </w:rPr>
              <w:t xml:space="preserve"> sumarizuje prehľad nových podaných prihlášok podľa jednotlivých predmetov priemyselného vlastníctva, ktorým chce poukázať na skutočnosť, že trend nových podaní, ktoré je vo vzťahu k ÚPV SR z hľadiska jeho pôsobnosti možné označiť za základné a vo vzťahu k analýze početnosti a celkovej sumy súvisiacich správnych konaní a správnych poplatkov/udržiavacích poplatkov za určujúce, je v sledovaných rokoch (2019 až 2023) stabilný. </w:t>
            </w:r>
          </w:p>
          <w:p w14:paraId="5F99D1FA" w14:textId="77777777" w:rsidR="00334FB1" w:rsidRPr="00313721" w:rsidRDefault="00334FB1" w:rsidP="003D022E">
            <w:pPr>
              <w:jc w:val="both"/>
              <w:rPr>
                <w:rFonts w:ascii="Times New Roman" w:hAnsi="Times New Roman" w:cs="Times New Roman"/>
                <w:bCs/>
                <w:sz w:val="24"/>
                <w:szCs w:val="24"/>
              </w:rPr>
            </w:pPr>
          </w:p>
          <w:p w14:paraId="2B1959C2" w14:textId="12CCA958" w:rsidR="00334FB1" w:rsidRPr="00313721" w:rsidRDefault="00334FB1" w:rsidP="003D022E">
            <w:pPr>
              <w:jc w:val="both"/>
              <w:rPr>
                <w:rFonts w:ascii="Times New Roman" w:hAnsi="Times New Roman" w:cs="Times New Roman"/>
                <w:bCs/>
              </w:rPr>
            </w:pPr>
            <w:r w:rsidRPr="00313721">
              <w:rPr>
                <w:rFonts w:ascii="Times New Roman" w:hAnsi="Times New Roman" w:cs="Times New Roman"/>
                <w:b/>
              </w:rPr>
              <w:t xml:space="preserve">Tabuľka č. </w:t>
            </w:r>
            <w:r w:rsidR="00610D27" w:rsidRPr="00313721">
              <w:rPr>
                <w:rFonts w:ascii="Times New Roman" w:hAnsi="Times New Roman" w:cs="Times New Roman"/>
                <w:b/>
              </w:rPr>
              <w:t>6</w:t>
            </w:r>
            <w:r w:rsidRPr="00313721">
              <w:rPr>
                <w:rFonts w:ascii="Times New Roman" w:hAnsi="Times New Roman" w:cs="Times New Roman"/>
                <w:b/>
              </w:rPr>
              <w:t xml:space="preserve"> Trend podávania nových prihlášok v rokoch 2019 až 2023</w:t>
            </w:r>
            <w:r w:rsidRPr="00313721">
              <w:rPr>
                <w:rFonts w:ascii="Times New Roman" w:hAnsi="Times New Roman" w:cs="Times New Roman"/>
                <w:bCs/>
              </w:rPr>
              <w:t xml:space="preserve"> *</w:t>
            </w:r>
          </w:p>
          <w:tbl>
            <w:tblPr>
              <w:tblStyle w:val="Mriekatabuky"/>
              <w:tblW w:w="0" w:type="auto"/>
              <w:tblLook w:val="04A0" w:firstRow="1" w:lastRow="0" w:firstColumn="1" w:lastColumn="0" w:noHBand="0" w:noVBand="1"/>
            </w:tblPr>
            <w:tblGrid>
              <w:gridCol w:w="2153"/>
              <w:gridCol w:w="1106"/>
              <w:gridCol w:w="1107"/>
              <w:gridCol w:w="1108"/>
              <w:gridCol w:w="1108"/>
              <w:gridCol w:w="1108"/>
              <w:gridCol w:w="987"/>
            </w:tblGrid>
            <w:tr w:rsidR="00334FB1" w:rsidRPr="00313721" w14:paraId="07C47AFA" w14:textId="77777777" w:rsidTr="003F1358">
              <w:trPr>
                <w:trHeight w:val="439"/>
              </w:trPr>
              <w:tc>
                <w:tcPr>
                  <w:tcW w:w="2153" w:type="dxa"/>
                  <w:shd w:val="clear" w:color="auto" w:fill="BDD6EE" w:themeFill="accent1" w:themeFillTint="66"/>
                </w:tcPr>
                <w:p w14:paraId="06953D93" w14:textId="77777777" w:rsidR="00334FB1" w:rsidRPr="00313721" w:rsidRDefault="00334FB1" w:rsidP="003D022E">
                  <w:pPr>
                    <w:jc w:val="both"/>
                    <w:rPr>
                      <w:rFonts w:ascii="Times New Roman" w:hAnsi="Times New Roman" w:cs="Times New Roman"/>
                      <w:b/>
                      <w:sz w:val="20"/>
                      <w:szCs w:val="20"/>
                    </w:rPr>
                  </w:pPr>
                  <w:r w:rsidRPr="00313721">
                    <w:rPr>
                      <w:rFonts w:ascii="Times New Roman" w:hAnsi="Times New Roman" w:cs="Times New Roman"/>
                      <w:b/>
                      <w:sz w:val="20"/>
                      <w:szCs w:val="20"/>
                    </w:rPr>
                    <w:t>Počet nových podaní podľa predmetov priemyselného vlastníctva</w:t>
                  </w:r>
                </w:p>
              </w:tc>
              <w:tc>
                <w:tcPr>
                  <w:tcW w:w="1106" w:type="dxa"/>
                  <w:shd w:val="clear" w:color="auto" w:fill="BDD6EE" w:themeFill="accent1" w:themeFillTint="66"/>
                </w:tcPr>
                <w:p w14:paraId="2667D891" w14:textId="77777777" w:rsidR="00334FB1" w:rsidRPr="00313721" w:rsidRDefault="00334FB1" w:rsidP="003D022E">
                  <w:pPr>
                    <w:tabs>
                      <w:tab w:val="left" w:pos="1440"/>
                    </w:tabs>
                    <w:jc w:val="center"/>
                    <w:rPr>
                      <w:rFonts w:ascii="Times New Roman" w:hAnsi="Times New Roman" w:cs="Times New Roman"/>
                      <w:b/>
                    </w:rPr>
                  </w:pPr>
                </w:p>
                <w:p w14:paraId="78EBF3EF" w14:textId="77777777" w:rsidR="00334FB1" w:rsidRPr="00313721" w:rsidRDefault="00334FB1" w:rsidP="003D022E">
                  <w:pPr>
                    <w:tabs>
                      <w:tab w:val="left" w:pos="1440"/>
                    </w:tabs>
                    <w:jc w:val="center"/>
                    <w:rPr>
                      <w:rFonts w:ascii="Times New Roman" w:hAnsi="Times New Roman" w:cs="Times New Roman"/>
                      <w:b/>
                    </w:rPr>
                  </w:pPr>
                </w:p>
                <w:p w14:paraId="0EFA200C" w14:textId="77777777" w:rsidR="00334FB1" w:rsidRPr="00313721" w:rsidRDefault="00334FB1" w:rsidP="003D022E">
                  <w:pPr>
                    <w:tabs>
                      <w:tab w:val="left" w:pos="1440"/>
                    </w:tabs>
                    <w:jc w:val="center"/>
                    <w:rPr>
                      <w:rFonts w:ascii="Times New Roman" w:hAnsi="Times New Roman" w:cs="Times New Roman"/>
                      <w:b/>
                    </w:rPr>
                  </w:pPr>
                  <w:r w:rsidRPr="00313721">
                    <w:rPr>
                      <w:rFonts w:ascii="Times New Roman" w:hAnsi="Times New Roman" w:cs="Times New Roman"/>
                      <w:b/>
                    </w:rPr>
                    <w:t>2019</w:t>
                  </w:r>
                </w:p>
              </w:tc>
              <w:tc>
                <w:tcPr>
                  <w:tcW w:w="1107" w:type="dxa"/>
                  <w:shd w:val="clear" w:color="auto" w:fill="BDD6EE" w:themeFill="accent1" w:themeFillTint="66"/>
                </w:tcPr>
                <w:p w14:paraId="2CAC2887" w14:textId="77777777" w:rsidR="00334FB1" w:rsidRPr="00313721" w:rsidRDefault="00334FB1" w:rsidP="003D022E">
                  <w:pPr>
                    <w:tabs>
                      <w:tab w:val="left" w:pos="1440"/>
                    </w:tabs>
                    <w:jc w:val="center"/>
                    <w:rPr>
                      <w:rFonts w:ascii="Times New Roman" w:hAnsi="Times New Roman" w:cs="Times New Roman"/>
                      <w:b/>
                    </w:rPr>
                  </w:pPr>
                </w:p>
                <w:p w14:paraId="639B9769" w14:textId="77777777" w:rsidR="00334FB1" w:rsidRPr="00313721" w:rsidRDefault="00334FB1" w:rsidP="003D022E">
                  <w:pPr>
                    <w:tabs>
                      <w:tab w:val="left" w:pos="1440"/>
                    </w:tabs>
                    <w:jc w:val="center"/>
                    <w:rPr>
                      <w:rFonts w:ascii="Times New Roman" w:hAnsi="Times New Roman" w:cs="Times New Roman"/>
                      <w:b/>
                    </w:rPr>
                  </w:pPr>
                </w:p>
                <w:p w14:paraId="630C8536" w14:textId="77777777" w:rsidR="00334FB1" w:rsidRPr="00313721" w:rsidRDefault="00334FB1" w:rsidP="003D022E">
                  <w:pPr>
                    <w:tabs>
                      <w:tab w:val="left" w:pos="1440"/>
                    </w:tabs>
                    <w:jc w:val="center"/>
                    <w:rPr>
                      <w:rFonts w:ascii="Times New Roman" w:hAnsi="Times New Roman" w:cs="Times New Roman"/>
                      <w:b/>
                    </w:rPr>
                  </w:pPr>
                  <w:r w:rsidRPr="00313721">
                    <w:rPr>
                      <w:rFonts w:ascii="Times New Roman" w:hAnsi="Times New Roman" w:cs="Times New Roman"/>
                      <w:b/>
                    </w:rPr>
                    <w:t>2020</w:t>
                  </w:r>
                </w:p>
              </w:tc>
              <w:tc>
                <w:tcPr>
                  <w:tcW w:w="1108" w:type="dxa"/>
                  <w:shd w:val="clear" w:color="auto" w:fill="BDD6EE" w:themeFill="accent1" w:themeFillTint="66"/>
                </w:tcPr>
                <w:p w14:paraId="725F624C" w14:textId="77777777" w:rsidR="00334FB1" w:rsidRPr="00313721" w:rsidRDefault="00334FB1" w:rsidP="003D022E">
                  <w:pPr>
                    <w:tabs>
                      <w:tab w:val="left" w:pos="1440"/>
                    </w:tabs>
                    <w:jc w:val="center"/>
                    <w:rPr>
                      <w:rFonts w:ascii="Times New Roman" w:hAnsi="Times New Roman" w:cs="Times New Roman"/>
                      <w:b/>
                    </w:rPr>
                  </w:pPr>
                </w:p>
                <w:p w14:paraId="504AFD36" w14:textId="77777777" w:rsidR="00334FB1" w:rsidRPr="00313721" w:rsidRDefault="00334FB1" w:rsidP="003D022E">
                  <w:pPr>
                    <w:tabs>
                      <w:tab w:val="left" w:pos="1440"/>
                    </w:tabs>
                    <w:jc w:val="center"/>
                    <w:rPr>
                      <w:rFonts w:ascii="Times New Roman" w:hAnsi="Times New Roman" w:cs="Times New Roman"/>
                      <w:b/>
                    </w:rPr>
                  </w:pPr>
                </w:p>
                <w:p w14:paraId="67E0E757" w14:textId="77777777" w:rsidR="00334FB1" w:rsidRPr="00313721" w:rsidRDefault="00334FB1" w:rsidP="003D022E">
                  <w:pPr>
                    <w:tabs>
                      <w:tab w:val="left" w:pos="1440"/>
                    </w:tabs>
                    <w:jc w:val="center"/>
                    <w:rPr>
                      <w:rFonts w:ascii="Times New Roman" w:hAnsi="Times New Roman" w:cs="Times New Roman"/>
                      <w:b/>
                    </w:rPr>
                  </w:pPr>
                  <w:r w:rsidRPr="00313721">
                    <w:rPr>
                      <w:rFonts w:ascii="Times New Roman" w:hAnsi="Times New Roman" w:cs="Times New Roman"/>
                      <w:b/>
                    </w:rPr>
                    <w:t>2021</w:t>
                  </w:r>
                </w:p>
              </w:tc>
              <w:tc>
                <w:tcPr>
                  <w:tcW w:w="1108" w:type="dxa"/>
                  <w:shd w:val="clear" w:color="auto" w:fill="BDD6EE" w:themeFill="accent1" w:themeFillTint="66"/>
                </w:tcPr>
                <w:p w14:paraId="3A17F5EF" w14:textId="77777777" w:rsidR="00334FB1" w:rsidRPr="00313721" w:rsidRDefault="00334FB1" w:rsidP="003D022E">
                  <w:pPr>
                    <w:tabs>
                      <w:tab w:val="left" w:pos="1440"/>
                    </w:tabs>
                    <w:jc w:val="center"/>
                    <w:rPr>
                      <w:rFonts w:ascii="Times New Roman" w:hAnsi="Times New Roman" w:cs="Times New Roman"/>
                      <w:b/>
                    </w:rPr>
                  </w:pPr>
                </w:p>
                <w:p w14:paraId="444298EE" w14:textId="77777777" w:rsidR="00334FB1" w:rsidRPr="00313721" w:rsidRDefault="00334FB1" w:rsidP="003D022E">
                  <w:pPr>
                    <w:tabs>
                      <w:tab w:val="left" w:pos="1440"/>
                    </w:tabs>
                    <w:jc w:val="center"/>
                    <w:rPr>
                      <w:rFonts w:ascii="Times New Roman" w:hAnsi="Times New Roman" w:cs="Times New Roman"/>
                      <w:b/>
                    </w:rPr>
                  </w:pPr>
                </w:p>
                <w:p w14:paraId="49F1CAC3" w14:textId="77777777" w:rsidR="00334FB1" w:rsidRPr="00313721" w:rsidRDefault="00334FB1" w:rsidP="003D022E">
                  <w:pPr>
                    <w:tabs>
                      <w:tab w:val="left" w:pos="1440"/>
                    </w:tabs>
                    <w:jc w:val="center"/>
                    <w:rPr>
                      <w:rFonts w:ascii="Times New Roman" w:hAnsi="Times New Roman" w:cs="Times New Roman"/>
                      <w:b/>
                    </w:rPr>
                  </w:pPr>
                  <w:r w:rsidRPr="00313721">
                    <w:rPr>
                      <w:rFonts w:ascii="Times New Roman" w:hAnsi="Times New Roman" w:cs="Times New Roman"/>
                      <w:b/>
                    </w:rPr>
                    <w:t>2022</w:t>
                  </w:r>
                </w:p>
              </w:tc>
              <w:tc>
                <w:tcPr>
                  <w:tcW w:w="1108" w:type="dxa"/>
                  <w:shd w:val="clear" w:color="auto" w:fill="BDD6EE" w:themeFill="accent1" w:themeFillTint="66"/>
                </w:tcPr>
                <w:p w14:paraId="5BFC6EAF" w14:textId="77777777" w:rsidR="00334FB1" w:rsidRPr="00313721" w:rsidRDefault="00334FB1" w:rsidP="003D022E">
                  <w:pPr>
                    <w:tabs>
                      <w:tab w:val="left" w:pos="1440"/>
                    </w:tabs>
                    <w:jc w:val="center"/>
                    <w:rPr>
                      <w:rFonts w:ascii="Times New Roman" w:hAnsi="Times New Roman" w:cs="Times New Roman"/>
                      <w:b/>
                    </w:rPr>
                  </w:pPr>
                </w:p>
                <w:p w14:paraId="7E2F133A" w14:textId="77777777" w:rsidR="00334FB1" w:rsidRPr="00313721" w:rsidRDefault="00334FB1" w:rsidP="003D022E">
                  <w:pPr>
                    <w:tabs>
                      <w:tab w:val="left" w:pos="1440"/>
                    </w:tabs>
                    <w:jc w:val="center"/>
                    <w:rPr>
                      <w:rFonts w:ascii="Times New Roman" w:hAnsi="Times New Roman" w:cs="Times New Roman"/>
                      <w:b/>
                    </w:rPr>
                  </w:pPr>
                </w:p>
                <w:p w14:paraId="6F01883C" w14:textId="77777777" w:rsidR="00334FB1" w:rsidRPr="00313721" w:rsidRDefault="00334FB1" w:rsidP="003D022E">
                  <w:pPr>
                    <w:tabs>
                      <w:tab w:val="left" w:pos="1440"/>
                    </w:tabs>
                    <w:jc w:val="center"/>
                    <w:rPr>
                      <w:rFonts w:ascii="Times New Roman" w:hAnsi="Times New Roman" w:cs="Times New Roman"/>
                      <w:b/>
                    </w:rPr>
                  </w:pPr>
                  <w:r w:rsidRPr="00313721">
                    <w:rPr>
                      <w:rFonts w:ascii="Times New Roman" w:hAnsi="Times New Roman" w:cs="Times New Roman"/>
                      <w:b/>
                    </w:rPr>
                    <w:t>2023</w:t>
                  </w:r>
                </w:p>
              </w:tc>
              <w:tc>
                <w:tcPr>
                  <w:tcW w:w="987" w:type="dxa"/>
                  <w:shd w:val="clear" w:color="auto" w:fill="BDD6EE" w:themeFill="accent1" w:themeFillTint="66"/>
                </w:tcPr>
                <w:p w14:paraId="28D462DB" w14:textId="77777777" w:rsidR="00334FB1" w:rsidRPr="00313721" w:rsidRDefault="00334FB1" w:rsidP="003D022E">
                  <w:pPr>
                    <w:tabs>
                      <w:tab w:val="left" w:pos="1440"/>
                    </w:tabs>
                    <w:rPr>
                      <w:rFonts w:ascii="Times New Roman" w:hAnsi="Times New Roman" w:cs="Times New Roman"/>
                      <w:b/>
                      <w:bCs/>
                    </w:rPr>
                  </w:pPr>
                </w:p>
                <w:p w14:paraId="76E1252D" w14:textId="77777777" w:rsidR="00334FB1" w:rsidRPr="00313721" w:rsidRDefault="00334FB1" w:rsidP="003D022E">
                  <w:pPr>
                    <w:tabs>
                      <w:tab w:val="left" w:pos="1440"/>
                    </w:tabs>
                    <w:rPr>
                      <w:rFonts w:ascii="Times New Roman" w:hAnsi="Times New Roman" w:cs="Times New Roman"/>
                      <w:b/>
                      <w:bCs/>
                    </w:rPr>
                  </w:pPr>
                </w:p>
                <w:p w14:paraId="365C2356" w14:textId="77777777" w:rsidR="00334FB1" w:rsidRPr="00313721" w:rsidRDefault="00334FB1" w:rsidP="003D022E">
                  <w:pPr>
                    <w:tabs>
                      <w:tab w:val="left" w:pos="1440"/>
                    </w:tabs>
                    <w:rPr>
                      <w:rFonts w:ascii="Times New Roman" w:hAnsi="Times New Roman" w:cs="Times New Roman"/>
                      <w:b/>
                      <w:bCs/>
                    </w:rPr>
                  </w:pPr>
                  <w:r w:rsidRPr="00313721">
                    <w:rPr>
                      <w:rFonts w:ascii="Times New Roman" w:hAnsi="Times New Roman" w:cs="Times New Roman"/>
                      <w:b/>
                      <w:bCs/>
                    </w:rPr>
                    <w:t>priemer</w:t>
                  </w:r>
                </w:p>
              </w:tc>
            </w:tr>
            <w:tr w:rsidR="00334FB1" w:rsidRPr="00313721" w14:paraId="3A391308" w14:textId="77777777" w:rsidTr="003F1358">
              <w:trPr>
                <w:trHeight w:val="204"/>
              </w:trPr>
              <w:tc>
                <w:tcPr>
                  <w:tcW w:w="2153" w:type="dxa"/>
                </w:tcPr>
                <w:p w14:paraId="17AE8F68"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Ochranné známky</w:t>
                  </w:r>
                </w:p>
              </w:tc>
              <w:tc>
                <w:tcPr>
                  <w:tcW w:w="1106" w:type="dxa"/>
                </w:tcPr>
                <w:p w14:paraId="1EC0404E"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2878</w:t>
                  </w:r>
                </w:p>
              </w:tc>
              <w:tc>
                <w:tcPr>
                  <w:tcW w:w="1107" w:type="dxa"/>
                </w:tcPr>
                <w:p w14:paraId="506FBAAA"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2987</w:t>
                  </w:r>
                </w:p>
              </w:tc>
              <w:tc>
                <w:tcPr>
                  <w:tcW w:w="1108" w:type="dxa"/>
                </w:tcPr>
                <w:p w14:paraId="6958ECCA"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3287</w:t>
                  </w:r>
                </w:p>
              </w:tc>
              <w:tc>
                <w:tcPr>
                  <w:tcW w:w="1108" w:type="dxa"/>
                </w:tcPr>
                <w:p w14:paraId="1380E3D7"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2492</w:t>
                  </w:r>
                </w:p>
              </w:tc>
              <w:tc>
                <w:tcPr>
                  <w:tcW w:w="1108" w:type="dxa"/>
                </w:tcPr>
                <w:p w14:paraId="52B17C81"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2724</w:t>
                  </w:r>
                </w:p>
              </w:tc>
              <w:tc>
                <w:tcPr>
                  <w:tcW w:w="987" w:type="dxa"/>
                </w:tcPr>
                <w:p w14:paraId="7E02530D"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2873,6</w:t>
                  </w:r>
                </w:p>
              </w:tc>
            </w:tr>
            <w:tr w:rsidR="00334FB1" w:rsidRPr="00313721" w14:paraId="79E62D7F" w14:textId="77777777" w:rsidTr="003F1358">
              <w:trPr>
                <w:trHeight w:val="204"/>
              </w:trPr>
              <w:tc>
                <w:tcPr>
                  <w:tcW w:w="2153" w:type="dxa"/>
                </w:tcPr>
                <w:p w14:paraId="3A9BF6BE"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Patenty</w:t>
                  </w:r>
                </w:p>
              </w:tc>
              <w:tc>
                <w:tcPr>
                  <w:tcW w:w="1106" w:type="dxa"/>
                </w:tcPr>
                <w:p w14:paraId="0C55B2E4"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234</w:t>
                  </w:r>
                </w:p>
              </w:tc>
              <w:tc>
                <w:tcPr>
                  <w:tcW w:w="1107" w:type="dxa"/>
                </w:tcPr>
                <w:p w14:paraId="4EBC7C77"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221</w:t>
                  </w:r>
                </w:p>
              </w:tc>
              <w:tc>
                <w:tcPr>
                  <w:tcW w:w="1108" w:type="dxa"/>
                </w:tcPr>
                <w:p w14:paraId="2FFFBE71"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159</w:t>
                  </w:r>
                </w:p>
              </w:tc>
              <w:tc>
                <w:tcPr>
                  <w:tcW w:w="1108" w:type="dxa"/>
                </w:tcPr>
                <w:p w14:paraId="0139CD65"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203</w:t>
                  </w:r>
                </w:p>
              </w:tc>
              <w:tc>
                <w:tcPr>
                  <w:tcW w:w="1108" w:type="dxa"/>
                </w:tcPr>
                <w:p w14:paraId="21895517"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256</w:t>
                  </w:r>
                </w:p>
              </w:tc>
              <w:tc>
                <w:tcPr>
                  <w:tcW w:w="987" w:type="dxa"/>
                </w:tcPr>
                <w:p w14:paraId="2C920C14"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214,6</w:t>
                  </w:r>
                </w:p>
              </w:tc>
            </w:tr>
            <w:tr w:rsidR="00334FB1" w:rsidRPr="00313721" w14:paraId="23406E88" w14:textId="77777777" w:rsidTr="003F1358">
              <w:trPr>
                <w:trHeight w:val="245"/>
              </w:trPr>
              <w:tc>
                <w:tcPr>
                  <w:tcW w:w="2153" w:type="dxa"/>
                </w:tcPr>
                <w:p w14:paraId="0E6C5B9C"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Dodatkové ochranné osvedčenia</w:t>
                  </w:r>
                </w:p>
              </w:tc>
              <w:tc>
                <w:tcPr>
                  <w:tcW w:w="1106" w:type="dxa"/>
                </w:tcPr>
                <w:p w14:paraId="6E033248"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44</w:t>
                  </w:r>
                </w:p>
              </w:tc>
              <w:tc>
                <w:tcPr>
                  <w:tcW w:w="1107" w:type="dxa"/>
                </w:tcPr>
                <w:p w14:paraId="0BACE05B"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59</w:t>
                  </w:r>
                </w:p>
              </w:tc>
              <w:tc>
                <w:tcPr>
                  <w:tcW w:w="1108" w:type="dxa"/>
                </w:tcPr>
                <w:p w14:paraId="0227C1A1"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42</w:t>
                  </w:r>
                </w:p>
              </w:tc>
              <w:tc>
                <w:tcPr>
                  <w:tcW w:w="1108" w:type="dxa"/>
                </w:tcPr>
                <w:p w14:paraId="4A3BE44D"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50</w:t>
                  </w:r>
                </w:p>
              </w:tc>
              <w:tc>
                <w:tcPr>
                  <w:tcW w:w="1108" w:type="dxa"/>
                </w:tcPr>
                <w:p w14:paraId="76B23B42"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39</w:t>
                  </w:r>
                </w:p>
              </w:tc>
              <w:tc>
                <w:tcPr>
                  <w:tcW w:w="987" w:type="dxa"/>
                </w:tcPr>
                <w:p w14:paraId="2E98494A"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46,8</w:t>
                  </w:r>
                </w:p>
              </w:tc>
            </w:tr>
            <w:tr w:rsidR="00334FB1" w:rsidRPr="00313721" w14:paraId="76C9FC29" w14:textId="77777777" w:rsidTr="003F1358">
              <w:trPr>
                <w:trHeight w:val="204"/>
              </w:trPr>
              <w:tc>
                <w:tcPr>
                  <w:tcW w:w="2153" w:type="dxa"/>
                </w:tcPr>
                <w:p w14:paraId="79DD184A"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Úžitkové vzory</w:t>
                  </w:r>
                </w:p>
              </w:tc>
              <w:tc>
                <w:tcPr>
                  <w:tcW w:w="1106" w:type="dxa"/>
                </w:tcPr>
                <w:p w14:paraId="31F9DAA0"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325</w:t>
                  </w:r>
                </w:p>
              </w:tc>
              <w:tc>
                <w:tcPr>
                  <w:tcW w:w="1107" w:type="dxa"/>
                </w:tcPr>
                <w:p w14:paraId="5944FCD2"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390</w:t>
                  </w:r>
                </w:p>
              </w:tc>
              <w:tc>
                <w:tcPr>
                  <w:tcW w:w="1108" w:type="dxa"/>
                </w:tcPr>
                <w:p w14:paraId="46A3F62E"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297</w:t>
                  </w:r>
                </w:p>
              </w:tc>
              <w:tc>
                <w:tcPr>
                  <w:tcW w:w="1108" w:type="dxa"/>
                </w:tcPr>
                <w:p w14:paraId="1B282026"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288</w:t>
                  </w:r>
                </w:p>
              </w:tc>
              <w:tc>
                <w:tcPr>
                  <w:tcW w:w="1108" w:type="dxa"/>
                </w:tcPr>
                <w:p w14:paraId="6D6618AF"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343</w:t>
                  </w:r>
                </w:p>
              </w:tc>
              <w:tc>
                <w:tcPr>
                  <w:tcW w:w="987" w:type="dxa"/>
                </w:tcPr>
                <w:p w14:paraId="00CDEB56"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328,6</w:t>
                  </w:r>
                </w:p>
              </w:tc>
            </w:tr>
            <w:tr w:rsidR="00334FB1" w:rsidRPr="00313721" w14:paraId="790A578A" w14:textId="77777777" w:rsidTr="003F1358">
              <w:trPr>
                <w:trHeight w:val="218"/>
              </w:trPr>
              <w:tc>
                <w:tcPr>
                  <w:tcW w:w="2153" w:type="dxa"/>
                </w:tcPr>
                <w:p w14:paraId="3DDB9A65"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Dizajny</w:t>
                  </w:r>
                </w:p>
              </w:tc>
              <w:tc>
                <w:tcPr>
                  <w:tcW w:w="1106" w:type="dxa"/>
                </w:tcPr>
                <w:p w14:paraId="2CBEF07B"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109</w:t>
                  </w:r>
                </w:p>
              </w:tc>
              <w:tc>
                <w:tcPr>
                  <w:tcW w:w="1107" w:type="dxa"/>
                </w:tcPr>
                <w:p w14:paraId="341C65B7"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145</w:t>
                  </w:r>
                </w:p>
              </w:tc>
              <w:tc>
                <w:tcPr>
                  <w:tcW w:w="1108" w:type="dxa"/>
                </w:tcPr>
                <w:p w14:paraId="4076FED0"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113</w:t>
                  </w:r>
                </w:p>
              </w:tc>
              <w:tc>
                <w:tcPr>
                  <w:tcW w:w="1108" w:type="dxa"/>
                </w:tcPr>
                <w:p w14:paraId="301A4988"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102</w:t>
                  </w:r>
                </w:p>
              </w:tc>
              <w:tc>
                <w:tcPr>
                  <w:tcW w:w="1108" w:type="dxa"/>
                </w:tcPr>
                <w:p w14:paraId="7B83A352"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101</w:t>
                  </w:r>
                </w:p>
              </w:tc>
              <w:tc>
                <w:tcPr>
                  <w:tcW w:w="987" w:type="dxa"/>
                </w:tcPr>
                <w:p w14:paraId="041D747B"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114</w:t>
                  </w:r>
                </w:p>
              </w:tc>
            </w:tr>
            <w:tr w:rsidR="00334FB1" w:rsidRPr="00313721" w14:paraId="36991CAC" w14:textId="77777777" w:rsidTr="003F1358">
              <w:trPr>
                <w:trHeight w:val="379"/>
              </w:trPr>
              <w:tc>
                <w:tcPr>
                  <w:tcW w:w="2153" w:type="dxa"/>
                </w:tcPr>
                <w:p w14:paraId="1CCD4691" w14:textId="77777777" w:rsidR="00334FB1" w:rsidRPr="00313721" w:rsidRDefault="00334FB1" w:rsidP="003D022E">
                  <w:pPr>
                    <w:tabs>
                      <w:tab w:val="left" w:pos="1440"/>
                    </w:tabs>
                    <w:jc w:val="both"/>
                    <w:rPr>
                      <w:rFonts w:ascii="Times New Roman" w:hAnsi="Times New Roman" w:cs="Times New Roman"/>
                      <w:b/>
                      <w:sz w:val="20"/>
                      <w:szCs w:val="20"/>
                    </w:rPr>
                  </w:pPr>
                  <w:r w:rsidRPr="00313721">
                    <w:rPr>
                      <w:rFonts w:ascii="Times New Roman" w:hAnsi="Times New Roman" w:cs="Times New Roman"/>
                      <w:b/>
                      <w:sz w:val="20"/>
                      <w:szCs w:val="20"/>
                    </w:rPr>
                    <w:t>Označenia pôvodu výrobkov a zemepisné označenia výrobkov</w:t>
                  </w:r>
                </w:p>
              </w:tc>
              <w:tc>
                <w:tcPr>
                  <w:tcW w:w="1106" w:type="dxa"/>
                </w:tcPr>
                <w:p w14:paraId="0A18DEDA" w14:textId="77777777" w:rsidR="00334FB1" w:rsidRPr="00313721" w:rsidRDefault="00334FB1" w:rsidP="003D022E">
                  <w:pPr>
                    <w:tabs>
                      <w:tab w:val="left" w:pos="1440"/>
                    </w:tabs>
                    <w:jc w:val="center"/>
                    <w:rPr>
                      <w:rFonts w:ascii="Times New Roman" w:hAnsi="Times New Roman" w:cs="Times New Roman"/>
                      <w:bCs/>
                    </w:rPr>
                  </w:pPr>
                </w:p>
                <w:p w14:paraId="772A112E"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w:t>
                  </w:r>
                </w:p>
              </w:tc>
              <w:tc>
                <w:tcPr>
                  <w:tcW w:w="1107" w:type="dxa"/>
                </w:tcPr>
                <w:p w14:paraId="23E21690" w14:textId="77777777" w:rsidR="00334FB1" w:rsidRPr="00313721" w:rsidRDefault="00334FB1" w:rsidP="003D022E">
                  <w:pPr>
                    <w:tabs>
                      <w:tab w:val="left" w:pos="1440"/>
                    </w:tabs>
                    <w:jc w:val="center"/>
                    <w:rPr>
                      <w:rFonts w:ascii="Times New Roman" w:hAnsi="Times New Roman" w:cs="Times New Roman"/>
                      <w:bCs/>
                    </w:rPr>
                  </w:pPr>
                </w:p>
                <w:p w14:paraId="338847BD"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0</w:t>
                  </w:r>
                </w:p>
              </w:tc>
              <w:tc>
                <w:tcPr>
                  <w:tcW w:w="1108" w:type="dxa"/>
                </w:tcPr>
                <w:p w14:paraId="0E34E4B2" w14:textId="77777777" w:rsidR="00334FB1" w:rsidRPr="00313721" w:rsidRDefault="00334FB1" w:rsidP="003D022E">
                  <w:pPr>
                    <w:tabs>
                      <w:tab w:val="left" w:pos="1440"/>
                    </w:tabs>
                    <w:jc w:val="center"/>
                    <w:rPr>
                      <w:rFonts w:ascii="Times New Roman" w:hAnsi="Times New Roman" w:cs="Times New Roman"/>
                      <w:bCs/>
                    </w:rPr>
                  </w:pPr>
                </w:p>
                <w:p w14:paraId="1E363BA3"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1</w:t>
                  </w:r>
                </w:p>
              </w:tc>
              <w:tc>
                <w:tcPr>
                  <w:tcW w:w="1108" w:type="dxa"/>
                </w:tcPr>
                <w:p w14:paraId="219A8DD2" w14:textId="77777777" w:rsidR="00334FB1" w:rsidRPr="00313721" w:rsidRDefault="00334FB1" w:rsidP="003D022E">
                  <w:pPr>
                    <w:tabs>
                      <w:tab w:val="left" w:pos="1440"/>
                    </w:tabs>
                    <w:jc w:val="center"/>
                    <w:rPr>
                      <w:rFonts w:ascii="Times New Roman" w:hAnsi="Times New Roman" w:cs="Times New Roman"/>
                      <w:bCs/>
                    </w:rPr>
                  </w:pPr>
                </w:p>
                <w:p w14:paraId="413F6E35"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w:t>
                  </w:r>
                </w:p>
              </w:tc>
              <w:tc>
                <w:tcPr>
                  <w:tcW w:w="1108" w:type="dxa"/>
                </w:tcPr>
                <w:p w14:paraId="3973B495" w14:textId="77777777" w:rsidR="00334FB1" w:rsidRPr="00313721" w:rsidRDefault="00334FB1" w:rsidP="003D022E">
                  <w:pPr>
                    <w:tabs>
                      <w:tab w:val="left" w:pos="1440"/>
                    </w:tabs>
                    <w:jc w:val="center"/>
                    <w:rPr>
                      <w:rFonts w:ascii="Times New Roman" w:hAnsi="Times New Roman" w:cs="Times New Roman"/>
                      <w:bCs/>
                    </w:rPr>
                  </w:pPr>
                </w:p>
                <w:p w14:paraId="26E37CFD"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bCs/>
                    </w:rPr>
                    <w:t>2</w:t>
                  </w:r>
                </w:p>
              </w:tc>
              <w:tc>
                <w:tcPr>
                  <w:tcW w:w="987" w:type="dxa"/>
                </w:tcPr>
                <w:p w14:paraId="003ECCFB" w14:textId="77777777" w:rsidR="00334FB1" w:rsidRPr="00313721" w:rsidRDefault="00334FB1" w:rsidP="003D022E">
                  <w:pPr>
                    <w:tabs>
                      <w:tab w:val="left" w:pos="1440"/>
                    </w:tabs>
                    <w:jc w:val="center"/>
                    <w:rPr>
                      <w:rFonts w:ascii="Times New Roman" w:hAnsi="Times New Roman" w:cs="Times New Roman"/>
                    </w:rPr>
                  </w:pPr>
                </w:p>
                <w:p w14:paraId="044A6F36"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1,2</w:t>
                  </w:r>
                </w:p>
              </w:tc>
            </w:tr>
            <w:tr w:rsidR="00334FB1" w:rsidRPr="00313721" w14:paraId="30B5B83E" w14:textId="77777777" w:rsidTr="003F1358">
              <w:trPr>
                <w:trHeight w:val="231"/>
              </w:trPr>
              <w:tc>
                <w:tcPr>
                  <w:tcW w:w="2153" w:type="dxa"/>
                  <w:shd w:val="clear" w:color="auto" w:fill="DEEAF6" w:themeFill="accent1" w:themeFillTint="33"/>
                </w:tcPr>
                <w:p w14:paraId="2AEDC139" w14:textId="77777777" w:rsidR="00334FB1" w:rsidRPr="00313721" w:rsidRDefault="00334FB1" w:rsidP="003D022E">
                  <w:pPr>
                    <w:tabs>
                      <w:tab w:val="left" w:pos="1440"/>
                    </w:tabs>
                    <w:jc w:val="both"/>
                    <w:rPr>
                      <w:rFonts w:ascii="Times New Roman" w:hAnsi="Times New Roman" w:cs="Times New Roman"/>
                      <w:b/>
                      <w:sz w:val="24"/>
                      <w:szCs w:val="24"/>
                    </w:rPr>
                  </w:pPr>
                  <w:r w:rsidRPr="00313721">
                    <w:rPr>
                      <w:rFonts w:ascii="Times New Roman" w:hAnsi="Times New Roman" w:cs="Times New Roman"/>
                      <w:b/>
                      <w:sz w:val="24"/>
                      <w:szCs w:val="24"/>
                    </w:rPr>
                    <w:t>Spolu</w:t>
                  </w:r>
                </w:p>
              </w:tc>
              <w:tc>
                <w:tcPr>
                  <w:tcW w:w="1106" w:type="dxa"/>
                  <w:shd w:val="clear" w:color="auto" w:fill="DEEAF6" w:themeFill="accent1" w:themeFillTint="33"/>
                </w:tcPr>
                <w:p w14:paraId="7E1A6705"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5610</w:t>
                  </w:r>
                </w:p>
              </w:tc>
              <w:tc>
                <w:tcPr>
                  <w:tcW w:w="1107" w:type="dxa"/>
                  <w:shd w:val="clear" w:color="auto" w:fill="DEEAF6" w:themeFill="accent1" w:themeFillTint="33"/>
                </w:tcPr>
                <w:p w14:paraId="55EF1750"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5822</w:t>
                  </w:r>
                </w:p>
              </w:tc>
              <w:tc>
                <w:tcPr>
                  <w:tcW w:w="1108" w:type="dxa"/>
                  <w:shd w:val="clear" w:color="auto" w:fill="DEEAF6" w:themeFill="accent1" w:themeFillTint="33"/>
                </w:tcPr>
                <w:p w14:paraId="505E3280"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5920</w:t>
                  </w:r>
                </w:p>
              </w:tc>
              <w:tc>
                <w:tcPr>
                  <w:tcW w:w="1108" w:type="dxa"/>
                  <w:shd w:val="clear" w:color="auto" w:fill="DEEAF6" w:themeFill="accent1" w:themeFillTint="33"/>
                </w:tcPr>
                <w:p w14:paraId="48C43B8E"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5159</w:t>
                  </w:r>
                </w:p>
              </w:tc>
              <w:tc>
                <w:tcPr>
                  <w:tcW w:w="1108" w:type="dxa"/>
                  <w:shd w:val="clear" w:color="auto" w:fill="DEEAF6" w:themeFill="accent1" w:themeFillTint="33"/>
                </w:tcPr>
                <w:p w14:paraId="2B2D955F" w14:textId="77777777" w:rsidR="00334FB1" w:rsidRPr="00313721" w:rsidRDefault="00334FB1" w:rsidP="003D022E">
                  <w:pPr>
                    <w:tabs>
                      <w:tab w:val="left" w:pos="1440"/>
                    </w:tabs>
                    <w:jc w:val="center"/>
                    <w:rPr>
                      <w:rFonts w:ascii="Times New Roman" w:hAnsi="Times New Roman" w:cs="Times New Roman"/>
                      <w:bCs/>
                    </w:rPr>
                  </w:pPr>
                  <w:r w:rsidRPr="00313721">
                    <w:rPr>
                      <w:rFonts w:ascii="Times New Roman" w:hAnsi="Times New Roman" w:cs="Times New Roman"/>
                    </w:rPr>
                    <w:t>5488</w:t>
                  </w:r>
                </w:p>
              </w:tc>
              <w:tc>
                <w:tcPr>
                  <w:tcW w:w="987" w:type="dxa"/>
                  <w:shd w:val="clear" w:color="auto" w:fill="DEEAF6" w:themeFill="accent1" w:themeFillTint="33"/>
                </w:tcPr>
                <w:p w14:paraId="0EC82EBD" w14:textId="77777777" w:rsidR="00334FB1" w:rsidRPr="00313721" w:rsidRDefault="00334FB1" w:rsidP="003D022E">
                  <w:pPr>
                    <w:tabs>
                      <w:tab w:val="left" w:pos="1440"/>
                    </w:tabs>
                    <w:jc w:val="center"/>
                    <w:rPr>
                      <w:rFonts w:ascii="Times New Roman" w:hAnsi="Times New Roman" w:cs="Times New Roman"/>
                    </w:rPr>
                  </w:pPr>
                  <w:r w:rsidRPr="00313721">
                    <w:rPr>
                      <w:rFonts w:ascii="Times New Roman" w:hAnsi="Times New Roman" w:cs="Times New Roman"/>
                    </w:rPr>
                    <w:t>5599,8</w:t>
                  </w:r>
                </w:p>
              </w:tc>
            </w:tr>
          </w:tbl>
          <w:p w14:paraId="4669E31D" w14:textId="77777777" w:rsidR="00334FB1" w:rsidRPr="00313721" w:rsidRDefault="00334FB1" w:rsidP="003D022E">
            <w:pPr>
              <w:tabs>
                <w:tab w:val="left" w:pos="1440"/>
              </w:tabs>
              <w:jc w:val="both"/>
              <w:rPr>
                <w:rFonts w:ascii="Times New Roman" w:hAnsi="Times New Roman" w:cs="Times New Roman"/>
                <w:bCs/>
                <w:sz w:val="18"/>
                <w:szCs w:val="18"/>
              </w:rPr>
            </w:pPr>
            <w:r w:rsidRPr="00313721">
              <w:rPr>
                <w:rFonts w:ascii="Times New Roman" w:hAnsi="Times New Roman" w:cs="Times New Roman"/>
                <w:bCs/>
                <w:sz w:val="18"/>
                <w:szCs w:val="18"/>
              </w:rPr>
              <w:t>*Zdroj: Výročné správy ÚPV SR za rok 2019 - 2023</w:t>
            </w:r>
          </w:p>
          <w:p w14:paraId="673A990A" w14:textId="77777777" w:rsidR="00334FB1" w:rsidRPr="00313721" w:rsidRDefault="00334FB1" w:rsidP="003D022E">
            <w:pPr>
              <w:jc w:val="both"/>
              <w:rPr>
                <w:rFonts w:ascii="Times New Roman" w:hAnsi="Times New Roman" w:cs="Times New Roman"/>
                <w:b/>
              </w:rPr>
            </w:pPr>
          </w:p>
          <w:p w14:paraId="4E0DF5BD" w14:textId="220DE6E6" w:rsidR="00334FB1" w:rsidRPr="00313721" w:rsidRDefault="00334FB1" w:rsidP="003D022E">
            <w:pPr>
              <w:jc w:val="both"/>
              <w:rPr>
                <w:rFonts w:ascii="Times New Roman" w:hAnsi="Times New Roman" w:cs="Times New Roman"/>
                <w:b/>
              </w:rPr>
            </w:pPr>
            <w:r w:rsidRPr="00313721">
              <w:rPr>
                <w:rFonts w:ascii="Times New Roman" w:hAnsi="Times New Roman" w:cs="Times New Roman"/>
                <w:bCs/>
              </w:rPr>
              <w:t xml:space="preserve">Trend </w:t>
            </w:r>
            <w:r w:rsidR="000D1259" w:rsidRPr="00313721">
              <w:rPr>
                <w:rFonts w:ascii="Times New Roman" w:hAnsi="Times New Roman" w:cs="Times New Roman"/>
                <w:bCs/>
              </w:rPr>
              <w:t>poklesu</w:t>
            </w:r>
            <w:r w:rsidRPr="00313721">
              <w:rPr>
                <w:rFonts w:ascii="Times New Roman" w:hAnsi="Times New Roman" w:cs="Times New Roman"/>
                <w:bCs/>
              </w:rPr>
              <w:t xml:space="preserve"> výberu správnych poplatkov napriek relatívne stabilnej početnosti spracovaných správnych poplatkov a nápadu nových podaní na ÚPV SR je v sledovanom období zrejmý (viď Tabuľk</w:t>
            </w:r>
            <w:r w:rsidR="00610D27" w:rsidRPr="00313721">
              <w:rPr>
                <w:rFonts w:ascii="Times New Roman" w:hAnsi="Times New Roman" w:cs="Times New Roman"/>
                <w:bCs/>
              </w:rPr>
              <w:t>y</w:t>
            </w:r>
            <w:r w:rsidRPr="00313721">
              <w:rPr>
                <w:rFonts w:ascii="Times New Roman" w:hAnsi="Times New Roman" w:cs="Times New Roman"/>
                <w:bCs/>
              </w:rPr>
              <w:t xml:space="preserve"> č. 4 a</w:t>
            </w:r>
            <w:r w:rsidR="00610D27" w:rsidRPr="00313721">
              <w:rPr>
                <w:rFonts w:ascii="Times New Roman" w:hAnsi="Times New Roman" w:cs="Times New Roman"/>
                <w:bCs/>
              </w:rPr>
              <w:t>ž</w:t>
            </w:r>
            <w:r w:rsidRPr="00313721">
              <w:rPr>
                <w:rFonts w:ascii="Times New Roman" w:hAnsi="Times New Roman" w:cs="Times New Roman"/>
                <w:bCs/>
              </w:rPr>
              <w:t> </w:t>
            </w:r>
            <w:r w:rsidR="00610D27" w:rsidRPr="00313721">
              <w:rPr>
                <w:rFonts w:ascii="Times New Roman" w:hAnsi="Times New Roman" w:cs="Times New Roman"/>
                <w:bCs/>
              </w:rPr>
              <w:t>6</w:t>
            </w:r>
            <w:r w:rsidRPr="00313721">
              <w:rPr>
                <w:rFonts w:ascii="Times New Roman" w:hAnsi="Times New Roman" w:cs="Times New Roman"/>
                <w:bCs/>
              </w:rPr>
              <w:t xml:space="preserve">). Z Výročnej správy za rok 2023 vyplýva, že predkladateľ v rámci svojho hospodárenia v rokoch 2022 a 2023 zaznamenal celkový medziročný pokles za vybrané správne a udržiavacie poplatky spolu vo výške 90 401 €. Pokles vo výške vybraných správnych a udržiavacích </w:t>
            </w:r>
            <w:r w:rsidRPr="00313721">
              <w:rPr>
                <w:rFonts w:ascii="Times New Roman" w:hAnsi="Times New Roman" w:cs="Times New Roman"/>
                <w:bCs/>
              </w:rPr>
              <w:lastRenderedPageBreak/>
              <w:t xml:space="preserve">poplatkov je možné označiť za očakávaný z dôvodu zvýšenej miery využívania elektronických služieb spojenej s elektronizáciou služieb úradu, zníženej/zvýhodnenej sadzby za elektronické podania ustanovenej zákonom (§ 6 zákona </w:t>
            </w:r>
            <w:r w:rsidR="001536C5" w:rsidRPr="00313721">
              <w:rPr>
                <w:rFonts w:ascii="Times New Roman" w:hAnsi="Times New Roman" w:cs="Times New Roman"/>
                <w:bCs/>
              </w:rPr>
              <w:t xml:space="preserve">NR SR </w:t>
            </w:r>
            <w:r w:rsidRPr="00313721">
              <w:rPr>
                <w:rFonts w:ascii="Times New Roman" w:hAnsi="Times New Roman" w:cs="Times New Roman"/>
                <w:bCs/>
              </w:rPr>
              <w:t xml:space="preserve">č. 145/1995 Zb.) a nemeniacej sa výšky jednotlivých správnych poplatkov v oblasti priemyselného vlastníctva. </w:t>
            </w:r>
          </w:p>
          <w:p w14:paraId="08993D17" w14:textId="77777777" w:rsidR="00334FB1" w:rsidRPr="00313721" w:rsidRDefault="00334FB1" w:rsidP="003D022E">
            <w:pPr>
              <w:jc w:val="both"/>
              <w:rPr>
                <w:rFonts w:ascii="Times New Roman" w:hAnsi="Times New Roman" w:cs="Times New Roman"/>
                <w:bCs/>
              </w:rPr>
            </w:pPr>
          </w:p>
          <w:p w14:paraId="5B384959" w14:textId="77777777" w:rsidR="00334FB1" w:rsidRPr="00313721" w:rsidRDefault="00334FB1" w:rsidP="003D022E">
            <w:pPr>
              <w:pStyle w:val="Textkomentra"/>
              <w:jc w:val="both"/>
              <w:rPr>
                <w:rFonts w:ascii="Times New Roman" w:hAnsi="Times New Roman" w:cs="Times New Roman"/>
                <w:sz w:val="22"/>
                <w:szCs w:val="22"/>
              </w:rPr>
            </w:pPr>
            <w:r w:rsidRPr="00313721">
              <w:rPr>
                <w:rFonts w:ascii="Times New Roman" w:hAnsi="Times New Roman" w:cs="Times New Roman"/>
                <w:bCs/>
                <w:sz w:val="22"/>
                <w:szCs w:val="22"/>
              </w:rPr>
              <w:t>Vývoj výberu správnych poplatkov ako aj prognóza výberu udržiavacích poplatkov odzrkadľuje dopady legislatívnych zmien a medzinárodných  zmlúv na príjmovú stránku ÚPV SR. Zavedenie zníženej sadzby /zľavy z poplatku v prípade elektronického podania (</w:t>
            </w:r>
            <w:r w:rsidRPr="00313721">
              <w:rPr>
                <w:rFonts w:ascii="Times New Roman" w:hAnsi="Times New Roman" w:cs="Times New Roman"/>
                <w:sz w:val="22"/>
                <w:szCs w:val="22"/>
              </w:rPr>
              <w:t xml:space="preserve">zákon č. 570/2009 Z. z.  ktorým sa mení a dopĺňa zákon č. 275/2006 Z. z. o informačných systémoch verejnej správy a o zmene a doplnení niektorých zákonov v znení neskorších predpisov a o zmene a doplnení niektorých zákonov účinný od 1.2.2010) v prepojení na povinnosť elektronického výkonu verejnej moci (zákon č. 305/2013 Z. z. , § 6 ods. 3 písm. b) účinný od 1.11.2013), povinnej aktivácie elektronických schránok pre právnické osoby a postupnú elektronizáciu komunikácie právnických ako aj fyzických osôb vo vzťahu k orgánom verejnej moci má za následok výrazný pokles v príjmovej časti ÚPV SR. </w:t>
            </w:r>
          </w:p>
          <w:p w14:paraId="1962D0D3" w14:textId="77777777" w:rsidR="00334FB1" w:rsidRPr="00313721" w:rsidRDefault="00334FB1" w:rsidP="003D022E">
            <w:pPr>
              <w:jc w:val="both"/>
              <w:rPr>
                <w:rFonts w:ascii="Times New Roman" w:hAnsi="Times New Roman" w:cs="Times New Roman"/>
                <w:bCs/>
                <w:sz w:val="24"/>
                <w:szCs w:val="24"/>
              </w:rPr>
            </w:pPr>
            <w:r w:rsidRPr="00313721">
              <w:rPr>
                <w:rFonts w:ascii="Times New Roman" w:hAnsi="Times New Roman" w:cs="Times New Roman"/>
                <w:bCs/>
                <w:sz w:val="24"/>
                <w:szCs w:val="24"/>
              </w:rPr>
              <w:t xml:space="preserve"> </w:t>
            </w:r>
          </w:p>
          <w:p w14:paraId="7EF1DAEE" w14:textId="682B9988" w:rsidR="00334FB1" w:rsidRPr="00313721" w:rsidRDefault="00334FB1" w:rsidP="003D022E">
            <w:pPr>
              <w:jc w:val="both"/>
              <w:rPr>
                <w:rFonts w:ascii="Times New Roman" w:hAnsi="Times New Roman" w:cs="Times New Roman"/>
              </w:rPr>
            </w:pPr>
            <w:r w:rsidRPr="00313721">
              <w:rPr>
                <w:rFonts w:ascii="Times New Roman" w:hAnsi="Times New Roman" w:cs="Times New Roman"/>
              </w:rPr>
              <w:t>Predkladaným návrhom zákona dochádza k zvýšeniu sadzby za vybrané správne poplatky s tým, že pri návrhoch na úpravu sa vychádzalo z viacerých parametrov, ktoré predkladateľ súbežne zohľadňoval:</w:t>
            </w:r>
          </w:p>
          <w:p w14:paraId="1F68EA14" w14:textId="6623645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miera navýšenia sadzby vybraných správnych poplatkov vychádza z výšky inflačného koeficientu za roky 201</w:t>
            </w:r>
            <w:r w:rsidR="004F4982" w:rsidRPr="00313721">
              <w:rPr>
                <w:rFonts w:ascii="Times New Roman" w:hAnsi="Times New Roman" w:cs="Times New Roman"/>
              </w:rPr>
              <w:t>8</w:t>
            </w:r>
            <w:r w:rsidRPr="00313721">
              <w:rPr>
                <w:rFonts w:ascii="Times New Roman" w:hAnsi="Times New Roman" w:cs="Times New Roman"/>
              </w:rPr>
              <w:t xml:space="preserve"> až 2023, t. j. za obdobie od poslednej revízie správnych poplatkov v oblasti priemyselného vlastníctva (vo výške 3</w:t>
            </w:r>
            <w:r w:rsidR="004F4982" w:rsidRPr="00313721">
              <w:rPr>
                <w:rFonts w:ascii="Times New Roman" w:hAnsi="Times New Roman" w:cs="Times New Roman"/>
              </w:rPr>
              <w:t>2</w:t>
            </w:r>
            <w:r w:rsidRPr="00313721">
              <w:rPr>
                <w:rFonts w:ascii="Times New Roman" w:hAnsi="Times New Roman" w:cs="Times New Roman"/>
              </w:rPr>
              <w:t>,</w:t>
            </w:r>
            <w:r w:rsidR="004F4982" w:rsidRPr="00313721">
              <w:rPr>
                <w:rFonts w:ascii="Times New Roman" w:hAnsi="Times New Roman" w:cs="Times New Roman"/>
              </w:rPr>
              <w:t>84</w:t>
            </w:r>
            <w:r w:rsidRPr="00313721">
              <w:rPr>
                <w:rFonts w:ascii="Times New Roman" w:hAnsi="Times New Roman" w:cs="Times New Roman"/>
              </w:rPr>
              <w:t xml:space="preserve"> %),</w:t>
            </w:r>
          </w:p>
          <w:p w14:paraId="16E8C06F"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index prácnosti spojený z realizáciou príslušného správnym poplatkov spoplatneného úkonu zo strany ÚPV SR,</w:t>
            </w:r>
          </w:p>
          <w:p w14:paraId="7A2B1A84"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sadzby správnych poplatkov sa v záujme efektívneho spracovania a prehľadnosti zaokrúhľujú na desiatky eur,</w:t>
            </w:r>
          </w:p>
          <w:p w14:paraId="62A542FF"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 xml:space="preserve">udržanie konkurencieschopnosti a atraktivity národnej ochrany voči jednotným titulom ochrany platným na území celej EÚ (ochranná známka EÚ; dizajn EÚ), tzn. predovšetkým v oblasti ochranných známok je navrhované navýšenie správnych poplatkov minimálne, respektíve len v rozsahu zaokrúhlenia výslednej sumy (napr.  podanie individuálnej alebo kolektívnej prihlášky ochrannej známky),       </w:t>
            </w:r>
          </w:p>
          <w:p w14:paraId="79081304"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jednotná úprava výšky sadzby správnych poplatkov pri rovnakých úkonoch naprieč jednotlivými predmetmi priemyselných práv (napr. zápis prevodu alebo prechodu práv, zápis ďalšieho pôvodcu, zápis licenčnej zmluvy, zápis záložného práva, zápis súdneho sporu, zápis exekúcie do registra ÚPV SR),</w:t>
            </w:r>
          </w:p>
          <w:p w14:paraId="45CE6D40"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vo vzťahu k niektorým správnym poplatkom sa navrhuje zvýšenie sadzby nad mieru inflačného koeficientu z dôvodu neprimerane nízko nastavenej sadzby príslušného správneho poplatku, ktorý aktuálne nezohľadňuje prácnosť súvisiacu s daným úkonom ako ani hodnotu, ktorá na základe realizácie daného úkonu vzniká na strane žiadateľa ako poplatníka/prípadne nezodpovedá európskemu štandardu spojenému s realizáciou príslušného úkonu zo strany porovnateľných úradov priemyselného vlastníctva pri zohľadnení osobitostí trhového prostredia (napr. žiadosť o vykonanie odbornej skúšky na výkon povolania patentového zástupcu; podanie patentovej prihlášky, pričom platnosť patentu je 20 rokov od podania patentovej prihlášky; predĺženie platnosti dodatkového ochranného osvedčenia; podanie prihlášky úžitkového vzoru pričom v prípade zápisu úžitkového vzoru na základe podanej prihlášky je súčasťou zaplateného poplatku okrem konania súvisiaceho s prihláškou aj priznanie doby ochrany v rozsahu štyroch rokov),</w:t>
            </w:r>
          </w:p>
          <w:p w14:paraId="1B420033"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pri niektorých sadzbách správnych poplatkov predkladateľ zmenil spôsob výpočtu poplatku [napr. za vydanie výpisu z registrov vedených ÚPV SR – položka 214 písm. a) či vydanie patentovej listiny – položka 216 písm. d)] – pri stanovení navrhovaných sadzieb prekladateľ oproti doterajšej právnej úprave upúšťa od diferenciácie výšky poplatku podľa počtu strán, zavádza jednotnú výšku bez ohľadu na počet strán, pričom sa zohľadňuje priemerný počet strán príslušnej vydávanej listiny, a teda priemernú výšku vybraného správneho poplatku,</w:t>
            </w:r>
          </w:p>
          <w:p w14:paraId="4E0E7719"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 xml:space="preserve">predmetom predloženého návrhu je aj zavedenie dvoch nových správnych poplatkov (poplatkov za podanie rozkladu proti rozhodnutiu ÚPV SR a poplatok za zápis záložného </w:t>
            </w:r>
            <w:r w:rsidRPr="00313721">
              <w:rPr>
                <w:rFonts w:ascii="Times New Roman" w:hAnsi="Times New Roman" w:cs="Times New Roman"/>
              </w:rPr>
              <w:lastRenderedPageBreak/>
              <w:t>práva k medzinárodnej ochrannej známke); správny poplatok za podanie rozkladu proti rozhodnutiu ÚPV SR v akceptovateľnej výške má za cieľ zefektívniť konanie pred ÚPV SR tak, aby k využitiu odvolacieho konania pristupovali účastníci konania po zhodnotení jeho opodstatnenosti a dostatočnej odbornej príprave, a nedochádzalo tak k neprimeranému zahlcovaniu správneho orgánu, čo v konečnom dôsledku môže pozitívne ovplyvniť aj dĺžku konaní vedených pred ÚPV SR,</w:t>
            </w:r>
          </w:p>
          <w:p w14:paraId="1BFBDA5E" w14:textId="77777777" w:rsidR="00334FB1" w:rsidRPr="00313721" w:rsidRDefault="00334FB1" w:rsidP="003D022E">
            <w:pPr>
              <w:pStyle w:val="Odsekzoznamu"/>
              <w:numPr>
                <w:ilvl w:val="0"/>
                <w:numId w:val="22"/>
              </w:numPr>
              <w:jc w:val="both"/>
              <w:rPr>
                <w:rFonts w:ascii="Times New Roman" w:hAnsi="Times New Roman" w:cs="Times New Roman"/>
              </w:rPr>
            </w:pPr>
            <w:r w:rsidRPr="00313721">
              <w:rPr>
                <w:rFonts w:ascii="Times New Roman" w:hAnsi="Times New Roman" w:cs="Times New Roman"/>
              </w:rPr>
              <w:t xml:space="preserve">dochádza k zrušeniu troch správnych poplatkov súvisiacich so žiadosťou o zápis nútenej licencie do registra.        </w:t>
            </w:r>
          </w:p>
          <w:p w14:paraId="27F50B49" w14:textId="77777777" w:rsidR="00334FB1" w:rsidRPr="00313721" w:rsidRDefault="00334FB1" w:rsidP="003D022E">
            <w:pPr>
              <w:jc w:val="both"/>
              <w:rPr>
                <w:rFonts w:ascii="Times New Roman" w:hAnsi="Times New Roman" w:cs="Times New Roman"/>
                <w:sz w:val="24"/>
                <w:szCs w:val="24"/>
              </w:rPr>
            </w:pPr>
          </w:p>
          <w:p w14:paraId="18B8A042" w14:textId="5DB3385C" w:rsidR="00334FB1" w:rsidRPr="00313721" w:rsidRDefault="00334FB1" w:rsidP="003D022E">
            <w:pPr>
              <w:jc w:val="both"/>
              <w:rPr>
                <w:rFonts w:ascii="Times New Roman" w:hAnsi="Times New Roman" w:cs="Times New Roman"/>
              </w:rPr>
            </w:pPr>
            <w:r w:rsidRPr="00313721">
              <w:rPr>
                <w:rFonts w:ascii="Times New Roman" w:hAnsi="Times New Roman" w:cs="Times New Roman"/>
              </w:rPr>
              <w:t xml:space="preserve">Súhrnný prehľad očakávaného dopadu navýšených sadzieb správnych poplatkov a udržiavacích poplatkov je súčasťou Tabuľky č. </w:t>
            </w:r>
            <w:r w:rsidR="00610D27" w:rsidRPr="00313721">
              <w:rPr>
                <w:rFonts w:ascii="Times New Roman" w:hAnsi="Times New Roman" w:cs="Times New Roman"/>
              </w:rPr>
              <w:t>7</w:t>
            </w:r>
            <w:r w:rsidRPr="00313721">
              <w:rPr>
                <w:rFonts w:ascii="Times New Roman" w:hAnsi="Times New Roman" w:cs="Times New Roman"/>
              </w:rPr>
              <w:t xml:space="preserve">. </w:t>
            </w:r>
          </w:p>
          <w:p w14:paraId="7DE8B041" w14:textId="77777777" w:rsidR="00334FB1" w:rsidRPr="00313721" w:rsidRDefault="00334FB1" w:rsidP="003D022E">
            <w:pPr>
              <w:jc w:val="both"/>
              <w:rPr>
                <w:rFonts w:ascii="Times New Roman" w:hAnsi="Times New Roman" w:cs="Times New Roman"/>
              </w:rPr>
            </w:pPr>
          </w:p>
          <w:tbl>
            <w:tblPr>
              <w:tblW w:w="8846" w:type="dxa"/>
              <w:tblCellMar>
                <w:left w:w="70" w:type="dxa"/>
                <w:right w:w="70" w:type="dxa"/>
              </w:tblCellMar>
              <w:tblLook w:val="04A0" w:firstRow="1" w:lastRow="0" w:firstColumn="1" w:lastColumn="0" w:noHBand="0" w:noVBand="1"/>
            </w:tblPr>
            <w:tblGrid>
              <w:gridCol w:w="856"/>
              <w:gridCol w:w="1053"/>
              <w:gridCol w:w="1601"/>
              <w:gridCol w:w="1340"/>
              <w:gridCol w:w="1129"/>
              <w:gridCol w:w="976"/>
              <w:gridCol w:w="1891"/>
            </w:tblGrid>
            <w:tr w:rsidR="00334FB1" w:rsidRPr="00313721" w14:paraId="4A218599" w14:textId="77777777" w:rsidTr="008F0148">
              <w:trPr>
                <w:trHeight w:val="315"/>
              </w:trPr>
              <w:tc>
                <w:tcPr>
                  <w:tcW w:w="8846" w:type="dxa"/>
                  <w:gridSpan w:val="7"/>
                  <w:tcBorders>
                    <w:top w:val="nil"/>
                    <w:left w:val="nil"/>
                    <w:bottom w:val="nil"/>
                    <w:right w:val="nil"/>
                  </w:tcBorders>
                  <w:shd w:val="clear" w:color="auto" w:fill="auto"/>
                  <w:vAlign w:val="bottom"/>
                  <w:hideMark/>
                </w:tcPr>
                <w:p w14:paraId="62BEBB3A" w14:textId="037091C0" w:rsidR="00334FB1" w:rsidRPr="00313721" w:rsidRDefault="007E5768"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b/>
                      <w:bCs/>
                      <w:color w:val="000000"/>
                      <w:lang w:eastAsia="sk-SK"/>
                    </w:rPr>
                    <w:t>Odhad d</w:t>
                  </w:r>
                  <w:r w:rsidR="00334FB1" w:rsidRPr="00313721">
                    <w:rPr>
                      <w:rFonts w:ascii="Times New Roman" w:eastAsia="Times New Roman" w:hAnsi="Times New Roman" w:cs="Times New Roman"/>
                      <w:b/>
                      <w:bCs/>
                      <w:color w:val="000000"/>
                      <w:lang w:eastAsia="sk-SK"/>
                    </w:rPr>
                    <w:t>opad</w:t>
                  </w:r>
                  <w:r w:rsidRPr="00313721">
                    <w:rPr>
                      <w:rFonts w:ascii="Times New Roman" w:eastAsia="Times New Roman" w:hAnsi="Times New Roman" w:cs="Times New Roman"/>
                      <w:b/>
                      <w:bCs/>
                      <w:color w:val="000000"/>
                      <w:lang w:eastAsia="sk-SK"/>
                    </w:rPr>
                    <w:t>u</w:t>
                  </w:r>
                  <w:r w:rsidR="00334FB1" w:rsidRPr="00313721">
                    <w:rPr>
                      <w:rFonts w:ascii="Times New Roman" w:eastAsia="Times New Roman" w:hAnsi="Times New Roman" w:cs="Times New Roman"/>
                      <w:b/>
                      <w:bCs/>
                      <w:color w:val="000000"/>
                      <w:lang w:eastAsia="sk-SK"/>
                    </w:rPr>
                    <w:t xml:space="preserve"> navýšených sadzieb SP a</w:t>
                  </w:r>
                  <w:r w:rsidR="00DD4CAF" w:rsidRPr="00313721">
                    <w:rPr>
                      <w:rFonts w:ascii="Times New Roman" w:eastAsia="Times New Roman" w:hAnsi="Times New Roman" w:cs="Times New Roman"/>
                      <w:b/>
                      <w:bCs/>
                      <w:color w:val="000000"/>
                      <w:lang w:eastAsia="sk-SK"/>
                    </w:rPr>
                    <w:t> </w:t>
                  </w:r>
                  <w:r w:rsidR="00334FB1" w:rsidRPr="00313721">
                    <w:rPr>
                      <w:rFonts w:ascii="Times New Roman" w:eastAsia="Times New Roman" w:hAnsi="Times New Roman" w:cs="Times New Roman"/>
                      <w:b/>
                      <w:bCs/>
                      <w:color w:val="000000"/>
                      <w:lang w:eastAsia="sk-SK"/>
                    </w:rPr>
                    <w:t>UP</w:t>
                  </w:r>
                  <w:r w:rsidR="00DD4CAF" w:rsidRPr="00313721">
                    <w:rPr>
                      <w:rFonts w:ascii="Times New Roman" w:eastAsia="Times New Roman" w:hAnsi="Times New Roman" w:cs="Times New Roman"/>
                      <w:b/>
                      <w:bCs/>
                      <w:color w:val="000000"/>
                      <w:lang w:eastAsia="sk-SK"/>
                    </w:rPr>
                    <w:t>*</w:t>
                  </w:r>
                  <w:r w:rsidR="00334FB1" w:rsidRPr="00313721">
                    <w:rPr>
                      <w:rFonts w:ascii="Times New Roman" w:eastAsia="Times New Roman" w:hAnsi="Times New Roman" w:cs="Times New Roman"/>
                      <w:b/>
                      <w:bCs/>
                      <w:color w:val="000000"/>
                      <w:lang w:eastAsia="sk-SK"/>
                    </w:rPr>
                    <w:t xml:space="preserve">                                                                                          </w:t>
                  </w:r>
                  <w:r w:rsidR="00334FB1" w:rsidRPr="00313721">
                    <w:rPr>
                      <w:rFonts w:ascii="Times New Roman" w:eastAsia="Times New Roman" w:hAnsi="Times New Roman" w:cs="Times New Roman"/>
                      <w:color w:val="000000"/>
                      <w:lang w:eastAsia="sk-SK"/>
                    </w:rPr>
                    <w:t>Tabuľka č.</w:t>
                  </w:r>
                  <w:r w:rsidR="00610D27" w:rsidRPr="00313721">
                    <w:rPr>
                      <w:rFonts w:ascii="Times New Roman" w:eastAsia="Times New Roman" w:hAnsi="Times New Roman" w:cs="Times New Roman"/>
                      <w:color w:val="000000"/>
                      <w:lang w:eastAsia="sk-SK"/>
                    </w:rPr>
                    <w:t>7</w:t>
                  </w:r>
                </w:p>
              </w:tc>
            </w:tr>
            <w:tr w:rsidR="00334FB1" w:rsidRPr="00313721" w14:paraId="4B8EBE6B" w14:textId="77777777" w:rsidTr="008F0148">
              <w:trPr>
                <w:trHeight w:val="64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F1D25" w14:textId="502E1DDA" w:rsidR="00334FB1" w:rsidRPr="00313721" w:rsidRDefault="00334FB1" w:rsidP="003D022E">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Odhad dopadu </w:t>
                  </w:r>
                </w:p>
              </w:tc>
              <w:tc>
                <w:tcPr>
                  <w:tcW w:w="26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DDD0C1" w14:textId="77777777" w:rsidR="00334FB1" w:rsidRPr="00313721" w:rsidRDefault="00334FB1" w:rsidP="003D022E">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vplyv na PP v € </w:t>
                  </w:r>
                </w:p>
              </w:tc>
              <w:tc>
                <w:tcPr>
                  <w:tcW w:w="1340" w:type="dxa"/>
                  <w:vMerge w:val="restart"/>
                  <w:tcBorders>
                    <w:top w:val="single" w:sz="8" w:space="0" w:color="auto"/>
                    <w:left w:val="single" w:sz="8" w:space="0" w:color="auto"/>
                    <w:bottom w:val="single" w:sz="4" w:space="0" w:color="auto"/>
                    <w:right w:val="single" w:sz="8" w:space="0" w:color="000000"/>
                  </w:tcBorders>
                  <w:shd w:val="clear" w:color="000000" w:fill="C4BD97"/>
                  <w:vAlign w:val="center"/>
                  <w:hideMark/>
                </w:tcPr>
                <w:p w14:paraId="599E84C9"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 xml:space="preserve">vplyv na PP spolu v € </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14:paraId="3158E990" w14:textId="77777777" w:rsidR="00334FB1" w:rsidRPr="00313721" w:rsidRDefault="00334FB1" w:rsidP="003D022E">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 xml:space="preserve">vplyv na rozpočet verejnej správy v € </w:t>
                  </w:r>
                </w:p>
              </w:tc>
              <w:tc>
                <w:tcPr>
                  <w:tcW w:w="1891" w:type="dxa"/>
                  <w:vMerge w:val="restart"/>
                  <w:tcBorders>
                    <w:top w:val="single" w:sz="8" w:space="0" w:color="auto"/>
                    <w:left w:val="single" w:sz="8" w:space="0" w:color="auto"/>
                    <w:bottom w:val="single" w:sz="4" w:space="0" w:color="auto"/>
                    <w:right w:val="single" w:sz="8" w:space="0" w:color="auto"/>
                  </w:tcBorders>
                  <w:shd w:val="clear" w:color="000000" w:fill="C4BD97"/>
                  <w:vAlign w:val="center"/>
                  <w:hideMark/>
                </w:tcPr>
                <w:p w14:paraId="3B050B49"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vplyv na rozpočet verejnej správy spolu v € po zaokrúhlení</w:t>
                  </w:r>
                </w:p>
              </w:tc>
            </w:tr>
            <w:tr w:rsidR="00334FB1" w:rsidRPr="00313721" w14:paraId="2CBDF8CD" w14:textId="77777777" w:rsidTr="008F0148">
              <w:trPr>
                <w:trHeight w:val="90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E2BF2FA" w14:textId="77777777" w:rsidR="00334FB1" w:rsidRPr="00313721" w:rsidRDefault="00334FB1" w:rsidP="003D022E">
                  <w:pPr>
                    <w:spacing w:after="0" w:line="240" w:lineRule="auto"/>
                    <w:rPr>
                      <w:rFonts w:ascii="Times New Roman" w:eastAsia="Times New Roman" w:hAnsi="Times New Roman" w:cs="Times New Roman"/>
                      <w:b/>
                      <w:bCs/>
                      <w:color w:val="000000"/>
                      <w:lang w:eastAsia="sk-SK"/>
                    </w:rPr>
                  </w:pPr>
                </w:p>
              </w:tc>
              <w:tc>
                <w:tcPr>
                  <w:tcW w:w="1053" w:type="dxa"/>
                  <w:tcBorders>
                    <w:top w:val="nil"/>
                    <w:left w:val="nil"/>
                    <w:bottom w:val="single" w:sz="4" w:space="0" w:color="auto"/>
                    <w:right w:val="single" w:sz="4" w:space="0" w:color="auto"/>
                  </w:tcBorders>
                  <w:shd w:val="clear" w:color="auto" w:fill="auto"/>
                  <w:vAlign w:val="bottom"/>
                  <w:hideMark/>
                </w:tcPr>
                <w:p w14:paraId="37152E12"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navýšené sadzby SP</w:t>
                  </w:r>
                </w:p>
              </w:tc>
              <w:tc>
                <w:tcPr>
                  <w:tcW w:w="1601" w:type="dxa"/>
                  <w:tcBorders>
                    <w:top w:val="nil"/>
                    <w:left w:val="nil"/>
                    <w:bottom w:val="single" w:sz="4" w:space="0" w:color="auto"/>
                    <w:right w:val="nil"/>
                  </w:tcBorders>
                  <w:shd w:val="clear" w:color="auto" w:fill="auto"/>
                  <w:vAlign w:val="bottom"/>
                  <w:hideMark/>
                </w:tcPr>
                <w:p w14:paraId="42954CCB"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navýšené sadzby UP</w:t>
                  </w:r>
                </w:p>
              </w:tc>
              <w:tc>
                <w:tcPr>
                  <w:tcW w:w="1340" w:type="dxa"/>
                  <w:vMerge/>
                  <w:tcBorders>
                    <w:top w:val="nil"/>
                    <w:left w:val="nil"/>
                    <w:bottom w:val="single" w:sz="4" w:space="0" w:color="auto"/>
                    <w:right w:val="nil"/>
                  </w:tcBorders>
                  <w:vAlign w:val="center"/>
                  <w:hideMark/>
                </w:tcPr>
                <w:p w14:paraId="74AFE2EE"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p>
              </w:tc>
              <w:tc>
                <w:tcPr>
                  <w:tcW w:w="1129" w:type="dxa"/>
                  <w:tcBorders>
                    <w:top w:val="nil"/>
                    <w:left w:val="nil"/>
                    <w:bottom w:val="single" w:sz="4" w:space="0" w:color="auto"/>
                    <w:right w:val="single" w:sz="4" w:space="0" w:color="auto"/>
                  </w:tcBorders>
                  <w:shd w:val="clear" w:color="auto" w:fill="auto"/>
                  <w:vAlign w:val="bottom"/>
                  <w:hideMark/>
                </w:tcPr>
                <w:p w14:paraId="1AA1C6D7"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navýšené sadzby SP</w:t>
                  </w:r>
                </w:p>
              </w:tc>
              <w:tc>
                <w:tcPr>
                  <w:tcW w:w="976" w:type="dxa"/>
                  <w:tcBorders>
                    <w:top w:val="nil"/>
                    <w:left w:val="nil"/>
                    <w:bottom w:val="single" w:sz="4" w:space="0" w:color="auto"/>
                    <w:right w:val="nil"/>
                  </w:tcBorders>
                  <w:shd w:val="clear" w:color="auto" w:fill="auto"/>
                  <w:vAlign w:val="bottom"/>
                  <w:hideMark/>
                </w:tcPr>
                <w:p w14:paraId="4B55DBAE"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navýšené sadzby UP</w:t>
                  </w:r>
                </w:p>
              </w:tc>
              <w:tc>
                <w:tcPr>
                  <w:tcW w:w="1891" w:type="dxa"/>
                  <w:vMerge/>
                  <w:tcBorders>
                    <w:top w:val="single" w:sz="8" w:space="0" w:color="auto"/>
                    <w:left w:val="single" w:sz="8" w:space="0" w:color="auto"/>
                    <w:bottom w:val="single" w:sz="4" w:space="0" w:color="auto"/>
                    <w:right w:val="single" w:sz="8" w:space="0" w:color="auto"/>
                  </w:tcBorders>
                  <w:vAlign w:val="center"/>
                  <w:hideMark/>
                </w:tcPr>
                <w:p w14:paraId="37D9772E"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p>
              </w:tc>
            </w:tr>
            <w:tr w:rsidR="00334FB1" w:rsidRPr="00313721" w14:paraId="3D77B41F" w14:textId="77777777" w:rsidTr="008F0148">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0EFEA931"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2025</w:t>
                  </w:r>
                </w:p>
              </w:tc>
              <w:tc>
                <w:tcPr>
                  <w:tcW w:w="1053" w:type="dxa"/>
                  <w:tcBorders>
                    <w:top w:val="nil"/>
                    <w:left w:val="nil"/>
                    <w:bottom w:val="single" w:sz="4" w:space="0" w:color="auto"/>
                    <w:right w:val="single" w:sz="4" w:space="0" w:color="auto"/>
                  </w:tcBorders>
                  <w:shd w:val="clear" w:color="auto" w:fill="auto"/>
                  <w:noWrap/>
                  <w:vAlign w:val="bottom"/>
                  <w:hideMark/>
                </w:tcPr>
                <w:p w14:paraId="5AAD72AC" w14:textId="23DB71A4" w:rsidR="00334FB1" w:rsidRPr="00313721" w:rsidRDefault="00DB7B29"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95 056</w:t>
                  </w:r>
                </w:p>
              </w:tc>
              <w:tc>
                <w:tcPr>
                  <w:tcW w:w="1601" w:type="dxa"/>
                  <w:tcBorders>
                    <w:top w:val="nil"/>
                    <w:left w:val="nil"/>
                    <w:bottom w:val="single" w:sz="4" w:space="0" w:color="auto"/>
                    <w:right w:val="nil"/>
                  </w:tcBorders>
                  <w:shd w:val="clear" w:color="auto" w:fill="auto"/>
                  <w:noWrap/>
                  <w:vAlign w:val="bottom"/>
                  <w:hideMark/>
                </w:tcPr>
                <w:p w14:paraId="4B152153" w14:textId="1BABB098" w:rsidR="00334FB1" w:rsidRPr="00313721" w:rsidRDefault="00F6116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w:t>
                  </w:r>
                  <w:r w:rsidR="008868C9" w:rsidRPr="00313721">
                    <w:rPr>
                      <w:rFonts w:ascii="Times New Roman" w:eastAsia="Times New Roman" w:hAnsi="Times New Roman" w:cs="Times New Roman"/>
                      <w:color w:val="000000"/>
                      <w:lang w:eastAsia="sk-SK"/>
                    </w:rPr>
                    <w:t>19 509</w:t>
                  </w:r>
                </w:p>
              </w:tc>
              <w:tc>
                <w:tcPr>
                  <w:tcW w:w="1340" w:type="dxa"/>
                  <w:tcBorders>
                    <w:top w:val="single" w:sz="4" w:space="0" w:color="auto"/>
                    <w:left w:val="single" w:sz="8" w:space="0" w:color="auto"/>
                    <w:bottom w:val="single" w:sz="4" w:space="0" w:color="auto"/>
                    <w:right w:val="single" w:sz="8" w:space="0" w:color="000000"/>
                  </w:tcBorders>
                  <w:shd w:val="clear" w:color="000000" w:fill="C4BD97"/>
                  <w:noWrap/>
                  <w:vAlign w:val="bottom"/>
                  <w:hideMark/>
                </w:tcPr>
                <w:p w14:paraId="04AC5C20" w14:textId="1E846836" w:rsidR="00334FB1" w:rsidRPr="00313721" w:rsidRDefault="00F6116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6</w:t>
                  </w:r>
                  <w:r w:rsidR="008868C9" w:rsidRPr="00313721">
                    <w:rPr>
                      <w:rFonts w:ascii="Times New Roman" w:eastAsia="Times New Roman" w:hAnsi="Times New Roman" w:cs="Times New Roman"/>
                      <w:color w:val="000000"/>
                      <w:lang w:eastAsia="sk-SK"/>
                    </w:rPr>
                    <w:t>14 565</w:t>
                  </w:r>
                </w:p>
              </w:tc>
              <w:tc>
                <w:tcPr>
                  <w:tcW w:w="1129" w:type="dxa"/>
                  <w:tcBorders>
                    <w:top w:val="nil"/>
                    <w:left w:val="nil"/>
                    <w:bottom w:val="single" w:sz="4" w:space="0" w:color="auto"/>
                    <w:right w:val="single" w:sz="4" w:space="0" w:color="auto"/>
                  </w:tcBorders>
                  <w:shd w:val="clear" w:color="auto" w:fill="auto"/>
                  <w:noWrap/>
                  <w:vAlign w:val="bottom"/>
                  <w:hideMark/>
                </w:tcPr>
                <w:p w14:paraId="6356EB79" w14:textId="776C6391"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10</w:t>
                  </w:r>
                  <w:r w:rsidR="00DB7B29" w:rsidRPr="00313721">
                    <w:rPr>
                      <w:rFonts w:ascii="Times New Roman" w:eastAsia="Times New Roman" w:hAnsi="Times New Roman" w:cs="Times New Roman"/>
                      <w:color w:val="000000"/>
                      <w:lang w:eastAsia="sk-SK"/>
                    </w:rPr>
                    <w:t>0</w:t>
                  </w:r>
                  <w:r w:rsidRPr="00313721">
                    <w:rPr>
                      <w:rFonts w:ascii="Times New Roman" w:eastAsia="Times New Roman" w:hAnsi="Times New Roman" w:cs="Times New Roman"/>
                      <w:color w:val="000000"/>
                      <w:lang w:eastAsia="sk-SK"/>
                    </w:rPr>
                    <w:t xml:space="preserve"> </w:t>
                  </w:r>
                  <w:r w:rsidR="00DB7B29" w:rsidRPr="00313721">
                    <w:rPr>
                      <w:rFonts w:ascii="Times New Roman" w:eastAsia="Times New Roman" w:hAnsi="Times New Roman" w:cs="Times New Roman"/>
                      <w:color w:val="000000"/>
                      <w:lang w:eastAsia="sk-SK"/>
                    </w:rPr>
                    <w:t>059</w:t>
                  </w:r>
                </w:p>
              </w:tc>
              <w:tc>
                <w:tcPr>
                  <w:tcW w:w="976" w:type="dxa"/>
                  <w:tcBorders>
                    <w:top w:val="nil"/>
                    <w:left w:val="nil"/>
                    <w:bottom w:val="single" w:sz="4" w:space="0" w:color="auto"/>
                    <w:right w:val="nil"/>
                  </w:tcBorders>
                  <w:shd w:val="clear" w:color="auto" w:fill="auto"/>
                  <w:noWrap/>
                  <w:vAlign w:val="bottom"/>
                  <w:hideMark/>
                </w:tcPr>
                <w:p w14:paraId="18947579" w14:textId="53E7F59A" w:rsidR="00334FB1" w:rsidRPr="00313721" w:rsidRDefault="00F6116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w:t>
                  </w:r>
                  <w:r w:rsidR="008868C9" w:rsidRPr="00313721">
                    <w:rPr>
                      <w:rFonts w:ascii="Times New Roman" w:eastAsia="Times New Roman" w:hAnsi="Times New Roman" w:cs="Times New Roman"/>
                      <w:color w:val="000000"/>
                      <w:lang w:eastAsia="sk-SK"/>
                    </w:rPr>
                    <w:t>95 054</w:t>
                  </w:r>
                </w:p>
              </w:tc>
              <w:tc>
                <w:tcPr>
                  <w:tcW w:w="1891" w:type="dxa"/>
                  <w:tcBorders>
                    <w:top w:val="nil"/>
                    <w:left w:val="single" w:sz="8" w:space="0" w:color="auto"/>
                    <w:bottom w:val="single" w:sz="4" w:space="0" w:color="auto"/>
                    <w:right w:val="single" w:sz="8" w:space="0" w:color="auto"/>
                  </w:tcBorders>
                  <w:shd w:val="clear" w:color="000000" w:fill="C4BD97"/>
                  <w:noWrap/>
                  <w:vAlign w:val="bottom"/>
                  <w:hideMark/>
                </w:tcPr>
                <w:p w14:paraId="126B67BF" w14:textId="4BFA7E9E" w:rsidR="00334FB1" w:rsidRPr="00313721" w:rsidRDefault="00B2384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3</w:t>
                  </w:r>
                  <w:r w:rsidR="008868C9" w:rsidRPr="00313721">
                    <w:rPr>
                      <w:rFonts w:ascii="Times New Roman" w:eastAsia="Times New Roman" w:hAnsi="Times New Roman" w:cs="Times New Roman"/>
                      <w:color w:val="000000"/>
                      <w:lang w:eastAsia="sk-SK"/>
                    </w:rPr>
                    <w:t>95 113</w:t>
                  </w:r>
                </w:p>
              </w:tc>
            </w:tr>
            <w:tr w:rsidR="00334FB1" w:rsidRPr="00313721" w14:paraId="132EDD96" w14:textId="77777777" w:rsidTr="008F014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445E9C5" w14:textId="77777777" w:rsidR="00334FB1" w:rsidRPr="00313721" w:rsidRDefault="00334FB1" w:rsidP="003D022E">
                  <w:pPr>
                    <w:spacing w:after="0" w:line="240" w:lineRule="auto"/>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 xml:space="preserve">2026 a </w:t>
                  </w:r>
                  <w:proofErr w:type="spellStart"/>
                  <w:r w:rsidRPr="00313721">
                    <w:rPr>
                      <w:rFonts w:ascii="Times New Roman" w:eastAsia="Times New Roman" w:hAnsi="Times New Roman" w:cs="Times New Roman"/>
                      <w:color w:val="000000"/>
                      <w:lang w:eastAsia="sk-SK"/>
                    </w:rPr>
                    <w:t>nasl</w:t>
                  </w:r>
                  <w:proofErr w:type="spellEnd"/>
                  <w:r w:rsidRPr="00313721">
                    <w:rPr>
                      <w:rFonts w:ascii="Times New Roman" w:eastAsia="Times New Roman" w:hAnsi="Times New Roman" w:cs="Times New Roman"/>
                      <w:color w:val="000000"/>
                      <w:lang w:eastAsia="sk-SK"/>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14:paraId="7926029B" w14:textId="6129D6FD" w:rsidR="00334FB1" w:rsidRPr="00313721" w:rsidRDefault="00DB7B29"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190 112</w:t>
                  </w:r>
                </w:p>
              </w:tc>
              <w:tc>
                <w:tcPr>
                  <w:tcW w:w="1601" w:type="dxa"/>
                  <w:tcBorders>
                    <w:top w:val="nil"/>
                    <w:left w:val="nil"/>
                    <w:bottom w:val="single" w:sz="4" w:space="0" w:color="auto"/>
                    <w:right w:val="nil"/>
                  </w:tcBorders>
                  <w:shd w:val="clear" w:color="auto" w:fill="auto"/>
                  <w:noWrap/>
                  <w:vAlign w:val="bottom"/>
                  <w:hideMark/>
                </w:tcPr>
                <w:p w14:paraId="423EDE8F" w14:textId="13E4A617"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w:t>
                  </w:r>
                  <w:r w:rsidR="00DB7B29" w:rsidRPr="00313721">
                    <w:rPr>
                      <w:rFonts w:ascii="Times New Roman" w:eastAsia="Times New Roman" w:hAnsi="Times New Roman" w:cs="Times New Roman"/>
                      <w:color w:val="000000"/>
                      <w:lang w:eastAsia="sk-SK"/>
                    </w:rPr>
                    <w:t> </w:t>
                  </w:r>
                  <w:r w:rsidR="00F6116D" w:rsidRPr="00313721">
                    <w:rPr>
                      <w:rFonts w:ascii="Times New Roman" w:eastAsia="Times New Roman" w:hAnsi="Times New Roman" w:cs="Times New Roman"/>
                      <w:color w:val="000000"/>
                      <w:lang w:eastAsia="sk-SK"/>
                    </w:rPr>
                    <w:t>0</w:t>
                  </w:r>
                  <w:r w:rsidR="008868C9" w:rsidRPr="00313721">
                    <w:rPr>
                      <w:rFonts w:ascii="Times New Roman" w:eastAsia="Times New Roman" w:hAnsi="Times New Roman" w:cs="Times New Roman"/>
                      <w:color w:val="000000"/>
                      <w:lang w:eastAsia="sk-SK"/>
                    </w:rPr>
                    <w:t>39</w:t>
                  </w:r>
                  <w:r w:rsidR="00DB7B29" w:rsidRPr="00313721">
                    <w:rPr>
                      <w:rFonts w:ascii="Times New Roman" w:eastAsia="Times New Roman" w:hAnsi="Times New Roman" w:cs="Times New Roman"/>
                      <w:color w:val="000000"/>
                      <w:lang w:eastAsia="sk-SK"/>
                    </w:rPr>
                    <w:t xml:space="preserve"> </w:t>
                  </w:r>
                  <w:r w:rsidR="008868C9" w:rsidRPr="00313721">
                    <w:rPr>
                      <w:rFonts w:ascii="Times New Roman" w:eastAsia="Times New Roman" w:hAnsi="Times New Roman" w:cs="Times New Roman"/>
                      <w:color w:val="000000"/>
                      <w:lang w:eastAsia="sk-SK"/>
                    </w:rPr>
                    <w:t>018</w:t>
                  </w:r>
                </w:p>
              </w:tc>
              <w:tc>
                <w:tcPr>
                  <w:tcW w:w="1340" w:type="dxa"/>
                  <w:tcBorders>
                    <w:top w:val="single" w:sz="4" w:space="0" w:color="auto"/>
                    <w:left w:val="single" w:sz="8" w:space="0" w:color="auto"/>
                    <w:bottom w:val="single" w:sz="8" w:space="0" w:color="auto"/>
                    <w:right w:val="single" w:sz="8" w:space="0" w:color="000000"/>
                  </w:tcBorders>
                  <w:shd w:val="clear" w:color="000000" w:fill="C4BD97"/>
                  <w:noWrap/>
                  <w:vAlign w:val="bottom"/>
                  <w:hideMark/>
                </w:tcPr>
                <w:p w14:paraId="00ECDD4F" w14:textId="78B2F7A0"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1</w:t>
                  </w:r>
                  <w:r w:rsidR="00F6116D" w:rsidRPr="00313721">
                    <w:rPr>
                      <w:rFonts w:ascii="Times New Roman" w:eastAsia="Times New Roman" w:hAnsi="Times New Roman" w:cs="Times New Roman"/>
                      <w:color w:val="000000"/>
                      <w:lang w:eastAsia="sk-SK"/>
                    </w:rPr>
                    <w:t> 2</w:t>
                  </w:r>
                  <w:r w:rsidR="008868C9" w:rsidRPr="00313721">
                    <w:rPr>
                      <w:rFonts w:ascii="Times New Roman" w:eastAsia="Times New Roman" w:hAnsi="Times New Roman" w:cs="Times New Roman"/>
                      <w:color w:val="000000"/>
                      <w:lang w:eastAsia="sk-SK"/>
                    </w:rPr>
                    <w:t>29</w:t>
                  </w:r>
                  <w:r w:rsidR="00DB7B29" w:rsidRPr="00313721">
                    <w:rPr>
                      <w:rFonts w:ascii="Times New Roman" w:eastAsia="Times New Roman" w:hAnsi="Times New Roman" w:cs="Times New Roman"/>
                      <w:color w:val="000000"/>
                      <w:lang w:eastAsia="sk-SK"/>
                    </w:rPr>
                    <w:t> </w:t>
                  </w:r>
                  <w:r w:rsidR="008868C9" w:rsidRPr="00313721">
                    <w:rPr>
                      <w:rFonts w:ascii="Times New Roman" w:eastAsia="Times New Roman" w:hAnsi="Times New Roman" w:cs="Times New Roman"/>
                      <w:color w:val="000000"/>
                      <w:lang w:eastAsia="sk-SK"/>
                    </w:rPr>
                    <w:t>130</w:t>
                  </w:r>
                </w:p>
              </w:tc>
              <w:tc>
                <w:tcPr>
                  <w:tcW w:w="1129" w:type="dxa"/>
                  <w:tcBorders>
                    <w:top w:val="nil"/>
                    <w:left w:val="nil"/>
                    <w:bottom w:val="single" w:sz="4" w:space="0" w:color="auto"/>
                    <w:right w:val="single" w:sz="4" w:space="0" w:color="auto"/>
                  </w:tcBorders>
                  <w:shd w:val="clear" w:color="auto" w:fill="auto"/>
                  <w:noWrap/>
                  <w:vAlign w:val="bottom"/>
                  <w:hideMark/>
                </w:tcPr>
                <w:p w14:paraId="19F2CC82" w14:textId="625D2B2B" w:rsidR="00334FB1" w:rsidRPr="00313721" w:rsidRDefault="00334FB1"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2</w:t>
                  </w:r>
                  <w:r w:rsidR="00DB7B29" w:rsidRPr="00313721">
                    <w:rPr>
                      <w:rFonts w:ascii="Times New Roman" w:eastAsia="Times New Roman" w:hAnsi="Times New Roman" w:cs="Times New Roman"/>
                      <w:color w:val="000000"/>
                      <w:lang w:eastAsia="sk-SK"/>
                    </w:rPr>
                    <w:t>00 118</w:t>
                  </w:r>
                </w:p>
              </w:tc>
              <w:tc>
                <w:tcPr>
                  <w:tcW w:w="976" w:type="dxa"/>
                  <w:tcBorders>
                    <w:top w:val="nil"/>
                    <w:left w:val="nil"/>
                    <w:bottom w:val="single" w:sz="4" w:space="0" w:color="auto"/>
                    <w:right w:val="nil"/>
                  </w:tcBorders>
                  <w:shd w:val="clear" w:color="auto" w:fill="auto"/>
                  <w:noWrap/>
                  <w:vAlign w:val="bottom"/>
                  <w:hideMark/>
                </w:tcPr>
                <w:p w14:paraId="129C6289" w14:textId="4BF1DBF0" w:rsidR="00334FB1" w:rsidRPr="00313721" w:rsidRDefault="00F6116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5</w:t>
                  </w:r>
                  <w:r w:rsidR="008868C9" w:rsidRPr="00313721">
                    <w:rPr>
                      <w:rFonts w:ascii="Times New Roman" w:eastAsia="Times New Roman" w:hAnsi="Times New Roman" w:cs="Times New Roman"/>
                      <w:color w:val="000000"/>
                      <w:lang w:eastAsia="sk-SK"/>
                    </w:rPr>
                    <w:t>90 109</w:t>
                  </w:r>
                </w:p>
              </w:tc>
              <w:tc>
                <w:tcPr>
                  <w:tcW w:w="1891" w:type="dxa"/>
                  <w:tcBorders>
                    <w:top w:val="nil"/>
                    <w:left w:val="single" w:sz="8" w:space="0" w:color="auto"/>
                    <w:bottom w:val="single" w:sz="8" w:space="0" w:color="auto"/>
                    <w:right w:val="single" w:sz="8" w:space="0" w:color="auto"/>
                  </w:tcBorders>
                  <w:shd w:val="clear" w:color="000000" w:fill="C4BD97"/>
                  <w:noWrap/>
                  <w:vAlign w:val="bottom"/>
                  <w:hideMark/>
                </w:tcPr>
                <w:p w14:paraId="147CCF71" w14:textId="36C1E3CC" w:rsidR="00334FB1" w:rsidRPr="00313721" w:rsidRDefault="00B2384D" w:rsidP="003D022E">
                  <w:pPr>
                    <w:spacing w:after="0" w:line="240" w:lineRule="auto"/>
                    <w:jc w:val="right"/>
                    <w:rPr>
                      <w:rFonts w:ascii="Times New Roman" w:eastAsia="Times New Roman" w:hAnsi="Times New Roman" w:cs="Times New Roman"/>
                      <w:color w:val="000000"/>
                      <w:lang w:eastAsia="sk-SK"/>
                    </w:rPr>
                  </w:pPr>
                  <w:r w:rsidRPr="00313721">
                    <w:rPr>
                      <w:rFonts w:ascii="Times New Roman" w:eastAsia="Times New Roman" w:hAnsi="Times New Roman" w:cs="Times New Roman"/>
                      <w:color w:val="000000"/>
                      <w:lang w:eastAsia="sk-SK"/>
                    </w:rPr>
                    <w:t>7</w:t>
                  </w:r>
                  <w:r w:rsidR="008868C9" w:rsidRPr="00313721">
                    <w:rPr>
                      <w:rFonts w:ascii="Times New Roman" w:eastAsia="Times New Roman" w:hAnsi="Times New Roman" w:cs="Times New Roman"/>
                      <w:color w:val="000000"/>
                      <w:lang w:eastAsia="sk-SK"/>
                    </w:rPr>
                    <w:t>90 227</w:t>
                  </w:r>
                </w:p>
              </w:tc>
            </w:tr>
          </w:tbl>
          <w:p w14:paraId="3A89561E" w14:textId="02AC4EF8" w:rsidR="00334FB1" w:rsidRPr="00313721" w:rsidRDefault="00DD4CAF" w:rsidP="00DD4CAF">
            <w:pPr>
              <w:tabs>
                <w:tab w:val="num" w:pos="1080"/>
              </w:tabs>
              <w:rPr>
                <w:rFonts w:ascii="Times New Roman" w:hAnsi="Times New Roman" w:cs="Times New Roman"/>
                <w:bCs/>
                <w:sz w:val="18"/>
                <w:szCs w:val="18"/>
              </w:rPr>
            </w:pPr>
            <w:r w:rsidRPr="00313721">
              <w:rPr>
                <w:rFonts w:ascii="Times New Roman" w:hAnsi="Times New Roman" w:cs="Times New Roman"/>
                <w:bCs/>
                <w:sz w:val="18"/>
                <w:szCs w:val="18"/>
              </w:rPr>
              <w:t>*Vplyv zrušenia inštitútu kaucie (zníženie o cca 300 € ročne) nie je zahrnutý</w:t>
            </w:r>
          </w:p>
          <w:p w14:paraId="1E8B4177" w14:textId="77777777" w:rsidR="00DD4CAF" w:rsidRPr="00313721" w:rsidRDefault="00DD4CAF" w:rsidP="00DD4CAF">
            <w:pPr>
              <w:tabs>
                <w:tab w:val="num" w:pos="1080"/>
              </w:tabs>
              <w:rPr>
                <w:rFonts w:ascii="Times New Roman" w:hAnsi="Times New Roman" w:cs="Times New Roman"/>
                <w:bCs/>
              </w:rPr>
            </w:pPr>
          </w:p>
          <w:p w14:paraId="54BC7CFA" w14:textId="77777777" w:rsidR="00334FB1" w:rsidRPr="00313721" w:rsidRDefault="00334FB1" w:rsidP="003D022E">
            <w:pPr>
              <w:jc w:val="both"/>
              <w:rPr>
                <w:rFonts w:ascii="Times New Roman" w:hAnsi="Times New Roman" w:cs="Times New Roman"/>
              </w:rPr>
            </w:pPr>
            <w:r w:rsidRPr="00313721">
              <w:rPr>
                <w:rFonts w:ascii="Times New Roman" w:hAnsi="Times New Roman" w:cs="Times New Roman"/>
              </w:rPr>
              <w:t>Predkladaný návrh zákona nevyžaduje vo vzťahu k podnikateľom dodatočné náklady na nákup tovarov a služieb ani v súvislosti so zamestnávaním.</w:t>
            </w:r>
          </w:p>
          <w:p w14:paraId="29ED3903" w14:textId="77777777" w:rsidR="00334FB1" w:rsidRPr="00313721" w:rsidRDefault="00334FB1" w:rsidP="003D022E">
            <w:pPr>
              <w:jc w:val="both"/>
              <w:rPr>
                <w:rFonts w:ascii="Times New Roman" w:hAnsi="Times New Roman" w:cs="Times New Roman"/>
              </w:rPr>
            </w:pPr>
            <w:r w:rsidRPr="00313721">
              <w:rPr>
                <w:rFonts w:ascii="Times New Roman" w:hAnsi="Times New Roman" w:cs="Times New Roman"/>
              </w:rPr>
              <w:t>Predkladaný návrh zákona rozsah administratívnej záťaže nezvyšuje, skôr naopak prispieva k jej zníženiu, čo prekladateľ bližšie popísal v časti Analýzy vplyvov na služby verejnej správy pre občana.</w:t>
            </w:r>
          </w:p>
          <w:p w14:paraId="7B566D3A" w14:textId="77777777" w:rsidR="00165E01" w:rsidRPr="00313721" w:rsidRDefault="00165E01" w:rsidP="003D022E">
            <w:pPr>
              <w:jc w:val="both"/>
              <w:rPr>
                <w:rFonts w:ascii="Times New Roman" w:hAnsi="Times New Roman" w:cs="Times New Roman"/>
              </w:rPr>
            </w:pPr>
          </w:p>
          <w:p w14:paraId="7DAF589D" w14:textId="20C9FB5A" w:rsidR="00334FB1" w:rsidRPr="00313721" w:rsidRDefault="00165E01" w:rsidP="003D022E">
            <w:pPr>
              <w:jc w:val="both"/>
              <w:rPr>
                <w:rFonts w:ascii="Times New Roman" w:hAnsi="Times New Roman" w:cs="Times New Roman"/>
                <w:b/>
              </w:rPr>
            </w:pPr>
            <w:r w:rsidRPr="00313721">
              <w:rPr>
                <w:rFonts w:ascii="Times New Roman" w:hAnsi="Times New Roman" w:cs="Times New Roman"/>
                <w:b/>
              </w:rPr>
              <w:t>P. č. 5</w:t>
            </w:r>
          </w:p>
          <w:p w14:paraId="4AE76E4E" w14:textId="5CB5947B" w:rsidR="00334FB1" w:rsidRPr="00313721" w:rsidRDefault="00334FB1" w:rsidP="00165E01">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Zmena formy vydávania a zasielania osvedčení o zápise práva do registra (z listinnej formy na elektronickú)</w:t>
            </w:r>
            <w:r w:rsidR="00165E01" w:rsidRPr="00313721">
              <w:rPr>
                <w:rFonts w:ascii="Times New Roman" w:eastAsia="Times New Roman" w:hAnsi="Times New Roman" w:cs="Times New Roman"/>
                <w:b/>
                <w:bCs/>
                <w:lang w:eastAsia="sk-SK"/>
              </w:rPr>
              <w:t xml:space="preserve"> </w:t>
            </w:r>
            <w:r w:rsidR="00165E01" w:rsidRPr="00313721">
              <w:rPr>
                <w:rFonts w:ascii="Times New Roman" w:eastAsia="Times New Roman" w:hAnsi="Times New Roman" w:cs="Times New Roman"/>
                <w:lang w:eastAsia="sk-SK"/>
              </w:rPr>
              <w:t>(kategória dotknutých subjektov – patentoví zástupcovia/advokáti)</w:t>
            </w:r>
          </w:p>
          <w:p w14:paraId="2B7F7623" w14:textId="77777777" w:rsidR="00334FB1" w:rsidRPr="00313721" w:rsidRDefault="00334FB1" w:rsidP="003D022E">
            <w:pPr>
              <w:pStyle w:val="Odsekzoznamu"/>
              <w:jc w:val="both"/>
              <w:rPr>
                <w:rFonts w:ascii="Times New Roman" w:eastAsia="Times New Roman" w:hAnsi="Times New Roman" w:cs="Times New Roman"/>
                <w:b/>
                <w:bCs/>
                <w:lang w:eastAsia="sk-SK"/>
              </w:rPr>
            </w:pPr>
          </w:p>
          <w:p w14:paraId="07F7CC7F" w14:textId="77777777" w:rsidR="00722212" w:rsidRPr="00313721" w:rsidRDefault="00AC690E"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V súvislosti s navrhovanou zmenou formy vydávania a zasielania osvedčení o zápise práva do registra predkladateľ identifikoval skupinu 1 622 dotknutých subjektov z radov patentových zástupcov a advokáto</w:t>
            </w:r>
            <w:r w:rsidR="00722212" w:rsidRPr="00313721">
              <w:rPr>
                <w:rFonts w:ascii="Times New Roman" w:eastAsia="Times New Roman" w:hAnsi="Times New Roman" w:cs="Times New Roman"/>
                <w:lang w:eastAsia="sk-SK"/>
              </w:rPr>
              <w:t>v</w:t>
            </w:r>
            <w:r w:rsidRPr="00313721">
              <w:rPr>
                <w:rFonts w:ascii="Times New Roman" w:eastAsia="Times New Roman" w:hAnsi="Times New Roman" w:cs="Times New Roman"/>
                <w:lang w:eastAsia="sk-SK"/>
              </w:rPr>
              <w:t xml:space="preserve"> vo vzťahu ku ktorým je možné očakávať pozitívny vplyv na náklade v celkovej predpokladanej výške 38 756 € ročne</w:t>
            </w:r>
            <w:r w:rsidR="00722212" w:rsidRPr="00313721">
              <w:rPr>
                <w:rFonts w:ascii="Times New Roman" w:eastAsia="Times New Roman" w:hAnsi="Times New Roman" w:cs="Times New Roman"/>
                <w:lang w:eastAsia="sk-SK"/>
              </w:rPr>
              <w:t xml:space="preserve">. </w:t>
            </w:r>
          </w:p>
          <w:p w14:paraId="153BF551" w14:textId="77777777" w:rsidR="00722212" w:rsidRPr="00313721" w:rsidRDefault="00722212" w:rsidP="003D022E">
            <w:pPr>
              <w:jc w:val="both"/>
              <w:rPr>
                <w:rFonts w:ascii="Times New Roman" w:eastAsia="Times New Roman" w:hAnsi="Times New Roman" w:cs="Times New Roman"/>
                <w:lang w:eastAsia="sk-SK"/>
              </w:rPr>
            </w:pPr>
          </w:p>
          <w:p w14:paraId="53E3E159" w14:textId="486CE938"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Navrhuje sa zmena formy vydávania osvedčení o zápise práva priemyselného vlastníctva do registra. Novelizované právne predpisy v oblasti priemyselného vlastníctva v doterajšom znení obsahujú výnimku predpokladanú § 17 ods. 1 písm. c) zákona č. 305/2013 Z. z. </w:t>
            </w:r>
            <w:r w:rsidRPr="00313721">
              <w:rPr>
                <w:rFonts w:ascii="Times New Roman" w:hAnsi="Times New Roman" w:cs="Times New Roman"/>
              </w:rPr>
              <w:t>o elektronickej podobe výkonu pôsobnosti orgánov verejnej moci a o zmene a doplnení niektorých zákonov (zákon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V zmysle § 17 ods. 1 písm. c) zákona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xml:space="preserve">  </w:t>
            </w:r>
            <w:r w:rsidRPr="00313721">
              <w:rPr>
                <w:rFonts w:ascii="Times New Roman" w:hAnsi="Times New Roman" w:cs="Times New Roman"/>
                <w:i/>
                <w:iCs/>
              </w:rPr>
              <w:t xml:space="preserve">je </w:t>
            </w:r>
            <w:r w:rsidRPr="00313721">
              <w:rPr>
                <w:rFonts w:ascii="Times New Roman" w:eastAsia="Times New Roman" w:hAnsi="Times New Roman" w:cs="Times New Roman"/>
                <w:i/>
                <w:iCs/>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313721">
              <w:rPr>
                <w:rFonts w:ascii="Times New Roman" w:eastAsia="Times New Roman" w:hAnsi="Times New Roman" w:cs="Times New Roman"/>
                <w:lang w:eastAsia="sk-SK"/>
              </w:rPr>
              <w:t>; osobitným predpisom je v tomto prípade § 44 ods. 4 zákona č. 435/2001 Z. z., § 35 ods. 1 zákona č. 444/2002 Z. z., § 43 ods. 2 zákona č. 517/2007 Z. z. a § 33 ods. 2 zákona č. 506/2009 Z. z.</w:t>
            </w:r>
          </w:p>
          <w:p w14:paraId="6848FBDB" w14:textId="77777777" w:rsidR="00334FB1" w:rsidRPr="00313721" w:rsidRDefault="00334FB1" w:rsidP="003D022E">
            <w:pPr>
              <w:jc w:val="both"/>
              <w:rPr>
                <w:rFonts w:ascii="Times New Roman" w:eastAsia="Times New Roman" w:hAnsi="Times New Roman" w:cs="Times New Roman"/>
                <w:lang w:eastAsia="sk-SK"/>
              </w:rPr>
            </w:pPr>
          </w:p>
          <w:tbl>
            <w:tblPr>
              <w:tblW w:w="8672" w:type="dxa"/>
              <w:tblCellMar>
                <w:left w:w="70" w:type="dxa"/>
                <w:right w:w="70" w:type="dxa"/>
              </w:tblCellMar>
              <w:tblLook w:val="04A0" w:firstRow="1" w:lastRow="0" w:firstColumn="1" w:lastColumn="0" w:noHBand="0" w:noVBand="1"/>
            </w:tblPr>
            <w:tblGrid>
              <w:gridCol w:w="7254"/>
              <w:gridCol w:w="1418"/>
            </w:tblGrid>
            <w:tr w:rsidR="00334FB1" w:rsidRPr="00313721" w14:paraId="6A95A533"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tcPr>
                <w:p w14:paraId="52F2E94F" w14:textId="6DD4DF2E" w:rsidR="00334FB1" w:rsidRPr="00313721" w:rsidRDefault="00334FB1" w:rsidP="003D022E">
                  <w:pPr>
                    <w:spacing w:after="0" w:line="240" w:lineRule="auto"/>
                    <w:rPr>
                      <w:rFonts w:ascii="Times New Roman" w:eastAsia="Times New Roman" w:hAnsi="Times New Roman" w:cs="Times New Roman"/>
                      <w:color w:val="000000" w:themeColor="text1"/>
                      <w:sz w:val="20"/>
                      <w:szCs w:val="20"/>
                      <w:lang w:eastAsia="sk-SK"/>
                    </w:rPr>
                  </w:pPr>
                  <w:r w:rsidRPr="00313721">
                    <w:rPr>
                      <w:rFonts w:ascii="Times New Roman" w:eastAsia="Times New Roman" w:hAnsi="Times New Roman" w:cs="Times New Roman"/>
                      <w:b/>
                      <w:bCs/>
                      <w:color w:val="000000" w:themeColor="text1"/>
                      <w:sz w:val="20"/>
                      <w:szCs w:val="20"/>
                      <w:lang w:eastAsia="sk-SK"/>
                    </w:rPr>
                    <w:t xml:space="preserve">Vydané osvedčenie o zápise práv priemyselného vlastníctva do registra </w:t>
                  </w:r>
                  <w:r w:rsidR="001E0E6B" w:rsidRPr="00313721">
                    <w:rPr>
                      <w:rFonts w:ascii="Times New Roman" w:eastAsia="Times New Roman" w:hAnsi="Times New Roman" w:cs="Times New Roman"/>
                      <w:b/>
                      <w:bCs/>
                      <w:color w:val="000000" w:themeColor="text1"/>
                      <w:sz w:val="20"/>
                      <w:szCs w:val="20"/>
                      <w:lang w:eastAsia="sk-SK"/>
                    </w:rPr>
                    <w:t>za rok</w:t>
                  </w:r>
                  <w:r w:rsidRPr="00313721">
                    <w:rPr>
                      <w:rFonts w:ascii="Times New Roman" w:eastAsia="Times New Roman" w:hAnsi="Times New Roman" w:cs="Times New Roman"/>
                      <w:b/>
                      <w:bCs/>
                      <w:color w:val="000000" w:themeColor="text1"/>
                      <w:sz w:val="20"/>
                      <w:szCs w:val="20"/>
                      <w:lang w:eastAsia="sk-SK"/>
                    </w:rPr>
                    <w:t xml:space="preserve"> 2023</w:t>
                  </w:r>
                </w:p>
              </w:tc>
              <w:tc>
                <w:tcPr>
                  <w:tcW w:w="1418" w:type="dxa"/>
                  <w:tcBorders>
                    <w:top w:val="single" w:sz="4" w:space="0" w:color="E2EFDA"/>
                    <w:left w:val="nil"/>
                    <w:bottom w:val="single" w:sz="4" w:space="0" w:color="70AD47"/>
                    <w:right w:val="nil"/>
                  </w:tcBorders>
                  <w:shd w:val="clear" w:color="E2EFDA" w:fill="E2EFDA"/>
                  <w:noWrap/>
                  <w:vAlign w:val="bottom"/>
                </w:tcPr>
                <w:p w14:paraId="4BED52FE" w14:textId="77777777" w:rsidR="00334FB1" w:rsidRPr="00313721" w:rsidRDefault="00334FB1" w:rsidP="003D022E">
                  <w:pPr>
                    <w:spacing w:after="0" w:line="240" w:lineRule="auto"/>
                    <w:jc w:val="center"/>
                    <w:rPr>
                      <w:rFonts w:ascii="Times New Roman" w:eastAsia="Times New Roman" w:hAnsi="Times New Roman" w:cs="Times New Roman"/>
                      <w:color w:val="000000" w:themeColor="text1"/>
                      <w:sz w:val="20"/>
                      <w:szCs w:val="20"/>
                      <w:lang w:eastAsia="sk-SK"/>
                    </w:rPr>
                  </w:pPr>
                  <w:r w:rsidRPr="00313721">
                    <w:rPr>
                      <w:rFonts w:ascii="Times New Roman" w:eastAsia="Times New Roman" w:hAnsi="Times New Roman" w:cs="Times New Roman"/>
                      <w:b/>
                      <w:bCs/>
                      <w:color w:val="000000" w:themeColor="text1"/>
                      <w:sz w:val="20"/>
                      <w:szCs w:val="20"/>
                      <w:lang w:eastAsia="sk-SK"/>
                    </w:rPr>
                    <w:t>Počet kusov</w:t>
                  </w:r>
                </w:p>
              </w:tc>
            </w:tr>
            <w:tr w:rsidR="00334FB1" w:rsidRPr="00313721" w14:paraId="1F650FD1"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hideMark/>
                </w:tcPr>
                <w:p w14:paraId="09EF87F2"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zápise dizajnu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453F1067"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83</w:t>
                  </w:r>
                </w:p>
              </w:tc>
            </w:tr>
            <w:tr w:rsidR="00334FB1" w:rsidRPr="00313721" w14:paraId="38B8D058"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hideMark/>
                </w:tcPr>
                <w:p w14:paraId="031C9AF3"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zápise ochrannej známky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7B70FD78"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2 066</w:t>
                  </w:r>
                </w:p>
              </w:tc>
            </w:tr>
            <w:tr w:rsidR="00334FB1" w:rsidRPr="00313721" w14:paraId="3102F28E"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hideMark/>
                </w:tcPr>
                <w:p w14:paraId="251D922B"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patentová listina</w:t>
                  </w:r>
                </w:p>
              </w:tc>
              <w:tc>
                <w:tcPr>
                  <w:tcW w:w="1418" w:type="dxa"/>
                  <w:tcBorders>
                    <w:top w:val="single" w:sz="4" w:space="0" w:color="E2EFDA"/>
                    <w:left w:val="nil"/>
                    <w:bottom w:val="single" w:sz="4" w:space="0" w:color="70AD47"/>
                    <w:right w:val="nil"/>
                  </w:tcBorders>
                  <w:shd w:val="clear" w:color="E2EFDA" w:fill="E2EFDA"/>
                  <w:noWrap/>
                  <w:vAlign w:val="bottom"/>
                  <w:hideMark/>
                </w:tcPr>
                <w:p w14:paraId="7A7D390F"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121</w:t>
                  </w:r>
                </w:p>
              </w:tc>
            </w:tr>
            <w:tr w:rsidR="00334FB1" w:rsidRPr="00313721" w14:paraId="25F11F14"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hideMark/>
                </w:tcPr>
                <w:p w14:paraId="59200009"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lastRenderedPageBreak/>
                    <w:t>osvedčenie o zápise úžitkového vzoru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3BAE39ED"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249</w:t>
                  </w:r>
                </w:p>
              </w:tc>
            </w:tr>
            <w:tr w:rsidR="00334FB1" w:rsidRPr="00313721" w14:paraId="5CC8DB22" w14:textId="77777777" w:rsidTr="001E0E6B">
              <w:trPr>
                <w:trHeight w:val="234"/>
              </w:trPr>
              <w:tc>
                <w:tcPr>
                  <w:tcW w:w="7254" w:type="dxa"/>
                  <w:tcBorders>
                    <w:top w:val="single" w:sz="4" w:space="0" w:color="E2EFDA"/>
                    <w:left w:val="nil"/>
                    <w:bottom w:val="single" w:sz="4" w:space="0" w:color="70AD47"/>
                    <w:right w:val="nil"/>
                  </w:tcBorders>
                  <w:shd w:val="clear" w:color="E2EFDA" w:fill="E2EFDA"/>
                  <w:noWrap/>
                  <w:vAlign w:val="bottom"/>
                  <w:hideMark/>
                </w:tcPr>
                <w:p w14:paraId="2E41FDE9" w14:textId="77777777" w:rsidR="00334FB1" w:rsidRPr="00313721" w:rsidRDefault="00334FB1" w:rsidP="003D022E">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udelení dodatkového ochranného osvedčenia</w:t>
                  </w:r>
                </w:p>
              </w:tc>
              <w:tc>
                <w:tcPr>
                  <w:tcW w:w="1418" w:type="dxa"/>
                  <w:tcBorders>
                    <w:top w:val="single" w:sz="4" w:space="0" w:color="E2EFDA"/>
                    <w:left w:val="nil"/>
                    <w:bottom w:val="single" w:sz="4" w:space="0" w:color="70AD47"/>
                    <w:right w:val="nil"/>
                  </w:tcBorders>
                  <w:shd w:val="clear" w:color="E2EFDA" w:fill="E2EFDA"/>
                  <w:noWrap/>
                  <w:vAlign w:val="bottom"/>
                  <w:hideMark/>
                </w:tcPr>
                <w:p w14:paraId="34B69D9A" w14:textId="77777777" w:rsidR="00334FB1" w:rsidRPr="00313721" w:rsidRDefault="00334FB1" w:rsidP="003D022E">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55</w:t>
                  </w:r>
                </w:p>
              </w:tc>
            </w:tr>
            <w:tr w:rsidR="00334FB1" w:rsidRPr="00313721" w14:paraId="39927AB5" w14:textId="77777777" w:rsidTr="001E0E6B">
              <w:trPr>
                <w:trHeight w:val="234"/>
              </w:trPr>
              <w:tc>
                <w:tcPr>
                  <w:tcW w:w="7254" w:type="dxa"/>
                  <w:tcBorders>
                    <w:top w:val="double" w:sz="6" w:space="0" w:color="548235"/>
                    <w:left w:val="nil"/>
                    <w:bottom w:val="nil"/>
                    <w:right w:val="nil"/>
                  </w:tcBorders>
                  <w:shd w:val="clear" w:color="auto" w:fill="auto"/>
                  <w:noWrap/>
                  <w:vAlign w:val="bottom"/>
                  <w:hideMark/>
                </w:tcPr>
                <w:p w14:paraId="208B9E6A" w14:textId="77777777" w:rsidR="00334FB1" w:rsidRPr="00313721" w:rsidRDefault="00334FB1" w:rsidP="003D022E">
                  <w:pPr>
                    <w:spacing w:after="0" w:line="240" w:lineRule="auto"/>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Celkový súčet</w:t>
                  </w:r>
                </w:p>
              </w:tc>
              <w:tc>
                <w:tcPr>
                  <w:tcW w:w="1418" w:type="dxa"/>
                  <w:tcBorders>
                    <w:top w:val="double" w:sz="6" w:space="0" w:color="548235"/>
                    <w:left w:val="nil"/>
                    <w:bottom w:val="nil"/>
                    <w:right w:val="nil"/>
                  </w:tcBorders>
                  <w:shd w:val="clear" w:color="auto" w:fill="auto"/>
                  <w:noWrap/>
                  <w:vAlign w:val="bottom"/>
                  <w:hideMark/>
                </w:tcPr>
                <w:p w14:paraId="2749140A" w14:textId="77777777" w:rsidR="00334FB1" w:rsidRPr="00313721" w:rsidRDefault="00334FB1" w:rsidP="003D022E">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2 574</w:t>
                  </w:r>
                </w:p>
              </w:tc>
            </w:tr>
          </w:tbl>
          <w:p w14:paraId="437A38A3" w14:textId="77777777" w:rsidR="00334FB1" w:rsidRPr="00313721" w:rsidRDefault="00334FB1" w:rsidP="003D022E">
            <w:pPr>
              <w:jc w:val="both"/>
              <w:rPr>
                <w:rFonts w:ascii="Times New Roman" w:eastAsia="Times New Roman" w:hAnsi="Times New Roman" w:cs="Times New Roman"/>
                <w:lang w:eastAsia="sk-SK"/>
              </w:rPr>
            </w:pPr>
          </w:p>
          <w:p w14:paraId="42DB989C" w14:textId="289C179D"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V roku 2023 vydal ÚPV SR 2 574 osvedčení o zápise práva priemyselného vlastníctva do registra. Na základe expertného odhadu je 95% majiteľov práva priemyselného vlastníctva podnikateľským subjektom; preto veľkosť relevantnej skupiny </w:t>
            </w:r>
            <w:r w:rsidR="00E657B4" w:rsidRPr="00313721">
              <w:rPr>
                <w:rFonts w:ascii="Times New Roman" w:eastAsia="Times New Roman" w:hAnsi="Times New Roman" w:cs="Times New Roman"/>
                <w:lang w:eastAsia="sk-SK"/>
              </w:rPr>
              <w:t xml:space="preserve">je potrebné upraviť na </w:t>
            </w:r>
            <w:r w:rsidRPr="00313721">
              <w:rPr>
                <w:rFonts w:ascii="Times New Roman" w:eastAsia="Times New Roman" w:hAnsi="Times New Roman" w:cs="Times New Roman"/>
                <w:lang w:eastAsia="sk-SK"/>
              </w:rPr>
              <w:t>2317</w:t>
            </w:r>
            <w:r w:rsidR="00E657B4" w:rsidRPr="00313721">
              <w:rPr>
                <w:rFonts w:ascii="Times New Roman" w:eastAsia="Times New Roman" w:hAnsi="Times New Roman" w:cs="Times New Roman"/>
                <w:lang w:eastAsia="sk-SK"/>
              </w:rPr>
              <w:t xml:space="preserve"> podnikateľov</w:t>
            </w:r>
            <w:r w:rsidRPr="00313721">
              <w:rPr>
                <w:rFonts w:ascii="Times New Roman" w:eastAsia="Times New Roman" w:hAnsi="Times New Roman" w:cs="Times New Roman"/>
                <w:lang w:eastAsia="sk-SK"/>
              </w:rPr>
              <w:t>.</w:t>
            </w:r>
          </w:p>
          <w:p w14:paraId="7D7A78E0" w14:textId="77777777" w:rsidR="00334FB1" w:rsidRPr="00313721" w:rsidRDefault="00334FB1" w:rsidP="003D022E">
            <w:pPr>
              <w:jc w:val="both"/>
              <w:rPr>
                <w:rFonts w:ascii="Times New Roman" w:eastAsia="Times New Roman" w:hAnsi="Times New Roman" w:cs="Times New Roman"/>
                <w:lang w:eastAsia="sk-SK"/>
              </w:rPr>
            </w:pPr>
          </w:p>
          <w:p w14:paraId="5E7C3244" w14:textId="77777777"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Osvedčenie o zápise práva priemyselného vlastníctva je dokumentom primárne určeným majiteľom týchto práv. Po zápise do registra ÚPV SR vydá toto osvedčenie v listinnej podobe a zasiela ho poštovou prepravou majiteľovi práva priemyselného vlastníctva alebo jeho zástupcovi, ak je majiteľ práva priemyselného vlastníctva v konaní pred úradom zastúpený patentovým zástupcom resp. advokátom. Na základe expertného odhadu je 70% majiteľov práv v konaní pred úradom zastúpených patentovým zástupcom resp. advokátom.</w:t>
            </w:r>
          </w:p>
          <w:p w14:paraId="5DA15582" w14:textId="77777777" w:rsidR="00334FB1" w:rsidRPr="00313721" w:rsidRDefault="00334FB1" w:rsidP="003D022E">
            <w:pPr>
              <w:jc w:val="both"/>
              <w:rPr>
                <w:rFonts w:ascii="Times New Roman" w:eastAsia="Times New Roman" w:hAnsi="Times New Roman" w:cs="Times New Roman"/>
                <w:lang w:eastAsia="sk-SK"/>
              </w:rPr>
            </w:pPr>
          </w:p>
          <w:p w14:paraId="115A5145" w14:textId="77777777"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Pre vyčíslenie vplyvov na jedného podnikateľa bolo potrebné rozdeliť dotknutú skupinu podnikateľov (veľkosť skupiny 2317) na podskupinu majiteľov práv, ktorí v konaní pred ÚPV SR nie sú zastúpení (veľkosť podskupiny 695) a podskupinu majiteľov práv, ktorí v konaní pred ÚPV SR sú zastúpení patentovým zástupcom resp. advokátom (veľkosť podskupiny 1622).</w:t>
            </w:r>
          </w:p>
          <w:p w14:paraId="67235DC7" w14:textId="77777777" w:rsidR="00334FB1" w:rsidRPr="00313721" w:rsidRDefault="00334FB1" w:rsidP="003D022E">
            <w:pPr>
              <w:jc w:val="both"/>
              <w:rPr>
                <w:rFonts w:ascii="Times New Roman" w:eastAsia="Times New Roman" w:hAnsi="Times New Roman" w:cs="Times New Roman"/>
                <w:lang w:eastAsia="sk-SK"/>
              </w:rPr>
            </w:pPr>
          </w:p>
          <w:p w14:paraId="52D197F9" w14:textId="4909C3E3"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V rámci podskupiny zastúpených majiteľov práv boli identifikované vplyvy spočívajúce v nepriamych finančných nákladoch a administratívnych nákladoch patentových zástupcov resp. advokátov.  Patentový zástupca resp. advokát, ktorému je doručené listinné osvedčenie, toto následne zasiela klientovi (</w:t>
            </w:r>
            <w:r w:rsidR="008B6D54" w:rsidRPr="00313721">
              <w:rPr>
                <w:rFonts w:ascii="Times New Roman" w:eastAsia="Times New Roman" w:hAnsi="Times New Roman" w:cs="Times New Roman"/>
                <w:lang w:eastAsia="sk-SK"/>
              </w:rPr>
              <w:t xml:space="preserve">predkladateľ identifikoval </w:t>
            </w:r>
            <w:r w:rsidRPr="00313721">
              <w:rPr>
                <w:rFonts w:ascii="Times New Roman" w:eastAsia="Times New Roman" w:hAnsi="Times New Roman" w:cs="Times New Roman"/>
                <w:lang w:eastAsia="sk-SK"/>
              </w:rPr>
              <w:t>administratívne náklady spojené so spísaním sprievodného listu</w:t>
            </w:r>
            <w:r w:rsidR="00DE3E91" w:rsidRPr="00313721">
              <w:rPr>
                <w:rFonts w:ascii="Times New Roman" w:eastAsia="Times New Roman" w:hAnsi="Times New Roman" w:cs="Times New Roman"/>
                <w:lang w:eastAsia="sk-SK"/>
              </w:rPr>
              <w:t xml:space="preserve"> a</w:t>
            </w:r>
            <w:r w:rsidRPr="00313721">
              <w:rPr>
                <w:rFonts w:ascii="Times New Roman" w:eastAsia="Times New Roman" w:hAnsi="Times New Roman" w:cs="Times New Roman"/>
                <w:lang w:eastAsia="sk-SK"/>
              </w:rPr>
              <w:t xml:space="preserve"> návštevou pošty</w:t>
            </w:r>
            <w:r w:rsidR="008B6D54" w:rsidRPr="00313721">
              <w:rPr>
                <w:rFonts w:ascii="Times New Roman" w:eastAsia="Times New Roman" w:hAnsi="Times New Roman" w:cs="Times New Roman"/>
                <w:lang w:eastAsia="sk-SK"/>
              </w:rPr>
              <w:t xml:space="preserve"> pričom expertný odhad celkového trvania povinnosti stanovil na 102 min.</w:t>
            </w:r>
            <w:r w:rsidR="00DE3E91" w:rsidRPr="00313721">
              <w:rPr>
                <w:rFonts w:ascii="Times New Roman" w:eastAsia="Times New Roman" w:hAnsi="Times New Roman" w:cs="Times New Roman"/>
                <w:lang w:eastAsia="sk-SK"/>
              </w:rPr>
              <w:t>,</w:t>
            </w:r>
            <w:r w:rsidRPr="00313721">
              <w:rPr>
                <w:rFonts w:ascii="Times New Roman" w:eastAsia="Times New Roman" w:hAnsi="Times New Roman" w:cs="Times New Roman"/>
                <w:lang w:eastAsia="sk-SK"/>
              </w:rPr>
              <w:t xml:space="preserve"> </w:t>
            </w:r>
            <w:r w:rsidR="008B6D54" w:rsidRPr="00313721">
              <w:rPr>
                <w:rFonts w:ascii="Times New Roman" w:eastAsia="Times New Roman" w:hAnsi="Times New Roman" w:cs="Times New Roman"/>
                <w:lang w:eastAsia="sk-SK"/>
              </w:rPr>
              <w:t xml:space="preserve">zároveň predkladateľ identifikoval </w:t>
            </w:r>
            <w:r w:rsidR="008D4478" w:rsidRPr="00313721">
              <w:rPr>
                <w:rFonts w:ascii="Times New Roman" w:eastAsia="Times New Roman" w:hAnsi="Times New Roman" w:cs="Times New Roman"/>
                <w:lang w:eastAsia="sk-SK"/>
              </w:rPr>
              <w:t xml:space="preserve">iné </w:t>
            </w:r>
            <w:r w:rsidRPr="00313721">
              <w:rPr>
                <w:rFonts w:ascii="Times New Roman" w:eastAsia="Times New Roman" w:hAnsi="Times New Roman" w:cs="Times New Roman"/>
                <w:lang w:eastAsia="sk-SK"/>
              </w:rPr>
              <w:t>nepriame finančné náklady – poštovné, obálka</w:t>
            </w:r>
            <w:r w:rsidR="008B6D54" w:rsidRPr="00313721">
              <w:rPr>
                <w:rFonts w:ascii="Times New Roman" w:eastAsia="Times New Roman" w:hAnsi="Times New Roman" w:cs="Times New Roman"/>
                <w:lang w:eastAsia="sk-SK"/>
              </w:rPr>
              <w:t>, pričom expertný odhad takto vyvolaných nepriamych nákladov na 1 podnikateľa súvisiacich so zabezpečením povinnosti stanovil na 3 €</w:t>
            </w:r>
            <w:r w:rsidRPr="00313721">
              <w:rPr>
                <w:rFonts w:ascii="Times New Roman" w:eastAsia="Times New Roman" w:hAnsi="Times New Roman" w:cs="Times New Roman"/>
                <w:lang w:eastAsia="sk-SK"/>
              </w:rPr>
              <w:t xml:space="preserve">). Rovnako v prípade patentových zástupcov resp. advokátov </w:t>
            </w:r>
            <w:r w:rsidR="00DE3E91" w:rsidRPr="00313721">
              <w:rPr>
                <w:rFonts w:ascii="Times New Roman" w:eastAsia="Times New Roman" w:hAnsi="Times New Roman" w:cs="Times New Roman"/>
                <w:lang w:eastAsia="sk-SK"/>
              </w:rPr>
              <w:t xml:space="preserve">boli zohľadnené aj </w:t>
            </w:r>
            <w:r w:rsidRPr="00313721">
              <w:rPr>
                <w:rFonts w:ascii="Times New Roman" w:eastAsia="Times New Roman" w:hAnsi="Times New Roman" w:cs="Times New Roman"/>
                <w:lang w:eastAsia="sk-SK"/>
              </w:rPr>
              <w:t>administratívne náklady spočívajúce v čase návštevy pošty tých patentových zástupcov resp. advokáto</w:t>
            </w:r>
            <w:r w:rsidR="00A47BC7" w:rsidRPr="00313721">
              <w:rPr>
                <w:rFonts w:ascii="Times New Roman" w:eastAsia="Times New Roman" w:hAnsi="Times New Roman" w:cs="Times New Roman"/>
                <w:lang w:eastAsia="sk-SK"/>
              </w:rPr>
              <w:t>v</w:t>
            </w:r>
            <w:r w:rsidRPr="00313721">
              <w:rPr>
                <w:rFonts w:ascii="Times New Roman" w:eastAsia="Times New Roman" w:hAnsi="Times New Roman" w:cs="Times New Roman"/>
                <w:lang w:eastAsia="sk-SK"/>
              </w:rPr>
              <w:t xml:space="preserve"> (odhadom 20 %), ktorým nebola poštová zásielka úspešne doručená poštovým podnikom v mieste podnikania a táto bola uložená na pošte.</w:t>
            </w:r>
          </w:p>
          <w:p w14:paraId="5C07F5BA" w14:textId="77777777"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Zrušením výnimky z uplatňovania výkonu verejnej moci elektronicky bude ÚPV SR zasielať predmetné dokumenty do elektronických schránok patentových zástupcov resp. advokátov, na základe čoho odpadá prípadná administratívna záťaž spojená s návštevou pošty, rovnako záťaž spojená s preposielaním listinného dokumentu.</w:t>
            </w:r>
          </w:p>
          <w:p w14:paraId="386AC38D" w14:textId="77777777" w:rsidR="00334FB1" w:rsidRPr="00313721" w:rsidRDefault="00334FB1" w:rsidP="003D022E">
            <w:pPr>
              <w:jc w:val="both"/>
              <w:rPr>
                <w:rFonts w:ascii="Times New Roman" w:eastAsia="Times New Roman" w:hAnsi="Times New Roman" w:cs="Times New Roman"/>
                <w:lang w:eastAsia="sk-SK"/>
              </w:rPr>
            </w:pPr>
          </w:p>
          <w:p w14:paraId="72DCD009" w14:textId="36086774" w:rsidR="00334FB1" w:rsidRPr="00313721" w:rsidRDefault="00847D04"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Na základe uvedeného predkladateľ identifikoval možný </w:t>
            </w:r>
            <w:r w:rsidR="00334FB1" w:rsidRPr="00313721">
              <w:rPr>
                <w:rFonts w:ascii="Times New Roman" w:eastAsia="Times New Roman" w:hAnsi="Times New Roman" w:cs="Times New Roman"/>
                <w:lang w:eastAsia="sk-SK"/>
              </w:rPr>
              <w:t xml:space="preserve">pozitívny vplyv </w:t>
            </w:r>
            <w:r w:rsidRPr="00313721">
              <w:rPr>
                <w:rFonts w:ascii="Times New Roman" w:eastAsia="Times New Roman" w:hAnsi="Times New Roman" w:cs="Times New Roman"/>
                <w:lang w:eastAsia="sk-SK"/>
              </w:rPr>
              <w:t xml:space="preserve">vo výške 24 € </w:t>
            </w:r>
            <w:r w:rsidR="008D4478" w:rsidRPr="00313721">
              <w:rPr>
                <w:rFonts w:ascii="Times New Roman" w:eastAsia="Times New Roman" w:hAnsi="Times New Roman" w:cs="Times New Roman"/>
                <w:lang w:eastAsia="sk-SK"/>
              </w:rPr>
              <w:t xml:space="preserve">(3 € - iné nepriame náklady + 21 € administratívne náklady) </w:t>
            </w:r>
            <w:r w:rsidRPr="00313721">
              <w:rPr>
                <w:rFonts w:ascii="Times New Roman" w:eastAsia="Times New Roman" w:hAnsi="Times New Roman" w:cs="Times New Roman"/>
                <w:lang w:eastAsia="sk-SK"/>
              </w:rPr>
              <w:t>na jedného podnikateľa (patentového zástupcu resp. advokáta) ročne</w:t>
            </w:r>
            <w:r w:rsidR="008D4478" w:rsidRPr="00313721">
              <w:rPr>
                <w:rFonts w:ascii="Times New Roman" w:eastAsia="Times New Roman" w:hAnsi="Times New Roman" w:cs="Times New Roman"/>
                <w:lang w:eastAsia="sk-SK"/>
              </w:rPr>
              <w:t xml:space="preserve">, čo predstavuje vo vzťahu ku skupine 1 622 dotknutých podnikateľov </w:t>
            </w:r>
            <w:r w:rsidR="00334FB1" w:rsidRPr="00313721">
              <w:rPr>
                <w:rFonts w:ascii="Times New Roman" w:eastAsia="Times New Roman" w:hAnsi="Times New Roman" w:cs="Times New Roman"/>
                <w:lang w:eastAsia="sk-SK"/>
              </w:rPr>
              <w:t>celkovo 38</w:t>
            </w:r>
            <w:r w:rsidR="008D4478" w:rsidRPr="00313721">
              <w:rPr>
                <w:rFonts w:ascii="Times New Roman" w:eastAsia="Times New Roman" w:hAnsi="Times New Roman" w:cs="Times New Roman"/>
                <w:lang w:eastAsia="sk-SK"/>
              </w:rPr>
              <w:t xml:space="preserve"> </w:t>
            </w:r>
            <w:r w:rsidR="00334FB1" w:rsidRPr="00313721">
              <w:rPr>
                <w:rFonts w:ascii="Times New Roman" w:eastAsia="Times New Roman" w:hAnsi="Times New Roman" w:cs="Times New Roman"/>
                <w:lang w:eastAsia="sk-SK"/>
              </w:rPr>
              <w:t xml:space="preserve">756 € </w:t>
            </w:r>
            <w:r w:rsidRPr="00313721">
              <w:rPr>
                <w:rFonts w:ascii="Times New Roman" w:eastAsia="Times New Roman" w:hAnsi="Times New Roman" w:cs="Times New Roman"/>
                <w:lang w:eastAsia="sk-SK"/>
              </w:rPr>
              <w:t>ročne na PP</w:t>
            </w:r>
            <w:r w:rsidR="008D4478" w:rsidRPr="00313721">
              <w:rPr>
                <w:rFonts w:ascii="Times New Roman" w:eastAsia="Times New Roman" w:hAnsi="Times New Roman" w:cs="Times New Roman"/>
                <w:lang w:eastAsia="sk-SK"/>
              </w:rPr>
              <w:t xml:space="preserve">. </w:t>
            </w:r>
          </w:p>
          <w:p w14:paraId="5DE3C898" w14:textId="06936802" w:rsidR="007179E5" w:rsidRPr="00313721" w:rsidRDefault="007179E5" w:rsidP="003D022E">
            <w:pPr>
              <w:jc w:val="both"/>
              <w:rPr>
                <w:rFonts w:ascii="Times New Roman" w:eastAsia="Times New Roman" w:hAnsi="Times New Roman" w:cs="Times New Roman"/>
                <w:lang w:eastAsia="sk-SK"/>
              </w:rPr>
            </w:pPr>
          </w:p>
          <w:p w14:paraId="21EC78AE" w14:textId="7FCA82BA" w:rsidR="00165E01" w:rsidRPr="00313721" w:rsidRDefault="00165E01" w:rsidP="00165E01">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P. č. 6</w:t>
            </w:r>
          </w:p>
          <w:p w14:paraId="7132D17E" w14:textId="0A559A4E" w:rsidR="007179E5" w:rsidRPr="00313721" w:rsidRDefault="007179E5" w:rsidP="00165E01">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Zmena formy vydávania a zasielania osvedčení o zápise práva do registra (z listinnej formy na elektronickú)</w:t>
            </w:r>
            <w:r w:rsidR="00AC6425" w:rsidRPr="00313721">
              <w:rPr>
                <w:rFonts w:ascii="Times New Roman" w:eastAsia="Times New Roman" w:hAnsi="Times New Roman" w:cs="Times New Roman"/>
                <w:b/>
                <w:bCs/>
                <w:lang w:eastAsia="sk-SK"/>
              </w:rPr>
              <w:t xml:space="preserve"> </w:t>
            </w:r>
            <w:r w:rsidR="00AC6425" w:rsidRPr="00313721">
              <w:rPr>
                <w:rFonts w:ascii="Times New Roman" w:eastAsia="Times New Roman" w:hAnsi="Times New Roman" w:cs="Times New Roman"/>
                <w:lang w:eastAsia="sk-SK"/>
              </w:rPr>
              <w:t>(kategória dotknutých subjektov – majitelia patentov, dizajnov, úžitkových vzorov, ochranných známok/podnikatelia)</w:t>
            </w:r>
          </w:p>
          <w:p w14:paraId="6009C0B5" w14:textId="77777777" w:rsidR="007179E5" w:rsidRPr="00313721" w:rsidRDefault="007179E5" w:rsidP="003D022E">
            <w:pPr>
              <w:jc w:val="both"/>
              <w:rPr>
                <w:rFonts w:ascii="Times New Roman" w:eastAsia="Times New Roman" w:hAnsi="Times New Roman" w:cs="Times New Roman"/>
                <w:lang w:eastAsia="sk-SK"/>
              </w:rPr>
            </w:pPr>
          </w:p>
          <w:p w14:paraId="6234B951" w14:textId="135BD1EE" w:rsidR="00722212" w:rsidRPr="00313721" w:rsidRDefault="00722212"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V súvislosti s navrhovanou zmenou formy vydávania a zasielania osvedčení o zápise práva do registra predkladateľ identifikoval skupinu 347 podnikateľov z radov majiteľov priemyselných práv s predpokladaným pozitívnym vplyvom na náklady vo výške 4 224 € ročne.</w:t>
            </w:r>
          </w:p>
          <w:p w14:paraId="380C485E" w14:textId="77777777" w:rsidR="00722212" w:rsidRPr="00313721" w:rsidRDefault="00722212" w:rsidP="007179E5">
            <w:pPr>
              <w:jc w:val="both"/>
              <w:rPr>
                <w:rFonts w:ascii="Times New Roman" w:eastAsia="Times New Roman" w:hAnsi="Times New Roman" w:cs="Times New Roman"/>
                <w:lang w:eastAsia="sk-SK"/>
              </w:rPr>
            </w:pPr>
          </w:p>
          <w:p w14:paraId="685B1DBB" w14:textId="383EF473" w:rsidR="007179E5" w:rsidRPr="00313721" w:rsidRDefault="007179E5"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Navrhuje sa zmena formy vydávania osvedčení o zápise práva priemyselného vlastníctva do registra. Novelizované právne predpisy v oblasti priemyselného vlastníctva v doterajšom znení obsahujú výnimku predpokladanú § 17 ods. 1 písm. c) zákona č. 305/2013 Z. z. </w:t>
            </w:r>
            <w:r w:rsidRPr="00313721">
              <w:rPr>
                <w:rFonts w:ascii="Times New Roman" w:hAnsi="Times New Roman" w:cs="Times New Roman"/>
              </w:rPr>
              <w:t>o elektronickej podobe výkonu pôsobnosti orgánov verejnej moci a o zmene a doplnení niektorých zákonov (zákon o e-</w:t>
            </w:r>
            <w:proofErr w:type="spellStart"/>
            <w:r w:rsidRPr="00313721">
              <w:rPr>
                <w:rFonts w:ascii="Times New Roman" w:hAnsi="Times New Roman" w:cs="Times New Roman"/>
              </w:rPr>
              <w:lastRenderedPageBreak/>
              <w:t>Governmente</w:t>
            </w:r>
            <w:proofErr w:type="spellEnd"/>
            <w:r w:rsidRPr="00313721">
              <w:rPr>
                <w:rFonts w:ascii="Times New Roman" w:hAnsi="Times New Roman" w:cs="Times New Roman"/>
              </w:rPr>
              <w:t>). V zmysle § 17 ods. 1 písm. c) zákona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xml:space="preserve">  </w:t>
            </w:r>
            <w:r w:rsidRPr="00313721">
              <w:rPr>
                <w:rFonts w:ascii="Times New Roman" w:hAnsi="Times New Roman" w:cs="Times New Roman"/>
                <w:i/>
                <w:iCs/>
              </w:rPr>
              <w:t xml:space="preserve">je </w:t>
            </w:r>
            <w:r w:rsidRPr="00313721">
              <w:rPr>
                <w:rFonts w:ascii="Times New Roman" w:eastAsia="Times New Roman" w:hAnsi="Times New Roman" w:cs="Times New Roman"/>
                <w:i/>
                <w:iCs/>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313721">
              <w:rPr>
                <w:rFonts w:ascii="Times New Roman" w:eastAsia="Times New Roman" w:hAnsi="Times New Roman" w:cs="Times New Roman"/>
                <w:lang w:eastAsia="sk-SK"/>
              </w:rPr>
              <w:t>; osobitným predpisom je v tomto prípade § 44 ods. 4 zákona č. 435/2001 Z. z., § 35 ods. 1 zákona č. 444/2002 Z. z., § 43 ods. 2 zákona č. 517/2007 Z. z. a § 33 ods. 2 zákona č. 506/2009 Z. z.</w:t>
            </w:r>
          </w:p>
          <w:p w14:paraId="0A907C2F" w14:textId="77777777" w:rsidR="007179E5" w:rsidRPr="00313721" w:rsidRDefault="007179E5" w:rsidP="007179E5">
            <w:pPr>
              <w:jc w:val="both"/>
              <w:rPr>
                <w:rFonts w:ascii="Times New Roman" w:eastAsia="Times New Roman" w:hAnsi="Times New Roman" w:cs="Times New Roman"/>
                <w:lang w:eastAsia="sk-SK"/>
              </w:rPr>
            </w:pPr>
          </w:p>
          <w:tbl>
            <w:tblPr>
              <w:tblW w:w="8814" w:type="dxa"/>
              <w:tblCellMar>
                <w:left w:w="70" w:type="dxa"/>
                <w:right w:w="70" w:type="dxa"/>
              </w:tblCellMar>
              <w:tblLook w:val="04A0" w:firstRow="1" w:lastRow="0" w:firstColumn="1" w:lastColumn="0" w:noHBand="0" w:noVBand="1"/>
            </w:tblPr>
            <w:tblGrid>
              <w:gridCol w:w="7396"/>
              <w:gridCol w:w="1418"/>
            </w:tblGrid>
            <w:tr w:rsidR="007179E5" w:rsidRPr="00313721" w14:paraId="56411BFC"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tcPr>
                <w:p w14:paraId="63F8C41B" w14:textId="71CDA2D9" w:rsidR="007179E5" w:rsidRPr="00313721" w:rsidRDefault="007179E5" w:rsidP="007179E5">
                  <w:pPr>
                    <w:spacing w:after="0" w:line="240" w:lineRule="auto"/>
                    <w:rPr>
                      <w:rFonts w:ascii="Times New Roman" w:eastAsia="Times New Roman" w:hAnsi="Times New Roman" w:cs="Times New Roman"/>
                      <w:color w:val="000000" w:themeColor="text1"/>
                      <w:sz w:val="20"/>
                      <w:szCs w:val="20"/>
                      <w:lang w:eastAsia="sk-SK"/>
                    </w:rPr>
                  </w:pPr>
                  <w:r w:rsidRPr="00313721">
                    <w:rPr>
                      <w:rFonts w:ascii="Times New Roman" w:eastAsia="Times New Roman" w:hAnsi="Times New Roman" w:cs="Times New Roman"/>
                      <w:b/>
                      <w:bCs/>
                      <w:color w:val="000000" w:themeColor="text1"/>
                      <w:sz w:val="20"/>
                      <w:szCs w:val="20"/>
                      <w:lang w:eastAsia="sk-SK"/>
                    </w:rPr>
                    <w:t xml:space="preserve">Vydané osvedčenie o zápise práv priemyselného vlastníctva do registra </w:t>
                  </w:r>
                  <w:r w:rsidR="001E0E6B" w:rsidRPr="00313721">
                    <w:rPr>
                      <w:rFonts w:ascii="Times New Roman" w:eastAsia="Times New Roman" w:hAnsi="Times New Roman" w:cs="Times New Roman"/>
                      <w:b/>
                      <w:bCs/>
                      <w:color w:val="000000" w:themeColor="text1"/>
                      <w:sz w:val="20"/>
                      <w:szCs w:val="20"/>
                      <w:lang w:eastAsia="sk-SK"/>
                    </w:rPr>
                    <w:t>za rok</w:t>
                  </w:r>
                  <w:r w:rsidRPr="00313721">
                    <w:rPr>
                      <w:rFonts w:ascii="Times New Roman" w:eastAsia="Times New Roman" w:hAnsi="Times New Roman" w:cs="Times New Roman"/>
                      <w:b/>
                      <w:bCs/>
                      <w:color w:val="000000" w:themeColor="text1"/>
                      <w:sz w:val="20"/>
                      <w:szCs w:val="20"/>
                      <w:lang w:eastAsia="sk-SK"/>
                    </w:rPr>
                    <w:t xml:space="preserve"> 2023</w:t>
                  </w:r>
                </w:p>
              </w:tc>
              <w:tc>
                <w:tcPr>
                  <w:tcW w:w="1418" w:type="dxa"/>
                  <w:tcBorders>
                    <w:top w:val="single" w:sz="4" w:space="0" w:color="E2EFDA"/>
                    <w:left w:val="nil"/>
                    <w:bottom w:val="single" w:sz="4" w:space="0" w:color="70AD47"/>
                    <w:right w:val="nil"/>
                  </w:tcBorders>
                  <w:shd w:val="clear" w:color="E2EFDA" w:fill="E2EFDA"/>
                  <w:noWrap/>
                  <w:vAlign w:val="bottom"/>
                </w:tcPr>
                <w:p w14:paraId="59882004" w14:textId="77777777" w:rsidR="007179E5" w:rsidRPr="00313721" w:rsidRDefault="007179E5" w:rsidP="007179E5">
                  <w:pPr>
                    <w:spacing w:after="0" w:line="240" w:lineRule="auto"/>
                    <w:jc w:val="center"/>
                    <w:rPr>
                      <w:rFonts w:ascii="Times New Roman" w:eastAsia="Times New Roman" w:hAnsi="Times New Roman" w:cs="Times New Roman"/>
                      <w:color w:val="000000" w:themeColor="text1"/>
                      <w:sz w:val="20"/>
                      <w:szCs w:val="20"/>
                      <w:lang w:eastAsia="sk-SK"/>
                    </w:rPr>
                  </w:pPr>
                  <w:r w:rsidRPr="00313721">
                    <w:rPr>
                      <w:rFonts w:ascii="Times New Roman" w:eastAsia="Times New Roman" w:hAnsi="Times New Roman" w:cs="Times New Roman"/>
                      <w:b/>
                      <w:bCs/>
                      <w:color w:val="000000" w:themeColor="text1"/>
                      <w:sz w:val="20"/>
                      <w:szCs w:val="20"/>
                      <w:lang w:eastAsia="sk-SK"/>
                    </w:rPr>
                    <w:t>Počet kusov</w:t>
                  </w:r>
                </w:p>
              </w:tc>
            </w:tr>
            <w:tr w:rsidR="007179E5" w:rsidRPr="00313721" w14:paraId="45EA8B96"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hideMark/>
                </w:tcPr>
                <w:p w14:paraId="1ADB66EB" w14:textId="77777777" w:rsidR="007179E5" w:rsidRPr="00313721" w:rsidRDefault="007179E5" w:rsidP="007179E5">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zápise dizajnu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6E080D13" w14:textId="77777777" w:rsidR="007179E5" w:rsidRPr="00313721" w:rsidRDefault="007179E5" w:rsidP="007179E5">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83</w:t>
                  </w:r>
                </w:p>
              </w:tc>
            </w:tr>
            <w:tr w:rsidR="007179E5" w:rsidRPr="00313721" w14:paraId="0738EC7E"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hideMark/>
                </w:tcPr>
                <w:p w14:paraId="51F9D2BB" w14:textId="77777777" w:rsidR="007179E5" w:rsidRPr="00313721" w:rsidRDefault="007179E5" w:rsidP="007179E5">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zápise ochrannej známky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78163695" w14:textId="77777777" w:rsidR="007179E5" w:rsidRPr="00313721" w:rsidRDefault="007179E5" w:rsidP="007179E5">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2 066</w:t>
                  </w:r>
                </w:p>
              </w:tc>
            </w:tr>
            <w:tr w:rsidR="007179E5" w:rsidRPr="00313721" w14:paraId="1CB15956"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hideMark/>
                </w:tcPr>
                <w:p w14:paraId="2DD542B7" w14:textId="77777777" w:rsidR="007179E5" w:rsidRPr="00313721" w:rsidRDefault="007179E5" w:rsidP="007179E5">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patentová listina</w:t>
                  </w:r>
                </w:p>
              </w:tc>
              <w:tc>
                <w:tcPr>
                  <w:tcW w:w="1418" w:type="dxa"/>
                  <w:tcBorders>
                    <w:top w:val="single" w:sz="4" w:space="0" w:color="E2EFDA"/>
                    <w:left w:val="nil"/>
                    <w:bottom w:val="single" w:sz="4" w:space="0" w:color="70AD47"/>
                    <w:right w:val="nil"/>
                  </w:tcBorders>
                  <w:shd w:val="clear" w:color="E2EFDA" w:fill="E2EFDA"/>
                  <w:noWrap/>
                  <w:vAlign w:val="bottom"/>
                  <w:hideMark/>
                </w:tcPr>
                <w:p w14:paraId="696D2F02" w14:textId="77777777" w:rsidR="007179E5" w:rsidRPr="00313721" w:rsidRDefault="007179E5" w:rsidP="007179E5">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121</w:t>
                  </w:r>
                </w:p>
              </w:tc>
            </w:tr>
            <w:tr w:rsidR="007179E5" w:rsidRPr="00313721" w14:paraId="0F847969"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hideMark/>
                </w:tcPr>
                <w:p w14:paraId="5ABD0A83" w14:textId="77777777" w:rsidR="007179E5" w:rsidRPr="00313721" w:rsidRDefault="007179E5" w:rsidP="007179E5">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zápise úžitkového vzoru do registra</w:t>
                  </w:r>
                </w:p>
              </w:tc>
              <w:tc>
                <w:tcPr>
                  <w:tcW w:w="1418" w:type="dxa"/>
                  <w:tcBorders>
                    <w:top w:val="single" w:sz="4" w:space="0" w:color="E2EFDA"/>
                    <w:left w:val="nil"/>
                    <w:bottom w:val="single" w:sz="4" w:space="0" w:color="70AD47"/>
                    <w:right w:val="nil"/>
                  </w:tcBorders>
                  <w:shd w:val="clear" w:color="E2EFDA" w:fill="E2EFDA"/>
                  <w:noWrap/>
                  <w:vAlign w:val="bottom"/>
                  <w:hideMark/>
                </w:tcPr>
                <w:p w14:paraId="21492E5D" w14:textId="77777777" w:rsidR="007179E5" w:rsidRPr="00313721" w:rsidRDefault="007179E5" w:rsidP="007179E5">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249</w:t>
                  </w:r>
                </w:p>
              </w:tc>
            </w:tr>
            <w:tr w:rsidR="007179E5" w:rsidRPr="00313721" w14:paraId="469AB8E5" w14:textId="77777777" w:rsidTr="001E0E6B">
              <w:trPr>
                <w:trHeight w:val="234"/>
              </w:trPr>
              <w:tc>
                <w:tcPr>
                  <w:tcW w:w="7396" w:type="dxa"/>
                  <w:tcBorders>
                    <w:top w:val="single" w:sz="4" w:space="0" w:color="E2EFDA"/>
                    <w:left w:val="nil"/>
                    <w:bottom w:val="single" w:sz="4" w:space="0" w:color="70AD47"/>
                    <w:right w:val="nil"/>
                  </w:tcBorders>
                  <w:shd w:val="clear" w:color="E2EFDA" w:fill="E2EFDA"/>
                  <w:noWrap/>
                  <w:vAlign w:val="bottom"/>
                  <w:hideMark/>
                </w:tcPr>
                <w:p w14:paraId="68325987" w14:textId="77777777" w:rsidR="007179E5" w:rsidRPr="00313721" w:rsidRDefault="007179E5" w:rsidP="007179E5">
                  <w:pPr>
                    <w:spacing w:after="0" w:line="240" w:lineRule="auto"/>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osvedčenie o udelení dodatkového ochranného osvedčenia</w:t>
                  </w:r>
                </w:p>
              </w:tc>
              <w:tc>
                <w:tcPr>
                  <w:tcW w:w="1418" w:type="dxa"/>
                  <w:tcBorders>
                    <w:top w:val="single" w:sz="4" w:space="0" w:color="E2EFDA"/>
                    <w:left w:val="nil"/>
                    <w:bottom w:val="single" w:sz="4" w:space="0" w:color="70AD47"/>
                    <w:right w:val="nil"/>
                  </w:tcBorders>
                  <w:shd w:val="clear" w:color="E2EFDA" w:fill="E2EFDA"/>
                  <w:noWrap/>
                  <w:vAlign w:val="bottom"/>
                  <w:hideMark/>
                </w:tcPr>
                <w:p w14:paraId="6EA18C92" w14:textId="77777777" w:rsidR="007179E5" w:rsidRPr="00313721" w:rsidRDefault="007179E5" w:rsidP="007179E5">
                  <w:pPr>
                    <w:spacing w:after="0" w:line="240" w:lineRule="auto"/>
                    <w:jc w:val="center"/>
                    <w:rPr>
                      <w:rFonts w:ascii="Times New Roman" w:eastAsia="Times New Roman" w:hAnsi="Times New Roman" w:cs="Times New Roman"/>
                      <w:color w:val="000000"/>
                      <w:sz w:val="20"/>
                      <w:szCs w:val="20"/>
                      <w:lang w:eastAsia="sk-SK"/>
                    </w:rPr>
                  </w:pPr>
                  <w:r w:rsidRPr="00313721">
                    <w:rPr>
                      <w:rFonts w:ascii="Times New Roman" w:eastAsia="Times New Roman" w:hAnsi="Times New Roman" w:cs="Times New Roman"/>
                      <w:color w:val="000000"/>
                      <w:sz w:val="20"/>
                      <w:szCs w:val="20"/>
                      <w:lang w:eastAsia="sk-SK"/>
                    </w:rPr>
                    <w:t>55</w:t>
                  </w:r>
                </w:p>
              </w:tc>
            </w:tr>
            <w:tr w:rsidR="007179E5" w:rsidRPr="00313721" w14:paraId="2C219BF1" w14:textId="77777777" w:rsidTr="001E0E6B">
              <w:trPr>
                <w:trHeight w:val="234"/>
              </w:trPr>
              <w:tc>
                <w:tcPr>
                  <w:tcW w:w="7396" w:type="dxa"/>
                  <w:tcBorders>
                    <w:top w:val="double" w:sz="6" w:space="0" w:color="548235"/>
                    <w:left w:val="nil"/>
                    <w:bottom w:val="nil"/>
                    <w:right w:val="nil"/>
                  </w:tcBorders>
                  <w:shd w:val="clear" w:color="auto" w:fill="auto"/>
                  <w:noWrap/>
                  <w:vAlign w:val="bottom"/>
                  <w:hideMark/>
                </w:tcPr>
                <w:p w14:paraId="38B40CC6" w14:textId="77777777" w:rsidR="007179E5" w:rsidRPr="00313721" w:rsidRDefault="007179E5" w:rsidP="007179E5">
                  <w:pPr>
                    <w:spacing w:after="0" w:line="240" w:lineRule="auto"/>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Celkový súčet</w:t>
                  </w:r>
                </w:p>
              </w:tc>
              <w:tc>
                <w:tcPr>
                  <w:tcW w:w="1418" w:type="dxa"/>
                  <w:tcBorders>
                    <w:top w:val="double" w:sz="6" w:space="0" w:color="548235"/>
                    <w:left w:val="nil"/>
                    <w:bottom w:val="nil"/>
                    <w:right w:val="nil"/>
                  </w:tcBorders>
                  <w:shd w:val="clear" w:color="auto" w:fill="auto"/>
                  <w:noWrap/>
                  <w:vAlign w:val="bottom"/>
                  <w:hideMark/>
                </w:tcPr>
                <w:p w14:paraId="6E5ACAC3" w14:textId="77777777" w:rsidR="007179E5" w:rsidRPr="00313721" w:rsidRDefault="007179E5" w:rsidP="007179E5">
                  <w:pPr>
                    <w:spacing w:after="0" w:line="240" w:lineRule="auto"/>
                    <w:jc w:val="center"/>
                    <w:rPr>
                      <w:rFonts w:ascii="Times New Roman" w:eastAsia="Times New Roman" w:hAnsi="Times New Roman" w:cs="Times New Roman"/>
                      <w:b/>
                      <w:bCs/>
                      <w:color w:val="000000"/>
                      <w:sz w:val="20"/>
                      <w:szCs w:val="20"/>
                      <w:lang w:eastAsia="sk-SK"/>
                    </w:rPr>
                  </w:pPr>
                  <w:r w:rsidRPr="00313721">
                    <w:rPr>
                      <w:rFonts w:ascii="Times New Roman" w:eastAsia="Times New Roman" w:hAnsi="Times New Roman" w:cs="Times New Roman"/>
                      <w:b/>
                      <w:bCs/>
                      <w:color w:val="000000"/>
                      <w:sz w:val="20"/>
                      <w:szCs w:val="20"/>
                      <w:lang w:eastAsia="sk-SK"/>
                    </w:rPr>
                    <w:t>2 574</w:t>
                  </w:r>
                </w:p>
              </w:tc>
            </w:tr>
          </w:tbl>
          <w:p w14:paraId="20684531" w14:textId="77777777" w:rsidR="007179E5" w:rsidRPr="00313721" w:rsidRDefault="007179E5" w:rsidP="007179E5">
            <w:pPr>
              <w:jc w:val="both"/>
              <w:rPr>
                <w:rFonts w:ascii="Times New Roman" w:eastAsia="Times New Roman" w:hAnsi="Times New Roman" w:cs="Times New Roman"/>
                <w:lang w:eastAsia="sk-SK"/>
              </w:rPr>
            </w:pPr>
          </w:p>
          <w:p w14:paraId="5B333E11" w14:textId="77777777" w:rsidR="007179E5" w:rsidRPr="00313721" w:rsidRDefault="007179E5"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V roku 2023 vydal ÚPV SR 2 574 osvedčení o zápise práva priemyselného vlastníctva do registra. Na základe expertného odhadu je 95% majiteľov práva priemyselného vlastníctva podnikateľským subjektom; preto veľkosť relevantnej skupiny podnikateľov je 2317.</w:t>
            </w:r>
          </w:p>
          <w:p w14:paraId="57E10723" w14:textId="77777777" w:rsidR="007179E5" w:rsidRPr="00313721" w:rsidRDefault="007179E5" w:rsidP="007179E5">
            <w:pPr>
              <w:jc w:val="both"/>
              <w:rPr>
                <w:rFonts w:ascii="Times New Roman" w:eastAsia="Times New Roman" w:hAnsi="Times New Roman" w:cs="Times New Roman"/>
                <w:lang w:eastAsia="sk-SK"/>
              </w:rPr>
            </w:pPr>
          </w:p>
          <w:p w14:paraId="6EDBB84E" w14:textId="3DAB9232" w:rsidR="007179E5" w:rsidRPr="00313721" w:rsidRDefault="007179E5"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Osvedčenie o zápise práva priemyselného vlastníctva je dokumentom primárne určeným majiteľom týchto práv. Po zápise do registra ÚPV SR vydá toto osvedčenie v listinnej podobe a zasiela ho poštovou prepravou majiteľovi práva priemyselného vlastníctva alebo jeho zástupcovi, ak je majiteľ práva priemyselného vlastníctva v konaní pred úradom zastúpený patentovým zástupcom resp. advokátom. Na základe expertného odhadu je 70</w:t>
            </w:r>
            <w:r w:rsidR="00E20608" w:rsidRPr="00313721">
              <w:rPr>
                <w:rFonts w:ascii="Times New Roman" w:eastAsia="Times New Roman" w:hAnsi="Times New Roman" w:cs="Times New Roman"/>
                <w:lang w:eastAsia="sk-SK"/>
              </w:rPr>
              <w:t xml:space="preserve"> </w:t>
            </w:r>
            <w:r w:rsidRPr="00313721">
              <w:rPr>
                <w:rFonts w:ascii="Times New Roman" w:eastAsia="Times New Roman" w:hAnsi="Times New Roman" w:cs="Times New Roman"/>
                <w:lang w:eastAsia="sk-SK"/>
              </w:rPr>
              <w:t>% majiteľov práv v konaní pred úradom zastúpených patentovým zástupcom resp. advokátom.</w:t>
            </w:r>
          </w:p>
          <w:p w14:paraId="7E3A8C6E" w14:textId="77777777" w:rsidR="007179E5" w:rsidRPr="00313721" w:rsidRDefault="007179E5" w:rsidP="007179E5">
            <w:pPr>
              <w:jc w:val="both"/>
              <w:rPr>
                <w:rFonts w:ascii="Times New Roman" w:eastAsia="Times New Roman" w:hAnsi="Times New Roman" w:cs="Times New Roman"/>
                <w:lang w:eastAsia="sk-SK"/>
              </w:rPr>
            </w:pPr>
          </w:p>
          <w:p w14:paraId="272A6128" w14:textId="77777777" w:rsidR="007179E5" w:rsidRPr="00313721" w:rsidRDefault="007179E5"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Pre vyčíslenie vplyvov na jedného podnikateľa bolo potrebné rozdeliť dotknutú skupinu podnikateľov (veľkosť skupiny 2317) na podskupinu majiteľov práv, ktorí v konaní pred ÚPV SR nie sú zastúpení (veľkosť podskupiny 695) a podskupinu majiteľov práv, ktorí v konaní pred ÚPV SR sú zastúpení patentovým zástupcom resp. advokátom (veľkosť podskupiny 1622).</w:t>
            </w:r>
          </w:p>
          <w:p w14:paraId="1FDE057D" w14:textId="77777777" w:rsidR="007179E5" w:rsidRPr="00313721" w:rsidRDefault="007179E5" w:rsidP="007179E5">
            <w:pPr>
              <w:jc w:val="both"/>
              <w:rPr>
                <w:rFonts w:ascii="Times New Roman" w:eastAsia="Times New Roman" w:hAnsi="Times New Roman" w:cs="Times New Roman"/>
                <w:lang w:eastAsia="sk-SK"/>
              </w:rPr>
            </w:pPr>
          </w:p>
          <w:p w14:paraId="23854A9A" w14:textId="76D9DCDE" w:rsidR="007179E5" w:rsidRPr="00313721" w:rsidRDefault="00B3463F"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Následne v</w:t>
            </w:r>
            <w:r w:rsidR="007179E5" w:rsidRPr="00313721">
              <w:rPr>
                <w:rFonts w:ascii="Times New Roman" w:eastAsia="Times New Roman" w:hAnsi="Times New Roman" w:cs="Times New Roman"/>
                <w:lang w:eastAsia="sk-SK"/>
              </w:rPr>
              <w:t> rámci podskupiny nezastúpených majiteľov práv boli identifikované vplyvy spočívajúce v administratívnych nákladoch spočívajúcich v čase návštevy pošty tých majiteľov (odhadom 50 %</w:t>
            </w:r>
            <w:r w:rsidRPr="00313721">
              <w:rPr>
                <w:rFonts w:ascii="Times New Roman" w:eastAsia="Times New Roman" w:hAnsi="Times New Roman" w:cs="Times New Roman"/>
                <w:lang w:eastAsia="sk-SK"/>
              </w:rPr>
              <w:t xml:space="preserve"> - t. j. 347 podnikateľov</w:t>
            </w:r>
            <w:r w:rsidR="007179E5" w:rsidRPr="00313721">
              <w:rPr>
                <w:rFonts w:ascii="Times New Roman" w:eastAsia="Times New Roman" w:hAnsi="Times New Roman" w:cs="Times New Roman"/>
                <w:lang w:eastAsia="sk-SK"/>
              </w:rPr>
              <w:t>), ktorým nebola poštová zásielka úspešne doručená poštovým podnikom v mieste podnikania a táto bola uložená na pošte.</w:t>
            </w:r>
          </w:p>
          <w:p w14:paraId="4B8BC6A5" w14:textId="77777777" w:rsidR="007179E5" w:rsidRPr="00313721" w:rsidRDefault="007179E5" w:rsidP="007179E5">
            <w:pPr>
              <w:jc w:val="both"/>
              <w:rPr>
                <w:rFonts w:ascii="Times New Roman" w:eastAsia="Times New Roman" w:hAnsi="Times New Roman" w:cs="Times New Roman"/>
                <w:lang w:eastAsia="sk-SK"/>
              </w:rPr>
            </w:pPr>
          </w:p>
          <w:p w14:paraId="4C507378" w14:textId="687077AA" w:rsidR="007179E5" w:rsidRPr="00313721" w:rsidRDefault="007179E5" w:rsidP="007179E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Zrušením výnimky z uplatňovania výkonu verejnej moci elektronicky bude ÚPV SR zasielať predmetné dokumenty do elektronických schránok subjektov, na základe čoho odpadá prípadná administratívna záťaž spojená s návštevou pošty. </w:t>
            </w:r>
            <w:r w:rsidR="00E20608" w:rsidRPr="00313721">
              <w:rPr>
                <w:rFonts w:ascii="Times New Roman" w:eastAsia="Times New Roman" w:hAnsi="Times New Roman" w:cs="Times New Roman"/>
                <w:lang w:eastAsia="sk-SK"/>
              </w:rPr>
              <w:t xml:space="preserve">Časovú dotáciu trvania predmetnej povinnosti stanovil predkladateľ na základe expertného odhadu v rozsahu 60 minút na 1 podnikateľa. </w:t>
            </w:r>
            <w:r w:rsidR="00B3463F" w:rsidRPr="00313721">
              <w:rPr>
                <w:rFonts w:ascii="Times New Roman" w:eastAsia="Times New Roman" w:hAnsi="Times New Roman" w:cs="Times New Roman"/>
                <w:lang w:eastAsia="sk-SK"/>
              </w:rPr>
              <w:t>Na základe uvedeného j</w:t>
            </w:r>
            <w:r w:rsidRPr="00313721">
              <w:rPr>
                <w:rFonts w:ascii="Times New Roman" w:eastAsia="Times New Roman" w:hAnsi="Times New Roman" w:cs="Times New Roman"/>
                <w:lang w:eastAsia="sk-SK"/>
              </w:rPr>
              <w:t xml:space="preserve">e možné očakávať pozitívny vplyv </w:t>
            </w:r>
            <w:r w:rsidR="00B3463F" w:rsidRPr="00313721">
              <w:rPr>
                <w:rFonts w:ascii="Times New Roman" w:eastAsia="Times New Roman" w:hAnsi="Times New Roman" w:cs="Times New Roman"/>
                <w:lang w:eastAsia="sk-SK"/>
              </w:rPr>
              <w:t xml:space="preserve">na 347 podnikateľov </w:t>
            </w:r>
            <w:r w:rsidRPr="00313721">
              <w:rPr>
                <w:rFonts w:ascii="Times New Roman" w:eastAsia="Times New Roman" w:hAnsi="Times New Roman" w:cs="Times New Roman"/>
                <w:lang w:eastAsia="sk-SK"/>
              </w:rPr>
              <w:t xml:space="preserve">celkovo </w:t>
            </w:r>
            <w:r w:rsidR="00E20608" w:rsidRPr="00313721">
              <w:rPr>
                <w:rFonts w:ascii="Times New Roman" w:eastAsia="Times New Roman" w:hAnsi="Times New Roman" w:cs="Times New Roman"/>
                <w:lang w:eastAsia="sk-SK"/>
              </w:rPr>
              <w:t xml:space="preserve">vo výške </w:t>
            </w:r>
            <w:r w:rsidRPr="00313721">
              <w:rPr>
                <w:rFonts w:ascii="Times New Roman" w:eastAsia="Times New Roman" w:hAnsi="Times New Roman" w:cs="Times New Roman"/>
                <w:lang w:eastAsia="sk-SK"/>
              </w:rPr>
              <w:t>4224 €</w:t>
            </w:r>
            <w:r w:rsidR="00E20608" w:rsidRPr="00313721">
              <w:rPr>
                <w:rFonts w:ascii="Times New Roman" w:eastAsia="Times New Roman" w:hAnsi="Times New Roman" w:cs="Times New Roman"/>
                <w:lang w:eastAsia="sk-SK"/>
              </w:rPr>
              <w:t xml:space="preserve">, čo predstavuje </w:t>
            </w:r>
            <w:r w:rsidRPr="00313721">
              <w:rPr>
                <w:rFonts w:ascii="Times New Roman" w:eastAsia="Times New Roman" w:hAnsi="Times New Roman" w:cs="Times New Roman"/>
                <w:lang w:eastAsia="sk-SK"/>
              </w:rPr>
              <w:t xml:space="preserve">12 € na jedného podnikateľa (majiteľa práva) ročne. </w:t>
            </w:r>
          </w:p>
          <w:p w14:paraId="456AA008" w14:textId="77777777" w:rsidR="007179E5" w:rsidRPr="00313721" w:rsidRDefault="007179E5" w:rsidP="007179E5">
            <w:pPr>
              <w:jc w:val="both"/>
              <w:rPr>
                <w:rFonts w:ascii="Times New Roman" w:eastAsia="Times New Roman" w:hAnsi="Times New Roman" w:cs="Times New Roman"/>
                <w:lang w:eastAsia="sk-SK"/>
              </w:rPr>
            </w:pPr>
          </w:p>
          <w:p w14:paraId="1C25E4FB" w14:textId="77777777" w:rsidR="00334FB1" w:rsidRPr="00313721" w:rsidRDefault="00334FB1" w:rsidP="003D022E">
            <w:pPr>
              <w:jc w:val="both"/>
              <w:rPr>
                <w:rFonts w:ascii="Times New Roman" w:eastAsia="Times New Roman" w:hAnsi="Times New Roman" w:cs="Times New Roman"/>
                <w:color w:val="FF0000"/>
                <w:lang w:eastAsia="sk-SK"/>
              </w:rPr>
            </w:pPr>
          </w:p>
          <w:p w14:paraId="74CE2076" w14:textId="7DC1794F" w:rsidR="00334FB1" w:rsidRPr="00313721" w:rsidRDefault="00AC6425" w:rsidP="003D022E">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P. č. 7</w:t>
            </w:r>
          </w:p>
          <w:p w14:paraId="22C04050" w14:textId="357567B1" w:rsidR="00334FB1" w:rsidRPr="00313721" w:rsidRDefault="00334FB1" w:rsidP="00AC6425">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Zmena formy vydávania a zasielania dokladov o práve prednosti (z listinnej formy na elektronickú)</w:t>
            </w:r>
            <w:r w:rsidR="00AC6425" w:rsidRPr="00313721">
              <w:rPr>
                <w:rFonts w:ascii="Times New Roman" w:eastAsia="Times New Roman" w:hAnsi="Times New Roman" w:cs="Times New Roman"/>
                <w:b/>
                <w:bCs/>
                <w:lang w:eastAsia="sk-SK"/>
              </w:rPr>
              <w:t xml:space="preserve"> </w:t>
            </w:r>
            <w:r w:rsidR="00AC6425" w:rsidRPr="00313721">
              <w:rPr>
                <w:rFonts w:ascii="Times New Roman" w:eastAsia="Times New Roman" w:hAnsi="Times New Roman" w:cs="Times New Roman"/>
                <w:lang w:eastAsia="sk-SK"/>
              </w:rPr>
              <w:t xml:space="preserve">(kategória dotknutých subjektov – patentoví zástupcovia/advokáti) </w:t>
            </w:r>
          </w:p>
          <w:p w14:paraId="446FF0D7" w14:textId="77777777" w:rsidR="00334FB1" w:rsidRPr="00313721" w:rsidRDefault="00334FB1" w:rsidP="003D022E">
            <w:pPr>
              <w:pStyle w:val="Odsekzoznamu"/>
              <w:jc w:val="both"/>
              <w:rPr>
                <w:rFonts w:ascii="Times New Roman" w:eastAsia="Times New Roman" w:hAnsi="Times New Roman" w:cs="Times New Roman"/>
                <w:b/>
                <w:bCs/>
                <w:lang w:eastAsia="sk-SK"/>
              </w:rPr>
            </w:pPr>
          </w:p>
          <w:p w14:paraId="4F2D5C63" w14:textId="5A1D056B" w:rsidR="00722212" w:rsidRPr="00313721" w:rsidRDefault="00722212"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V súvislosti s navrhovanou zmenou formy vydávania a zasielania dokladov o práve prednosti predkladateľ identifikoval skupinu 48 podnikateľov z radov patentových zástupcov a advokátov s predpokladaným pozitívnym vplyvom na náklady vo výške cca </w:t>
            </w:r>
            <w:r w:rsidR="00DE3E91" w:rsidRPr="00313721">
              <w:rPr>
                <w:rFonts w:ascii="Times New Roman" w:eastAsia="Times New Roman" w:hAnsi="Times New Roman" w:cs="Times New Roman"/>
                <w:lang w:eastAsia="sk-SK"/>
              </w:rPr>
              <w:t>1147</w:t>
            </w:r>
            <w:r w:rsidRPr="00313721">
              <w:rPr>
                <w:rFonts w:ascii="Times New Roman" w:eastAsia="Times New Roman" w:hAnsi="Times New Roman" w:cs="Times New Roman"/>
                <w:lang w:eastAsia="sk-SK"/>
              </w:rPr>
              <w:t xml:space="preserve"> € ročne</w:t>
            </w:r>
            <w:r w:rsidR="00DE3E91" w:rsidRPr="00313721">
              <w:rPr>
                <w:rFonts w:ascii="Times New Roman" w:eastAsia="Times New Roman" w:hAnsi="Times New Roman" w:cs="Times New Roman"/>
                <w:lang w:eastAsia="sk-SK"/>
              </w:rPr>
              <w:t xml:space="preserve"> po zaokrúhlení</w:t>
            </w:r>
            <w:r w:rsidR="006E77A2" w:rsidRPr="00313721">
              <w:rPr>
                <w:rFonts w:ascii="Times New Roman" w:eastAsia="Times New Roman" w:hAnsi="Times New Roman" w:cs="Times New Roman"/>
                <w:lang w:eastAsia="sk-SK"/>
              </w:rPr>
              <w:t xml:space="preserve">. </w:t>
            </w:r>
          </w:p>
          <w:p w14:paraId="5EE25B4C" w14:textId="77777777" w:rsidR="00722212" w:rsidRPr="00313721" w:rsidRDefault="00722212" w:rsidP="003D022E">
            <w:pPr>
              <w:jc w:val="both"/>
              <w:rPr>
                <w:rFonts w:ascii="Times New Roman" w:eastAsia="Times New Roman" w:hAnsi="Times New Roman" w:cs="Times New Roman"/>
                <w:lang w:eastAsia="sk-SK"/>
              </w:rPr>
            </w:pPr>
          </w:p>
          <w:p w14:paraId="15772F4A" w14:textId="1A3E30C9"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Navrhuje sa zmena formy vydávania dokladov o práve prednosti. Novelizované právne predpisy v oblasti priemyselného vlastníctva v doterajšom znení obsahujú výnimku predpokladanú § 17 ods. </w:t>
            </w:r>
            <w:r w:rsidRPr="00313721">
              <w:rPr>
                <w:rFonts w:ascii="Times New Roman" w:eastAsia="Times New Roman" w:hAnsi="Times New Roman" w:cs="Times New Roman"/>
                <w:lang w:eastAsia="sk-SK"/>
              </w:rPr>
              <w:lastRenderedPageBreak/>
              <w:t xml:space="preserve">1 písm. c) zákona č. 305/2013 Z. z. </w:t>
            </w:r>
            <w:r w:rsidRPr="00313721">
              <w:rPr>
                <w:rFonts w:ascii="Times New Roman" w:hAnsi="Times New Roman" w:cs="Times New Roman"/>
              </w:rPr>
              <w:t>o elektronickej podobe výkonu pôsobnosti orgánov verejnej moci a o zmene a doplnení niektorých zákonov (zákon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V zmysle § 17 ods. 1 písm. c) zákona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xml:space="preserve">  </w:t>
            </w:r>
            <w:r w:rsidRPr="00313721">
              <w:rPr>
                <w:rFonts w:ascii="Times New Roman" w:hAnsi="Times New Roman" w:cs="Times New Roman"/>
                <w:i/>
                <w:iCs/>
              </w:rPr>
              <w:t xml:space="preserve">je </w:t>
            </w:r>
            <w:r w:rsidRPr="00313721">
              <w:rPr>
                <w:rFonts w:ascii="Times New Roman" w:eastAsia="Times New Roman" w:hAnsi="Times New Roman" w:cs="Times New Roman"/>
                <w:i/>
                <w:iCs/>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313721">
              <w:rPr>
                <w:rFonts w:ascii="Times New Roman" w:eastAsia="Times New Roman" w:hAnsi="Times New Roman" w:cs="Times New Roman"/>
                <w:lang w:eastAsia="sk-SK"/>
              </w:rPr>
              <w:t>; osobitným predpisom je v tomto prípade § 36 ods. 12 zákona č. 435/2001 Z. z., § 32 ods. 5 zákona č. 444/2002 Z. z., § 34 ods. 7 zákona č. 517/2007 Z. z. a § 26 ods. 5 zákona č. 506/2009 Z. z.</w:t>
            </w:r>
          </w:p>
          <w:p w14:paraId="185DF2CA" w14:textId="77777777" w:rsidR="00334FB1" w:rsidRPr="00313721" w:rsidRDefault="00334FB1" w:rsidP="003D022E">
            <w:pPr>
              <w:jc w:val="both"/>
              <w:rPr>
                <w:rFonts w:ascii="Times New Roman" w:eastAsia="Times New Roman" w:hAnsi="Times New Roman" w:cs="Times New Roman"/>
                <w:b/>
                <w:bCs/>
                <w:lang w:eastAsia="sk-SK"/>
              </w:rPr>
            </w:pPr>
          </w:p>
          <w:p w14:paraId="6737FF1B" w14:textId="77777777" w:rsidR="00334FB1" w:rsidRPr="00313721" w:rsidRDefault="00334FB1" w:rsidP="003D022E">
            <w:pPr>
              <w:jc w:val="both"/>
              <w:rPr>
                <w:rFonts w:ascii="Times New Roman" w:eastAsia="Times New Roman" w:hAnsi="Times New Roman" w:cs="Times New Roman"/>
                <w:b/>
                <w:bCs/>
                <w:lang w:eastAsia="sk-SK"/>
              </w:rPr>
            </w:pPr>
          </w:p>
          <w:tbl>
            <w:tblPr>
              <w:tblW w:w="8814" w:type="dxa"/>
              <w:tblCellMar>
                <w:left w:w="70" w:type="dxa"/>
                <w:right w:w="70" w:type="dxa"/>
              </w:tblCellMar>
              <w:tblLook w:val="04A0" w:firstRow="1" w:lastRow="0" w:firstColumn="1" w:lastColumn="0" w:noHBand="0" w:noVBand="1"/>
            </w:tblPr>
            <w:tblGrid>
              <w:gridCol w:w="6829"/>
              <w:gridCol w:w="1985"/>
            </w:tblGrid>
            <w:tr w:rsidR="00334FB1" w:rsidRPr="00313721" w14:paraId="2A36A657"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tcPr>
                <w:p w14:paraId="6A4292D6" w14:textId="6A8BD5AD" w:rsidR="00334FB1" w:rsidRPr="00313721" w:rsidRDefault="00334FB1" w:rsidP="003D022E">
                  <w:pPr>
                    <w:spacing w:after="0" w:line="240" w:lineRule="auto"/>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Vydané doklady o práve prednosti</w:t>
                  </w:r>
                  <w:r w:rsidR="001E0E6B" w:rsidRPr="00313721">
                    <w:rPr>
                      <w:rFonts w:ascii="Times New Roman" w:eastAsia="Times New Roman" w:hAnsi="Times New Roman" w:cs="Times New Roman"/>
                      <w:b/>
                      <w:bCs/>
                      <w:sz w:val="20"/>
                      <w:szCs w:val="20"/>
                      <w:lang w:eastAsia="sk-SK"/>
                    </w:rPr>
                    <w:t xml:space="preserve"> za rok</w:t>
                  </w:r>
                  <w:r w:rsidRPr="00313721">
                    <w:rPr>
                      <w:rFonts w:ascii="Times New Roman" w:eastAsia="Times New Roman" w:hAnsi="Times New Roman" w:cs="Times New Roman"/>
                      <w:b/>
                      <w:bCs/>
                      <w:sz w:val="20"/>
                      <w:szCs w:val="20"/>
                      <w:lang w:eastAsia="sk-SK"/>
                    </w:rPr>
                    <w:t xml:space="preserve"> 2023</w:t>
                  </w:r>
                </w:p>
              </w:tc>
              <w:tc>
                <w:tcPr>
                  <w:tcW w:w="1985" w:type="dxa"/>
                  <w:tcBorders>
                    <w:top w:val="single" w:sz="4" w:space="0" w:color="E2EFDA"/>
                    <w:left w:val="nil"/>
                    <w:bottom w:val="single" w:sz="4" w:space="0" w:color="70AD47"/>
                    <w:right w:val="nil"/>
                  </w:tcBorders>
                  <w:shd w:val="clear" w:color="E2EFDA" w:fill="E2EFDA"/>
                  <w:noWrap/>
                  <w:vAlign w:val="bottom"/>
                </w:tcPr>
                <w:p w14:paraId="17080864" w14:textId="77777777" w:rsidR="00334FB1" w:rsidRPr="00313721" w:rsidRDefault="00334FB1" w:rsidP="003D022E">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b/>
                      <w:bCs/>
                      <w:sz w:val="20"/>
                      <w:szCs w:val="20"/>
                      <w:lang w:eastAsia="sk-SK"/>
                    </w:rPr>
                    <w:t>Počet kusov</w:t>
                  </w:r>
                </w:p>
              </w:tc>
            </w:tr>
            <w:tr w:rsidR="00334FB1" w:rsidRPr="00313721" w14:paraId="1675E9F7"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0D98326C" w14:textId="77777777" w:rsidR="00334FB1" w:rsidRPr="00313721" w:rsidRDefault="00334FB1" w:rsidP="003D022E">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Dizajny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22D31268" w14:textId="77777777" w:rsidR="00334FB1" w:rsidRPr="00313721" w:rsidRDefault="00334FB1" w:rsidP="003D022E">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3</w:t>
                  </w:r>
                </w:p>
              </w:tc>
            </w:tr>
            <w:tr w:rsidR="00334FB1" w:rsidRPr="00313721" w14:paraId="723ED953"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449D5576" w14:textId="77777777" w:rsidR="00334FB1" w:rsidRPr="00313721" w:rsidRDefault="00334FB1" w:rsidP="003D022E">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Ochranné známky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62E47A90" w14:textId="77777777" w:rsidR="00334FB1" w:rsidRPr="00313721" w:rsidRDefault="00334FB1" w:rsidP="003D022E">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23</w:t>
                  </w:r>
                </w:p>
              </w:tc>
            </w:tr>
            <w:tr w:rsidR="00334FB1" w:rsidRPr="00313721" w14:paraId="1FD9784F"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70243E62" w14:textId="77777777" w:rsidR="00334FB1" w:rsidRPr="00313721" w:rsidRDefault="00334FB1" w:rsidP="003D022E">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Patenty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397A31E9" w14:textId="77777777" w:rsidR="00334FB1" w:rsidRPr="00313721" w:rsidRDefault="00334FB1" w:rsidP="003D022E">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20</w:t>
                  </w:r>
                </w:p>
              </w:tc>
            </w:tr>
            <w:tr w:rsidR="00334FB1" w:rsidRPr="00313721" w14:paraId="5420AEF7"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74E93F2B" w14:textId="77777777" w:rsidR="00334FB1" w:rsidRPr="00313721" w:rsidRDefault="00334FB1" w:rsidP="003D022E">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Úžitkové vzory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332957F9" w14:textId="77777777" w:rsidR="00334FB1" w:rsidRPr="00313721" w:rsidRDefault="00334FB1" w:rsidP="003D022E">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26</w:t>
                  </w:r>
                </w:p>
              </w:tc>
            </w:tr>
            <w:tr w:rsidR="00334FB1" w:rsidRPr="00313721" w14:paraId="6BC319A8" w14:textId="77777777" w:rsidTr="001E0E6B">
              <w:trPr>
                <w:trHeight w:val="234"/>
              </w:trPr>
              <w:tc>
                <w:tcPr>
                  <w:tcW w:w="6829" w:type="dxa"/>
                  <w:tcBorders>
                    <w:top w:val="double" w:sz="6" w:space="0" w:color="548235"/>
                    <w:left w:val="nil"/>
                    <w:bottom w:val="nil"/>
                    <w:right w:val="nil"/>
                  </w:tcBorders>
                  <w:shd w:val="clear" w:color="auto" w:fill="auto"/>
                  <w:noWrap/>
                  <w:vAlign w:val="bottom"/>
                  <w:hideMark/>
                </w:tcPr>
                <w:p w14:paraId="04E52CD3" w14:textId="77777777" w:rsidR="00334FB1" w:rsidRPr="00313721" w:rsidRDefault="00334FB1" w:rsidP="003D022E">
                  <w:pPr>
                    <w:spacing w:after="0" w:line="240" w:lineRule="auto"/>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Celkový súčet</w:t>
                  </w:r>
                </w:p>
              </w:tc>
              <w:tc>
                <w:tcPr>
                  <w:tcW w:w="1985" w:type="dxa"/>
                  <w:tcBorders>
                    <w:top w:val="double" w:sz="6" w:space="0" w:color="548235"/>
                    <w:left w:val="nil"/>
                    <w:bottom w:val="nil"/>
                    <w:right w:val="nil"/>
                  </w:tcBorders>
                  <w:shd w:val="clear" w:color="auto" w:fill="auto"/>
                  <w:noWrap/>
                  <w:vAlign w:val="bottom"/>
                  <w:hideMark/>
                </w:tcPr>
                <w:p w14:paraId="66F54E20" w14:textId="77777777" w:rsidR="00334FB1" w:rsidRPr="00313721" w:rsidRDefault="00334FB1" w:rsidP="003D022E">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72</w:t>
                  </w:r>
                </w:p>
              </w:tc>
            </w:tr>
          </w:tbl>
          <w:p w14:paraId="36BC41C9" w14:textId="77777777" w:rsidR="00334FB1" w:rsidRPr="00313721" w:rsidRDefault="00334FB1" w:rsidP="003D022E">
            <w:pPr>
              <w:jc w:val="both"/>
              <w:rPr>
                <w:rFonts w:ascii="Times New Roman" w:eastAsia="Times New Roman" w:hAnsi="Times New Roman" w:cs="Times New Roman"/>
                <w:b/>
                <w:bCs/>
                <w:lang w:eastAsia="sk-SK"/>
              </w:rPr>
            </w:pPr>
          </w:p>
          <w:p w14:paraId="4DAB3E82" w14:textId="4C0545CE" w:rsidR="00334FB1"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Je možné očakávať pozitívny vplyv </w:t>
            </w:r>
            <w:r w:rsidR="00E53A5C" w:rsidRPr="00313721">
              <w:rPr>
                <w:rFonts w:ascii="Times New Roman" w:eastAsia="Times New Roman" w:hAnsi="Times New Roman" w:cs="Times New Roman"/>
                <w:lang w:eastAsia="sk-SK"/>
              </w:rPr>
              <w:t>na 48 podnikateľských subjektov z radov patentových zástupcov a</w:t>
            </w:r>
            <w:r w:rsidR="00DE3E91" w:rsidRPr="00313721">
              <w:rPr>
                <w:rFonts w:ascii="Times New Roman" w:eastAsia="Times New Roman" w:hAnsi="Times New Roman" w:cs="Times New Roman"/>
                <w:lang w:eastAsia="sk-SK"/>
              </w:rPr>
              <w:t> </w:t>
            </w:r>
            <w:r w:rsidR="00E53A5C" w:rsidRPr="00313721">
              <w:rPr>
                <w:rFonts w:ascii="Times New Roman" w:eastAsia="Times New Roman" w:hAnsi="Times New Roman" w:cs="Times New Roman"/>
                <w:lang w:eastAsia="sk-SK"/>
              </w:rPr>
              <w:t>advokátov</w:t>
            </w:r>
            <w:r w:rsidR="00DE3E91" w:rsidRPr="00313721">
              <w:rPr>
                <w:rFonts w:ascii="Times New Roman" w:eastAsia="Times New Roman" w:hAnsi="Times New Roman" w:cs="Times New Roman"/>
                <w:lang w:eastAsia="sk-SK"/>
              </w:rPr>
              <w:t xml:space="preserve"> vo výške </w:t>
            </w:r>
            <w:r w:rsidRPr="00313721">
              <w:rPr>
                <w:rFonts w:ascii="Times New Roman" w:eastAsia="Times New Roman" w:hAnsi="Times New Roman" w:cs="Times New Roman"/>
                <w:lang w:eastAsia="sk-SK"/>
              </w:rPr>
              <w:t xml:space="preserve">celkovo </w:t>
            </w:r>
            <w:r w:rsidR="00DE3E91" w:rsidRPr="00313721">
              <w:rPr>
                <w:rFonts w:ascii="Times New Roman" w:eastAsia="Times New Roman" w:hAnsi="Times New Roman" w:cs="Times New Roman"/>
                <w:lang w:eastAsia="sk-SK"/>
              </w:rPr>
              <w:t>1 147</w:t>
            </w:r>
            <w:r w:rsidRPr="00313721">
              <w:rPr>
                <w:rFonts w:ascii="Times New Roman" w:eastAsia="Times New Roman" w:hAnsi="Times New Roman" w:cs="Times New Roman"/>
                <w:lang w:eastAsia="sk-SK"/>
              </w:rPr>
              <w:t xml:space="preserve"> € </w:t>
            </w:r>
            <w:r w:rsidR="00DE3E91" w:rsidRPr="00313721">
              <w:rPr>
                <w:rFonts w:ascii="Times New Roman" w:eastAsia="Times New Roman" w:hAnsi="Times New Roman" w:cs="Times New Roman"/>
                <w:lang w:eastAsia="sk-SK"/>
              </w:rPr>
              <w:t xml:space="preserve">ročne </w:t>
            </w:r>
            <w:r w:rsidRPr="00313721">
              <w:rPr>
                <w:rFonts w:ascii="Times New Roman" w:eastAsia="Times New Roman" w:hAnsi="Times New Roman" w:cs="Times New Roman"/>
                <w:lang w:eastAsia="sk-SK"/>
              </w:rPr>
              <w:t>a 2</w:t>
            </w:r>
            <w:r w:rsidR="006F51A3" w:rsidRPr="00313721">
              <w:rPr>
                <w:rFonts w:ascii="Times New Roman" w:eastAsia="Times New Roman" w:hAnsi="Times New Roman" w:cs="Times New Roman"/>
                <w:lang w:eastAsia="sk-SK"/>
              </w:rPr>
              <w:t>4</w:t>
            </w:r>
            <w:r w:rsidRPr="00313721">
              <w:rPr>
                <w:rFonts w:ascii="Times New Roman" w:eastAsia="Times New Roman" w:hAnsi="Times New Roman" w:cs="Times New Roman"/>
                <w:lang w:eastAsia="sk-SK"/>
              </w:rPr>
              <w:t xml:space="preserve"> € na jedného podnikateľa (patentového zástupcu resp. advokáta)</w:t>
            </w:r>
            <w:r w:rsidR="006F51A3" w:rsidRPr="00313721">
              <w:rPr>
                <w:rFonts w:ascii="Times New Roman" w:eastAsia="Times New Roman" w:hAnsi="Times New Roman" w:cs="Times New Roman"/>
                <w:lang w:eastAsia="sk-SK"/>
              </w:rPr>
              <w:t xml:space="preserve"> po zaokrúhlení</w:t>
            </w:r>
            <w:r w:rsidRPr="00313721">
              <w:rPr>
                <w:rFonts w:ascii="Times New Roman" w:eastAsia="Times New Roman" w:hAnsi="Times New Roman" w:cs="Times New Roman"/>
                <w:lang w:eastAsia="sk-SK"/>
              </w:rPr>
              <w:t xml:space="preserve"> ročne. </w:t>
            </w:r>
          </w:p>
          <w:p w14:paraId="3D89EF72" w14:textId="77777777" w:rsidR="00334FB1" w:rsidRPr="00313721" w:rsidRDefault="00334FB1" w:rsidP="003D022E">
            <w:pPr>
              <w:jc w:val="both"/>
              <w:rPr>
                <w:rFonts w:ascii="Times New Roman" w:eastAsia="Times New Roman" w:hAnsi="Times New Roman" w:cs="Times New Roman"/>
                <w:b/>
                <w:bCs/>
                <w:lang w:eastAsia="sk-SK"/>
              </w:rPr>
            </w:pPr>
          </w:p>
          <w:p w14:paraId="330B6355" w14:textId="1424A0CF" w:rsidR="00E53A5C" w:rsidRPr="00313721" w:rsidRDefault="00334FB1"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Pri výpočte zníženia nákladov podnikateľov</w:t>
            </w:r>
            <w:r w:rsidR="00AC6425" w:rsidRPr="00313721">
              <w:rPr>
                <w:rFonts w:ascii="Times New Roman" w:eastAsia="Times New Roman" w:hAnsi="Times New Roman" w:cs="Times New Roman"/>
                <w:lang w:eastAsia="sk-SK"/>
              </w:rPr>
              <w:t xml:space="preserve"> (patentových zástupcov resp. advokátov)</w:t>
            </w:r>
            <w:r w:rsidRPr="00313721">
              <w:rPr>
                <w:rFonts w:ascii="Times New Roman" w:eastAsia="Times New Roman" w:hAnsi="Times New Roman" w:cs="Times New Roman"/>
                <w:lang w:eastAsia="sk-SK"/>
              </w:rPr>
              <w:t xml:space="preserve"> na základe zmeny formy vydávania a zasielania dokladov o práve prednosti bol použitý rovnaký spôsob ako v prípade zmeny formy vydávania a zasielania osvedčení o zápise práva do registra</w:t>
            </w:r>
            <w:r w:rsidR="00AC6425" w:rsidRPr="00313721">
              <w:rPr>
                <w:rFonts w:ascii="Times New Roman" w:eastAsia="Times New Roman" w:hAnsi="Times New Roman" w:cs="Times New Roman"/>
                <w:lang w:eastAsia="sk-SK"/>
              </w:rPr>
              <w:t xml:space="preserve"> (p. č. 6, 7)</w:t>
            </w:r>
            <w:r w:rsidR="00E20608" w:rsidRPr="00313721">
              <w:rPr>
                <w:rFonts w:ascii="Times New Roman" w:eastAsia="Times New Roman" w:hAnsi="Times New Roman" w:cs="Times New Roman"/>
                <w:lang w:eastAsia="sk-SK"/>
              </w:rPr>
              <w:t>, tzn. že predkladateľ vychádzal z počtu vydaných dokladov o práve prednosti za rok 2023 (72), aplikoval pravidlo</w:t>
            </w:r>
            <w:r w:rsidR="00E53A5C" w:rsidRPr="00313721">
              <w:rPr>
                <w:rFonts w:ascii="Times New Roman" w:eastAsia="Times New Roman" w:hAnsi="Times New Roman" w:cs="Times New Roman"/>
                <w:lang w:eastAsia="sk-SK"/>
              </w:rPr>
              <w:t>, že 95 % majiteľov priemyselných práv je zároveň podnikateľským subjektom (t. j. cca 68 subjektov), z toho cca 70</w:t>
            </w:r>
            <w:r w:rsidR="008D3ACD" w:rsidRPr="00313721">
              <w:rPr>
                <w:rFonts w:ascii="Times New Roman" w:eastAsia="Times New Roman" w:hAnsi="Times New Roman" w:cs="Times New Roman"/>
                <w:lang w:eastAsia="sk-SK"/>
              </w:rPr>
              <w:t xml:space="preserve"> </w:t>
            </w:r>
            <w:r w:rsidR="00E53A5C" w:rsidRPr="00313721">
              <w:rPr>
                <w:rFonts w:ascii="Times New Roman" w:eastAsia="Times New Roman" w:hAnsi="Times New Roman" w:cs="Times New Roman"/>
                <w:lang w:eastAsia="sk-SK"/>
              </w:rPr>
              <w:t xml:space="preserve">% je v konaní pred ÚPV SR zastúpených patentovým zástupcom alebo advokátom, t. j. cca 48 zastúpených subjektov a 10 nezastúpených podnikateľských subjektov. </w:t>
            </w:r>
          </w:p>
          <w:p w14:paraId="1F300E2F" w14:textId="77777777" w:rsidR="006F51A3" w:rsidRPr="00313721" w:rsidRDefault="006F51A3" w:rsidP="003D022E">
            <w:pPr>
              <w:jc w:val="both"/>
              <w:rPr>
                <w:rFonts w:ascii="Times New Roman" w:eastAsia="Times New Roman" w:hAnsi="Times New Roman" w:cs="Times New Roman"/>
                <w:lang w:eastAsia="sk-SK"/>
              </w:rPr>
            </w:pPr>
          </w:p>
          <w:p w14:paraId="294361CC" w14:textId="48D079DB" w:rsidR="00334FB1" w:rsidRPr="00313721" w:rsidRDefault="00E53A5C" w:rsidP="003D022E">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 xml:space="preserve">Z hľadiska zníženia nákladov predkladateľ identifikoval iné nepriame finančné náklady </w:t>
            </w:r>
            <w:r w:rsidR="006F51A3" w:rsidRPr="00313721">
              <w:rPr>
                <w:rFonts w:ascii="Times New Roman" w:eastAsia="Times New Roman" w:hAnsi="Times New Roman" w:cs="Times New Roman"/>
                <w:lang w:eastAsia="sk-SK"/>
              </w:rPr>
              <w:t>(poštovné, obálka), pričom expertný odhad takto vyvolaných nepriamych nákladov na 1 podnikateľa súvisiacich so zabezpečením povinnosti stanovil na 3 € a administratívne náklady (spojené so spísaním sprievodného listu, návštevou pošty) pričom expertný odhad celkového trvania povinnosti stanovil na 102 min.</w:t>
            </w:r>
          </w:p>
          <w:p w14:paraId="62A4EB0D" w14:textId="77777777" w:rsidR="00AC6425" w:rsidRPr="00313721" w:rsidRDefault="00AC6425" w:rsidP="003D022E">
            <w:pPr>
              <w:jc w:val="both"/>
              <w:rPr>
                <w:rFonts w:ascii="Times New Roman" w:eastAsia="Times New Roman" w:hAnsi="Times New Roman" w:cs="Times New Roman"/>
                <w:lang w:eastAsia="sk-SK"/>
              </w:rPr>
            </w:pPr>
          </w:p>
          <w:p w14:paraId="40395CE1" w14:textId="77777777" w:rsidR="00AC6425" w:rsidRPr="00313721" w:rsidRDefault="00AC6425" w:rsidP="003D022E">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P. č. 8</w:t>
            </w:r>
          </w:p>
          <w:p w14:paraId="226A260F" w14:textId="442B14A8" w:rsidR="00AC6425" w:rsidRPr="00313721" w:rsidRDefault="00AC6425" w:rsidP="00AC6425">
            <w:pPr>
              <w:jc w:val="both"/>
              <w:rPr>
                <w:rFonts w:ascii="Times New Roman" w:eastAsia="Times New Roman" w:hAnsi="Times New Roman" w:cs="Times New Roman"/>
                <w:b/>
                <w:bCs/>
                <w:lang w:eastAsia="sk-SK"/>
              </w:rPr>
            </w:pPr>
            <w:r w:rsidRPr="00313721">
              <w:rPr>
                <w:rFonts w:ascii="Times New Roman" w:eastAsia="Times New Roman" w:hAnsi="Times New Roman" w:cs="Times New Roman"/>
                <w:b/>
                <w:bCs/>
                <w:lang w:eastAsia="sk-SK"/>
              </w:rPr>
              <w:t xml:space="preserve">Zmena formy vydávania a zasielania dokladov o práve prednosti (z listinnej formy na elektronickú) </w:t>
            </w:r>
            <w:r w:rsidRPr="00313721">
              <w:rPr>
                <w:rFonts w:ascii="Times New Roman" w:eastAsia="Times New Roman" w:hAnsi="Times New Roman" w:cs="Times New Roman"/>
                <w:lang w:eastAsia="sk-SK"/>
              </w:rPr>
              <w:t>(kategória dotknutých subjektov – majitelia patentov, dizajnov, úžitkových vzorov, ochranných známok/podnikatelia)</w:t>
            </w:r>
          </w:p>
          <w:p w14:paraId="4DDC7032" w14:textId="77777777" w:rsidR="00AC6425" w:rsidRPr="00313721" w:rsidRDefault="00AC6425" w:rsidP="003D022E">
            <w:pPr>
              <w:jc w:val="both"/>
              <w:rPr>
                <w:rFonts w:ascii="Times New Roman" w:eastAsia="Times New Roman" w:hAnsi="Times New Roman" w:cs="Times New Roman"/>
                <w:lang w:eastAsia="sk-SK"/>
              </w:rPr>
            </w:pPr>
          </w:p>
          <w:p w14:paraId="1C0F158C" w14:textId="4133CC8F" w:rsidR="006E77A2" w:rsidRPr="00313721" w:rsidRDefault="006E77A2" w:rsidP="006E77A2">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V súvislosti s navrhovanou zmenou formy vydávania a zasielania dokladov o práve prednosti predkladateľ identifikoval skupinu 10 podnikateľov z radov majiteľov priemyselných práv</w:t>
            </w:r>
            <w:r w:rsidR="0065638D" w:rsidRPr="00313721">
              <w:rPr>
                <w:rFonts w:ascii="Times New Roman" w:eastAsia="Times New Roman" w:hAnsi="Times New Roman" w:cs="Times New Roman"/>
                <w:lang w:eastAsia="sk-SK"/>
              </w:rPr>
              <w:t xml:space="preserve"> </w:t>
            </w:r>
            <w:r w:rsidRPr="00313721">
              <w:rPr>
                <w:rFonts w:ascii="Times New Roman" w:eastAsia="Times New Roman" w:hAnsi="Times New Roman" w:cs="Times New Roman"/>
                <w:lang w:eastAsia="sk-SK"/>
              </w:rPr>
              <w:t xml:space="preserve">s predpokladaným </w:t>
            </w:r>
            <w:r w:rsidR="0065638D" w:rsidRPr="00313721">
              <w:rPr>
                <w:rFonts w:ascii="Times New Roman" w:eastAsia="Times New Roman" w:hAnsi="Times New Roman" w:cs="Times New Roman"/>
                <w:lang w:eastAsia="sk-SK"/>
              </w:rPr>
              <w:t xml:space="preserve">celkovým </w:t>
            </w:r>
            <w:r w:rsidRPr="00313721">
              <w:rPr>
                <w:rFonts w:ascii="Times New Roman" w:eastAsia="Times New Roman" w:hAnsi="Times New Roman" w:cs="Times New Roman"/>
                <w:lang w:eastAsia="sk-SK"/>
              </w:rPr>
              <w:t>pozitívnym vplyvom na náklady vo výške cca 122 € ročne</w:t>
            </w:r>
            <w:r w:rsidR="0065638D" w:rsidRPr="00313721">
              <w:rPr>
                <w:rFonts w:ascii="Times New Roman" w:eastAsia="Times New Roman" w:hAnsi="Times New Roman" w:cs="Times New Roman"/>
                <w:lang w:eastAsia="sk-SK"/>
              </w:rPr>
              <w:t>, čo predstavuje 10 € na jedného podnikateľa</w:t>
            </w:r>
            <w:r w:rsidRPr="00313721">
              <w:rPr>
                <w:rFonts w:ascii="Times New Roman" w:eastAsia="Times New Roman" w:hAnsi="Times New Roman" w:cs="Times New Roman"/>
                <w:lang w:eastAsia="sk-SK"/>
              </w:rPr>
              <w:t xml:space="preserve">. </w:t>
            </w:r>
          </w:p>
          <w:p w14:paraId="5E2066A8" w14:textId="39D39BBA" w:rsidR="006E77A2" w:rsidRPr="00313721" w:rsidRDefault="006E77A2" w:rsidP="00AC6425">
            <w:pPr>
              <w:jc w:val="both"/>
              <w:rPr>
                <w:rFonts w:ascii="Times New Roman" w:eastAsia="Times New Roman" w:hAnsi="Times New Roman" w:cs="Times New Roman"/>
                <w:lang w:eastAsia="sk-SK"/>
              </w:rPr>
            </w:pPr>
          </w:p>
          <w:p w14:paraId="7C08037E" w14:textId="049515BF" w:rsidR="0065638D" w:rsidRPr="00313721" w:rsidRDefault="0065638D" w:rsidP="0065638D">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t>Pri určení relevantnej skupiny podnikateľov predkladateľ vychádzal z celkového počtu vydaných dokladov o práve prednosti</w:t>
            </w:r>
            <w:r w:rsidR="00F636D4" w:rsidRPr="00313721">
              <w:rPr>
                <w:rFonts w:ascii="Times New Roman" w:eastAsia="Times New Roman" w:hAnsi="Times New Roman" w:cs="Times New Roman"/>
                <w:lang w:eastAsia="sk-SK"/>
              </w:rPr>
              <w:t xml:space="preserve"> v roku 2023, t. j. 72, pričom tento údaj stotožnil s počtom subjektov</w:t>
            </w:r>
            <w:r w:rsidRPr="00313721">
              <w:rPr>
                <w:rFonts w:ascii="Times New Roman" w:eastAsia="Times New Roman" w:hAnsi="Times New Roman" w:cs="Times New Roman"/>
                <w:lang w:eastAsia="sk-SK"/>
              </w:rPr>
              <w:t>, z toho 95 % podnikateľov = 68 podnikateľských subjektov, z toho 30 nezastúpených patentovým zástupcom alebo advokátom = 20 subjektov</w:t>
            </w:r>
            <w:r w:rsidR="00F636D4" w:rsidRPr="00313721">
              <w:rPr>
                <w:rFonts w:ascii="Times New Roman" w:eastAsia="Times New Roman" w:hAnsi="Times New Roman" w:cs="Times New Roman"/>
                <w:lang w:eastAsia="sk-SK"/>
              </w:rPr>
              <w:t xml:space="preserve">. </w:t>
            </w:r>
            <w:r w:rsidRPr="00313721">
              <w:rPr>
                <w:rFonts w:ascii="Times New Roman" w:eastAsia="Times New Roman" w:hAnsi="Times New Roman" w:cs="Times New Roman"/>
                <w:lang w:eastAsia="sk-SK"/>
              </w:rPr>
              <w:t xml:space="preserve">Následne v rámci podskupiny nezastúpených majiteľov práv boli identifikované vplyvy spočívajúce v administratívnych nákladoch </w:t>
            </w:r>
            <w:r w:rsidR="00DE3E91" w:rsidRPr="00313721">
              <w:rPr>
                <w:rFonts w:ascii="Times New Roman" w:eastAsia="Times New Roman" w:hAnsi="Times New Roman" w:cs="Times New Roman"/>
                <w:lang w:eastAsia="sk-SK"/>
              </w:rPr>
              <w:t>z dôvodu</w:t>
            </w:r>
            <w:r w:rsidRPr="00313721">
              <w:rPr>
                <w:rFonts w:ascii="Times New Roman" w:eastAsia="Times New Roman" w:hAnsi="Times New Roman" w:cs="Times New Roman"/>
                <w:lang w:eastAsia="sk-SK"/>
              </w:rPr>
              <w:t xml:space="preserve"> návštevy pošty tých majiteľov (odhadom 50 % - t. j. </w:t>
            </w:r>
            <w:r w:rsidR="00F636D4" w:rsidRPr="00313721">
              <w:rPr>
                <w:rFonts w:ascii="Times New Roman" w:eastAsia="Times New Roman" w:hAnsi="Times New Roman" w:cs="Times New Roman"/>
                <w:lang w:eastAsia="sk-SK"/>
              </w:rPr>
              <w:t xml:space="preserve">10 </w:t>
            </w:r>
            <w:r w:rsidRPr="00313721">
              <w:rPr>
                <w:rFonts w:ascii="Times New Roman" w:eastAsia="Times New Roman" w:hAnsi="Times New Roman" w:cs="Times New Roman"/>
                <w:lang w:eastAsia="sk-SK"/>
              </w:rPr>
              <w:t>podnikateľov), ktorým nebola poštová zásielka úspešne doručená poštovým podnikom v mieste podnikania a táto bola uložená na pošte.</w:t>
            </w:r>
          </w:p>
          <w:p w14:paraId="0609FEBF" w14:textId="487EA680" w:rsidR="0065638D" w:rsidRPr="00313721" w:rsidRDefault="0065638D" w:rsidP="00AC6425">
            <w:pPr>
              <w:jc w:val="both"/>
              <w:rPr>
                <w:rFonts w:ascii="Times New Roman" w:eastAsia="Times New Roman" w:hAnsi="Times New Roman" w:cs="Times New Roman"/>
                <w:lang w:eastAsia="sk-SK"/>
              </w:rPr>
            </w:pPr>
          </w:p>
          <w:p w14:paraId="1CC918CA" w14:textId="4E4C3F2C" w:rsidR="00AC6425" w:rsidRPr="00313721" w:rsidRDefault="00AC6425" w:rsidP="00AC6425">
            <w:pPr>
              <w:jc w:val="both"/>
              <w:rPr>
                <w:rFonts w:ascii="Times New Roman" w:eastAsia="Times New Roman" w:hAnsi="Times New Roman" w:cs="Times New Roman"/>
                <w:lang w:eastAsia="sk-SK"/>
              </w:rPr>
            </w:pPr>
            <w:r w:rsidRPr="00313721">
              <w:rPr>
                <w:rFonts w:ascii="Times New Roman" w:eastAsia="Times New Roman" w:hAnsi="Times New Roman" w:cs="Times New Roman"/>
                <w:lang w:eastAsia="sk-SK"/>
              </w:rPr>
              <w:lastRenderedPageBreak/>
              <w:t xml:space="preserve">Navrhuje sa zmena formy vydávania dokladov o práve prednosti. Novelizované právne predpisy v oblasti priemyselného vlastníctva v doterajšom znení obsahujú výnimku predpokladanú § 17 ods. 1 písm. c) zákona č. 305/2013 Z. z. </w:t>
            </w:r>
            <w:r w:rsidRPr="00313721">
              <w:rPr>
                <w:rFonts w:ascii="Times New Roman" w:hAnsi="Times New Roman" w:cs="Times New Roman"/>
              </w:rPr>
              <w:t>o elektronickej podobe výkonu pôsobnosti orgánov verejnej moci a o zmene a doplnení niektorých zákonov (zákon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V zmysle § 17 ods. 1 písm. c) zákona o e-</w:t>
            </w:r>
            <w:proofErr w:type="spellStart"/>
            <w:r w:rsidRPr="00313721">
              <w:rPr>
                <w:rFonts w:ascii="Times New Roman" w:hAnsi="Times New Roman" w:cs="Times New Roman"/>
              </w:rPr>
              <w:t>Governmente</w:t>
            </w:r>
            <w:proofErr w:type="spellEnd"/>
            <w:r w:rsidRPr="00313721">
              <w:rPr>
                <w:rFonts w:ascii="Times New Roman" w:hAnsi="Times New Roman" w:cs="Times New Roman"/>
              </w:rPr>
              <w:t xml:space="preserve">  </w:t>
            </w:r>
            <w:r w:rsidRPr="00313721">
              <w:rPr>
                <w:rFonts w:ascii="Times New Roman" w:hAnsi="Times New Roman" w:cs="Times New Roman"/>
                <w:i/>
                <w:iCs/>
              </w:rPr>
              <w:t xml:space="preserve">je </w:t>
            </w:r>
            <w:r w:rsidRPr="00313721">
              <w:rPr>
                <w:rFonts w:ascii="Times New Roman" w:eastAsia="Times New Roman" w:hAnsi="Times New Roman" w:cs="Times New Roman"/>
                <w:i/>
                <w:iCs/>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313721">
              <w:rPr>
                <w:rFonts w:ascii="Times New Roman" w:eastAsia="Times New Roman" w:hAnsi="Times New Roman" w:cs="Times New Roman"/>
                <w:lang w:eastAsia="sk-SK"/>
              </w:rPr>
              <w:t>; osobitným predpisom je v tomto prípade § 36 ods. 12 zákona č. 435/2001 Z. z., § 32 ods. 5 zákona č. 444/2002 Z. z., § 34 ods. 7 zákona č. 517/2007 Z. z. a § 26 ods. 5 zákona č. 506/2009 Z. z.</w:t>
            </w:r>
          </w:p>
          <w:p w14:paraId="69C8C310" w14:textId="77777777" w:rsidR="00AC6425" w:rsidRPr="00313721" w:rsidRDefault="00AC6425" w:rsidP="00AC6425">
            <w:pPr>
              <w:jc w:val="both"/>
              <w:rPr>
                <w:rFonts w:ascii="Times New Roman" w:eastAsia="Times New Roman" w:hAnsi="Times New Roman" w:cs="Times New Roman"/>
                <w:b/>
                <w:bCs/>
                <w:lang w:eastAsia="sk-SK"/>
              </w:rPr>
            </w:pPr>
          </w:p>
          <w:tbl>
            <w:tblPr>
              <w:tblW w:w="8814" w:type="dxa"/>
              <w:tblCellMar>
                <w:left w:w="70" w:type="dxa"/>
                <w:right w:w="70" w:type="dxa"/>
              </w:tblCellMar>
              <w:tblLook w:val="04A0" w:firstRow="1" w:lastRow="0" w:firstColumn="1" w:lastColumn="0" w:noHBand="0" w:noVBand="1"/>
            </w:tblPr>
            <w:tblGrid>
              <w:gridCol w:w="6829"/>
              <w:gridCol w:w="1985"/>
            </w:tblGrid>
            <w:tr w:rsidR="00AC6425" w:rsidRPr="00313721" w14:paraId="3081A50D"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tcPr>
                <w:p w14:paraId="7BF45909" w14:textId="75E373E6" w:rsidR="00AC6425" w:rsidRPr="00313721" w:rsidRDefault="00AC6425" w:rsidP="00AC6425">
                  <w:pPr>
                    <w:spacing w:after="0" w:line="240" w:lineRule="auto"/>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Vydané doklady o práve prednosti</w:t>
                  </w:r>
                  <w:r w:rsidR="001E0E6B" w:rsidRPr="00313721">
                    <w:rPr>
                      <w:rFonts w:ascii="Times New Roman" w:eastAsia="Times New Roman" w:hAnsi="Times New Roman" w:cs="Times New Roman"/>
                      <w:b/>
                      <w:bCs/>
                      <w:sz w:val="20"/>
                      <w:szCs w:val="20"/>
                      <w:lang w:eastAsia="sk-SK"/>
                    </w:rPr>
                    <w:t xml:space="preserve"> za rok</w:t>
                  </w:r>
                  <w:r w:rsidRPr="00313721">
                    <w:rPr>
                      <w:rFonts w:ascii="Times New Roman" w:eastAsia="Times New Roman" w:hAnsi="Times New Roman" w:cs="Times New Roman"/>
                      <w:b/>
                      <w:bCs/>
                      <w:sz w:val="20"/>
                      <w:szCs w:val="20"/>
                      <w:lang w:eastAsia="sk-SK"/>
                    </w:rPr>
                    <w:t xml:space="preserve"> 2023</w:t>
                  </w:r>
                </w:p>
              </w:tc>
              <w:tc>
                <w:tcPr>
                  <w:tcW w:w="1985" w:type="dxa"/>
                  <w:tcBorders>
                    <w:top w:val="single" w:sz="4" w:space="0" w:color="E2EFDA"/>
                    <w:left w:val="nil"/>
                    <w:bottom w:val="single" w:sz="4" w:space="0" w:color="70AD47"/>
                    <w:right w:val="nil"/>
                  </w:tcBorders>
                  <w:shd w:val="clear" w:color="E2EFDA" w:fill="E2EFDA"/>
                  <w:noWrap/>
                  <w:vAlign w:val="bottom"/>
                </w:tcPr>
                <w:p w14:paraId="6808B12B" w14:textId="77777777" w:rsidR="00AC6425" w:rsidRPr="00313721" w:rsidRDefault="00AC6425" w:rsidP="00AC6425">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b/>
                      <w:bCs/>
                      <w:sz w:val="20"/>
                      <w:szCs w:val="20"/>
                      <w:lang w:eastAsia="sk-SK"/>
                    </w:rPr>
                    <w:t>Počet kusov</w:t>
                  </w:r>
                </w:p>
              </w:tc>
            </w:tr>
            <w:tr w:rsidR="00AC6425" w:rsidRPr="00313721" w14:paraId="6328080B"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78A5A2CF" w14:textId="77777777" w:rsidR="00AC6425" w:rsidRPr="00313721" w:rsidRDefault="00AC6425" w:rsidP="00AC6425">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Dizajny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0563DD28" w14:textId="77777777" w:rsidR="00AC6425" w:rsidRPr="00313721" w:rsidRDefault="00AC6425" w:rsidP="00AC6425">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3</w:t>
                  </w:r>
                </w:p>
              </w:tc>
            </w:tr>
            <w:tr w:rsidR="00AC6425" w:rsidRPr="00313721" w14:paraId="3A9335EC"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11C976E6" w14:textId="77777777" w:rsidR="00AC6425" w:rsidRPr="00313721" w:rsidRDefault="00AC6425" w:rsidP="00AC6425">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Ochranné známky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78E3146B" w14:textId="77777777" w:rsidR="00AC6425" w:rsidRPr="00313721" w:rsidRDefault="00AC6425" w:rsidP="00AC6425">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23</w:t>
                  </w:r>
                </w:p>
              </w:tc>
            </w:tr>
            <w:tr w:rsidR="00AC6425" w:rsidRPr="00313721" w14:paraId="5B5D9A19"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3C886BB0" w14:textId="77777777" w:rsidR="00AC6425" w:rsidRPr="00313721" w:rsidRDefault="00AC6425" w:rsidP="00AC6425">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Patenty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58980751" w14:textId="77777777" w:rsidR="00AC6425" w:rsidRPr="00313721" w:rsidRDefault="00AC6425" w:rsidP="00AC6425">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20</w:t>
                  </w:r>
                </w:p>
              </w:tc>
            </w:tr>
            <w:tr w:rsidR="00AC6425" w:rsidRPr="00313721" w14:paraId="42749530" w14:textId="77777777" w:rsidTr="001E0E6B">
              <w:trPr>
                <w:trHeight w:val="234"/>
              </w:trPr>
              <w:tc>
                <w:tcPr>
                  <w:tcW w:w="6829" w:type="dxa"/>
                  <w:tcBorders>
                    <w:top w:val="single" w:sz="4" w:space="0" w:color="E2EFDA"/>
                    <w:left w:val="nil"/>
                    <w:bottom w:val="single" w:sz="4" w:space="0" w:color="70AD47"/>
                    <w:right w:val="nil"/>
                  </w:tcBorders>
                  <w:shd w:val="clear" w:color="E2EFDA" w:fill="E2EFDA"/>
                  <w:noWrap/>
                  <w:vAlign w:val="bottom"/>
                  <w:hideMark/>
                </w:tcPr>
                <w:p w14:paraId="30ED8B99" w14:textId="77777777" w:rsidR="00AC6425" w:rsidRPr="00313721" w:rsidRDefault="00AC6425" w:rsidP="00AC6425">
                  <w:pPr>
                    <w:spacing w:after="0" w:line="240" w:lineRule="auto"/>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Úžitkové vzory – doklad o práve prednosti</w:t>
                  </w:r>
                </w:p>
              </w:tc>
              <w:tc>
                <w:tcPr>
                  <w:tcW w:w="1985" w:type="dxa"/>
                  <w:tcBorders>
                    <w:top w:val="single" w:sz="4" w:space="0" w:color="E2EFDA"/>
                    <w:left w:val="nil"/>
                    <w:bottom w:val="single" w:sz="4" w:space="0" w:color="70AD47"/>
                    <w:right w:val="nil"/>
                  </w:tcBorders>
                  <w:shd w:val="clear" w:color="E2EFDA" w:fill="E2EFDA"/>
                  <w:noWrap/>
                  <w:vAlign w:val="bottom"/>
                  <w:hideMark/>
                </w:tcPr>
                <w:p w14:paraId="2411303F" w14:textId="77777777" w:rsidR="00AC6425" w:rsidRPr="00313721" w:rsidRDefault="00AC6425" w:rsidP="00AC6425">
                  <w:pPr>
                    <w:spacing w:after="0" w:line="240" w:lineRule="auto"/>
                    <w:jc w:val="center"/>
                    <w:rPr>
                      <w:rFonts w:ascii="Times New Roman" w:eastAsia="Times New Roman" w:hAnsi="Times New Roman" w:cs="Times New Roman"/>
                      <w:sz w:val="20"/>
                      <w:szCs w:val="20"/>
                      <w:lang w:eastAsia="sk-SK"/>
                    </w:rPr>
                  </w:pPr>
                  <w:r w:rsidRPr="00313721">
                    <w:rPr>
                      <w:rFonts w:ascii="Times New Roman" w:eastAsia="Times New Roman" w:hAnsi="Times New Roman" w:cs="Times New Roman"/>
                      <w:sz w:val="20"/>
                      <w:szCs w:val="20"/>
                      <w:lang w:eastAsia="sk-SK"/>
                    </w:rPr>
                    <w:t>26</w:t>
                  </w:r>
                </w:p>
              </w:tc>
            </w:tr>
            <w:tr w:rsidR="00AC6425" w:rsidRPr="00313721" w14:paraId="7F4B3BA5" w14:textId="77777777" w:rsidTr="001E0E6B">
              <w:trPr>
                <w:trHeight w:val="234"/>
              </w:trPr>
              <w:tc>
                <w:tcPr>
                  <w:tcW w:w="6829" w:type="dxa"/>
                  <w:tcBorders>
                    <w:top w:val="double" w:sz="6" w:space="0" w:color="548235"/>
                    <w:left w:val="nil"/>
                    <w:bottom w:val="nil"/>
                    <w:right w:val="nil"/>
                  </w:tcBorders>
                  <w:shd w:val="clear" w:color="auto" w:fill="auto"/>
                  <w:noWrap/>
                  <w:vAlign w:val="bottom"/>
                  <w:hideMark/>
                </w:tcPr>
                <w:p w14:paraId="0D8C240A" w14:textId="77777777" w:rsidR="00AC6425" w:rsidRPr="00313721" w:rsidRDefault="00AC6425" w:rsidP="00AC6425">
                  <w:pPr>
                    <w:spacing w:after="0" w:line="240" w:lineRule="auto"/>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Celkový súčet</w:t>
                  </w:r>
                </w:p>
              </w:tc>
              <w:tc>
                <w:tcPr>
                  <w:tcW w:w="1985" w:type="dxa"/>
                  <w:tcBorders>
                    <w:top w:val="double" w:sz="6" w:space="0" w:color="548235"/>
                    <w:left w:val="nil"/>
                    <w:bottom w:val="nil"/>
                    <w:right w:val="nil"/>
                  </w:tcBorders>
                  <w:shd w:val="clear" w:color="auto" w:fill="auto"/>
                  <w:noWrap/>
                  <w:vAlign w:val="bottom"/>
                  <w:hideMark/>
                </w:tcPr>
                <w:p w14:paraId="544F3FB1" w14:textId="77777777" w:rsidR="00AC6425" w:rsidRPr="00313721" w:rsidRDefault="00AC6425" w:rsidP="00AC6425">
                  <w:pPr>
                    <w:spacing w:after="0" w:line="240" w:lineRule="auto"/>
                    <w:jc w:val="center"/>
                    <w:rPr>
                      <w:rFonts w:ascii="Times New Roman" w:eastAsia="Times New Roman" w:hAnsi="Times New Roman" w:cs="Times New Roman"/>
                      <w:b/>
                      <w:bCs/>
                      <w:sz w:val="20"/>
                      <w:szCs w:val="20"/>
                      <w:lang w:eastAsia="sk-SK"/>
                    </w:rPr>
                  </w:pPr>
                  <w:r w:rsidRPr="00313721">
                    <w:rPr>
                      <w:rFonts w:ascii="Times New Roman" w:eastAsia="Times New Roman" w:hAnsi="Times New Roman" w:cs="Times New Roman"/>
                      <w:b/>
                      <w:bCs/>
                      <w:sz w:val="20"/>
                      <w:szCs w:val="20"/>
                      <w:lang w:eastAsia="sk-SK"/>
                    </w:rPr>
                    <w:t>72</w:t>
                  </w:r>
                </w:p>
              </w:tc>
            </w:tr>
          </w:tbl>
          <w:p w14:paraId="6FB3C9AB" w14:textId="14DB70E4" w:rsidR="00AC6425" w:rsidRPr="00313721" w:rsidRDefault="00AC6425" w:rsidP="00AC6425">
            <w:pPr>
              <w:jc w:val="both"/>
              <w:rPr>
                <w:rFonts w:ascii="Times New Roman" w:eastAsia="Times New Roman" w:hAnsi="Times New Roman" w:cs="Times New Roman"/>
                <w:b/>
                <w:bCs/>
                <w:lang w:eastAsia="sk-SK"/>
              </w:rPr>
            </w:pPr>
          </w:p>
        </w:tc>
      </w:tr>
    </w:tbl>
    <w:p w14:paraId="191C022A" w14:textId="77777777" w:rsidR="00334FB1" w:rsidRPr="00313721" w:rsidRDefault="00334FB1" w:rsidP="00334FB1">
      <w:pPr>
        <w:jc w:val="both"/>
        <w:rPr>
          <w:rFonts w:ascii="Times New Roman" w:hAnsi="Times New Roman" w:cs="Times New Roman"/>
        </w:rPr>
      </w:pPr>
    </w:p>
    <w:p w14:paraId="628BB2D0" w14:textId="77777777" w:rsidR="00334FB1" w:rsidRPr="00313721" w:rsidRDefault="00334FB1" w:rsidP="00334FB1">
      <w:pPr>
        <w:jc w:val="both"/>
        <w:rPr>
          <w:rFonts w:ascii="Times New Roman" w:eastAsia="Calibri" w:hAnsi="Times New Roman" w:cs="Times New Roman"/>
          <w:b/>
          <w:bCs/>
          <w:i/>
          <w:sz w:val="24"/>
          <w:szCs w:val="24"/>
          <w:u w:val="single"/>
        </w:rPr>
      </w:pPr>
      <w:r w:rsidRPr="00313721">
        <w:rPr>
          <w:rFonts w:ascii="Times New Roman" w:eastAsia="Calibri" w:hAnsi="Times New Roman" w:cs="Times New Roman"/>
          <w:b/>
          <w:bCs/>
          <w:i/>
          <w:sz w:val="24"/>
          <w:szCs w:val="24"/>
          <w:u w:val="single"/>
        </w:rPr>
        <w:t xml:space="preserve">3.1.4 Odôvodnenie </w:t>
      </w:r>
      <w:proofErr w:type="spellStart"/>
      <w:r w:rsidRPr="00313721">
        <w:rPr>
          <w:rFonts w:ascii="Times New Roman" w:eastAsia="Calibri" w:hAnsi="Times New Roman" w:cs="Times New Roman"/>
          <w:b/>
          <w:bCs/>
          <w:i/>
          <w:sz w:val="24"/>
          <w:szCs w:val="24"/>
          <w:u w:val="single"/>
        </w:rPr>
        <w:t>goldplatingu</w:t>
      </w:r>
      <w:proofErr w:type="spellEnd"/>
      <w:r w:rsidRPr="00313721">
        <w:rPr>
          <w:rFonts w:ascii="Times New Roman" w:eastAsia="Calibri" w:hAnsi="Times New Roman" w:cs="Times New Roman"/>
          <w:b/>
          <w:bCs/>
          <w:i/>
          <w:sz w:val="24"/>
          <w:szCs w:val="24"/>
          <w:u w:val="single"/>
        </w:rPr>
        <w:t xml:space="preserve"> podľa bodu 4 časti III jednotnej metodiky a ďalšie doplňujúce informácie</w:t>
      </w:r>
      <w:r w:rsidRPr="00313721">
        <w:rPr>
          <w:rStyle w:val="Odkaznapoznmkupodiarou"/>
          <w:rFonts w:ascii="Times New Roman" w:eastAsia="Calibri" w:hAnsi="Times New Roman" w:cs="Times New Roman"/>
          <w:b/>
          <w:bCs/>
          <w:i/>
          <w:sz w:val="24"/>
          <w:szCs w:val="24"/>
          <w:u w:val="single"/>
        </w:rPr>
        <w:footnoteReference w:id="2"/>
      </w:r>
      <w:r w:rsidRPr="00313721">
        <w:rPr>
          <w:rFonts w:ascii="Times New Roman" w:eastAsia="Calibri" w:hAnsi="Times New Roman" w:cs="Times New Roman"/>
          <w:b/>
          <w:bCs/>
          <w:i/>
          <w:sz w:val="24"/>
          <w:szCs w:val="24"/>
          <w:u w:val="single"/>
        </w:rPr>
        <w:t xml:space="preserve"> </w:t>
      </w:r>
    </w:p>
    <w:p w14:paraId="2457C030" w14:textId="77777777" w:rsidR="00334FB1" w:rsidRPr="00313721" w:rsidRDefault="00334FB1" w:rsidP="00334FB1">
      <w:pPr>
        <w:jc w:val="both"/>
        <w:rPr>
          <w:rFonts w:ascii="Times New Roman" w:eastAsia="Calibri" w:hAnsi="Times New Roman" w:cs="Times New Roman"/>
          <w:bCs/>
          <w:i/>
          <w:iCs/>
          <w:color w:val="000000"/>
          <w:sz w:val="24"/>
          <w:szCs w:val="24"/>
        </w:rPr>
      </w:pPr>
      <w:r w:rsidRPr="00313721">
        <w:rPr>
          <w:rFonts w:ascii="Times New Roman" w:eastAsia="Calibri" w:hAnsi="Times New Roman" w:cs="Times New Roman"/>
          <w:bCs/>
          <w:i/>
          <w:iCs/>
          <w:color w:val="000000"/>
          <w:sz w:val="24"/>
          <w:szCs w:val="24"/>
        </w:rPr>
        <w:t xml:space="preserve">Požadované informácie uveďte osobitne ku každému identifikovanému </w:t>
      </w:r>
      <w:proofErr w:type="spellStart"/>
      <w:r w:rsidRPr="00313721">
        <w:rPr>
          <w:rFonts w:ascii="Times New Roman" w:eastAsia="Calibri" w:hAnsi="Times New Roman" w:cs="Times New Roman"/>
          <w:bCs/>
          <w:i/>
          <w:iCs/>
          <w:color w:val="000000"/>
          <w:sz w:val="24"/>
          <w:szCs w:val="24"/>
        </w:rPr>
        <w:t>goldplatingu</w:t>
      </w:r>
      <w:proofErr w:type="spellEnd"/>
      <w:r w:rsidRPr="00313721">
        <w:rPr>
          <w:rFonts w:ascii="Times New Roman" w:eastAsia="Calibri" w:hAnsi="Times New Roman" w:cs="Times New Roman"/>
          <w:bCs/>
          <w:i/>
          <w:iCs/>
          <w:color w:val="000000"/>
          <w:sz w:val="24"/>
          <w:szCs w:val="24"/>
        </w:rPr>
        <w:t xml:space="preserve"> (ku každej hodnotenej regulácii s </w:t>
      </w:r>
      <w:proofErr w:type="spellStart"/>
      <w:r w:rsidRPr="00313721">
        <w:rPr>
          <w:rFonts w:ascii="Times New Roman" w:eastAsia="Calibri" w:hAnsi="Times New Roman" w:cs="Times New Roman"/>
          <w:bCs/>
          <w:i/>
          <w:iCs/>
          <w:color w:val="000000"/>
          <w:sz w:val="24"/>
          <w:szCs w:val="24"/>
        </w:rPr>
        <w:t>goldplatingom</w:t>
      </w:r>
      <w:proofErr w:type="spellEnd"/>
      <w:r w:rsidRPr="00313721">
        <w:rPr>
          <w:rFonts w:ascii="Times New Roman" w:eastAsia="Calibri" w:hAnsi="Times New Roman" w:cs="Times New Roman"/>
          <w:bCs/>
          <w:i/>
          <w:iCs/>
          <w:color w:val="000000"/>
          <w:sz w:val="24"/>
          <w:szCs w:val="24"/>
        </w:rPr>
        <w:t xml:space="preserve"> osobitne). </w:t>
      </w:r>
    </w:p>
    <w:p w14:paraId="5574B71F" w14:textId="77777777" w:rsidR="00334FB1" w:rsidRPr="00313721" w:rsidRDefault="00334FB1" w:rsidP="00334FB1">
      <w:pPr>
        <w:jc w:val="both"/>
        <w:rPr>
          <w:rFonts w:ascii="Times New Roman" w:eastAsia="Calibri" w:hAnsi="Times New Roman" w:cs="Times New Roman"/>
          <w:bCs/>
          <w:i/>
          <w:iCs/>
          <w:color w:val="000000"/>
          <w:sz w:val="24"/>
          <w:szCs w:val="24"/>
        </w:rPr>
      </w:pPr>
      <w:r w:rsidRPr="00313721">
        <w:rPr>
          <w:rFonts w:ascii="Times New Roman" w:eastAsia="Calibri" w:hAnsi="Times New Roman" w:cs="Times New Roman"/>
          <w:bCs/>
          <w:i/>
          <w:iCs/>
          <w:color w:val="000000"/>
          <w:sz w:val="24"/>
          <w:szCs w:val="24"/>
        </w:rPr>
        <w:t xml:space="preserve">Uveďte odôvodnenie </w:t>
      </w:r>
      <w:proofErr w:type="spellStart"/>
      <w:r w:rsidRPr="00313721">
        <w:rPr>
          <w:rFonts w:ascii="Times New Roman" w:eastAsia="Calibri" w:hAnsi="Times New Roman" w:cs="Times New Roman"/>
          <w:bCs/>
          <w:i/>
          <w:iCs/>
          <w:color w:val="000000"/>
          <w:sz w:val="24"/>
          <w:szCs w:val="24"/>
        </w:rPr>
        <w:t>goldplatingu</w:t>
      </w:r>
      <w:proofErr w:type="spellEnd"/>
      <w:r w:rsidRPr="00313721">
        <w:rPr>
          <w:rFonts w:ascii="Times New Roman" w:eastAsia="Calibri" w:hAnsi="Times New Roman" w:cs="Times New Roman"/>
          <w:bCs/>
          <w:i/>
          <w:iCs/>
          <w:color w:val="000000"/>
          <w:sz w:val="24"/>
          <w:szCs w:val="24"/>
        </w:rPr>
        <w:t xml:space="preserve"> z hľadiska jeho nespochybniteľnej nevyhnutnosti. Odôvodnenie doložte dôkladným hodnotením prínosov a nákladov. Uveďte zvážené alternatívne riešenia..</w:t>
      </w:r>
    </w:p>
    <w:p w14:paraId="79A1F740" w14:textId="77777777" w:rsidR="00334FB1" w:rsidRPr="00313721" w:rsidRDefault="00334FB1" w:rsidP="00334FB1">
      <w:pPr>
        <w:jc w:val="both"/>
        <w:rPr>
          <w:rFonts w:ascii="Times New Roman" w:eastAsia="Calibri" w:hAnsi="Times New Roman" w:cs="Times New Roman"/>
          <w:bCs/>
          <w:i/>
          <w:iCs/>
          <w:color w:val="000000"/>
          <w:sz w:val="24"/>
          <w:szCs w:val="24"/>
        </w:rPr>
      </w:pPr>
      <w:r w:rsidRPr="00313721">
        <w:rPr>
          <w:rFonts w:ascii="Times New Roman" w:eastAsia="Calibri" w:hAnsi="Times New Roman" w:cs="Times New Roman"/>
          <w:bCs/>
          <w:i/>
          <w:iCs/>
          <w:color w:val="000000"/>
          <w:sz w:val="24"/>
          <w:szCs w:val="24"/>
        </w:rPr>
        <w:t xml:space="preserve">Zároveň uveďte konkrétne informácie súvisiace s kategóriou </w:t>
      </w:r>
      <w:proofErr w:type="spellStart"/>
      <w:r w:rsidRPr="00313721">
        <w:rPr>
          <w:rFonts w:ascii="Times New Roman" w:eastAsia="Calibri" w:hAnsi="Times New Roman" w:cs="Times New Roman"/>
          <w:bCs/>
          <w:i/>
          <w:iCs/>
          <w:color w:val="000000"/>
          <w:sz w:val="24"/>
          <w:szCs w:val="24"/>
        </w:rPr>
        <w:t>goldplatingu</w:t>
      </w:r>
      <w:proofErr w:type="spellEnd"/>
      <w:r w:rsidRPr="00313721">
        <w:rPr>
          <w:rFonts w:ascii="Times New Roman" w:eastAsia="Calibri" w:hAnsi="Times New Roman" w:cs="Times New Roman"/>
          <w:bCs/>
          <w:i/>
          <w:iCs/>
          <w:color w:val="000000"/>
          <w:sz w:val="24"/>
          <w:szCs w:val="24"/>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5974E08" w14:textId="77777777" w:rsidR="00334FB1" w:rsidRPr="00313721" w:rsidRDefault="00334FB1" w:rsidP="00334FB1">
      <w:pPr>
        <w:jc w:val="both"/>
        <w:rPr>
          <w:rFonts w:ascii="Times New Roman" w:eastAsia="Calibri" w:hAnsi="Times New Roman" w:cs="Times New Roman"/>
          <w:bCs/>
          <w:i/>
          <w:iCs/>
          <w:sz w:val="24"/>
          <w:szCs w:val="24"/>
        </w:rPr>
      </w:pPr>
      <w:r w:rsidRPr="00313721">
        <w:rPr>
          <w:rFonts w:ascii="Times New Roman" w:eastAsia="Calibri" w:hAnsi="Times New Roman" w:cs="Times New Roman"/>
          <w:bCs/>
          <w:i/>
          <w:iCs/>
          <w:sz w:val="24"/>
          <w:szCs w:val="24"/>
        </w:rPr>
        <w:t xml:space="preserve">Využitie </w:t>
      </w:r>
      <w:proofErr w:type="spellStart"/>
      <w:r w:rsidRPr="00313721">
        <w:rPr>
          <w:rFonts w:ascii="Times New Roman" w:eastAsia="Calibri" w:hAnsi="Times New Roman" w:cs="Times New Roman"/>
          <w:bCs/>
          <w:i/>
          <w:iCs/>
          <w:sz w:val="24"/>
          <w:szCs w:val="24"/>
        </w:rPr>
        <w:t>goldplatingu</w:t>
      </w:r>
      <w:proofErr w:type="spellEnd"/>
      <w:r w:rsidRPr="00313721">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313721">
        <w:rPr>
          <w:rFonts w:ascii="Times New Roman" w:eastAsia="Calibri" w:hAnsi="Times New Roman" w:cs="Times New Roman"/>
          <w:bCs/>
          <w:i/>
          <w:iCs/>
          <w:sz w:val="24"/>
          <w:szCs w:val="24"/>
        </w:rPr>
        <w:t>goldplatingu</w:t>
      </w:r>
      <w:proofErr w:type="spellEnd"/>
      <w:r w:rsidRPr="00313721">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28996572" w14:textId="77777777" w:rsidR="00334FB1" w:rsidRPr="00313721" w:rsidRDefault="00334FB1" w:rsidP="00334FB1">
      <w:pPr>
        <w:jc w:val="both"/>
        <w:rPr>
          <w:rFonts w:ascii="Times New Roman" w:eastAsia="Calibri" w:hAnsi="Times New Roman" w:cs="Times New Roman"/>
          <w:b/>
          <w:sz w:val="24"/>
          <w:szCs w:val="24"/>
        </w:rPr>
      </w:pPr>
    </w:p>
    <w:p w14:paraId="1FD58668" w14:textId="77777777" w:rsidR="00334FB1" w:rsidRPr="00313721" w:rsidRDefault="00334FB1" w:rsidP="00334FB1">
      <w:pPr>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3.2 Vyhodnotenie konzultácií s podnikateľskými subjektmi pred predbežným pripomienkovým konaním</w:t>
      </w:r>
    </w:p>
    <w:p w14:paraId="5D91FBE7"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313721">
        <w:rPr>
          <w:rFonts w:ascii="Times New Roman" w:eastAsia="Calibri" w:hAnsi="Times New Roman" w:cs="Times New Roman"/>
          <w:i/>
          <w:sz w:val="24"/>
          <w:szCs w:val="24"/>
        </w:rPr>
        <w:t>link</w:t>
      </w:r>
      <w:proofErr w:type="spellEnd"/>
      <w:r w:rsidRPr="00313721">
        <w:rPr>
          <w:rFonts w:ascii="Times New Roman" w:eastAsia="Calibri" w:hAnsi="Times New Roman" w:cs="Times New Roman"/>
          <w:i/>
          <w:sz w:val="24"/>
          <w:szCs w:val="24"/>
        </w:rPr>
        <w:t xml:space="preserve"> na webovú stránku, na ktorej boli konzultácie zverejnené. </w:t>
      </w:r>
    </w:p>
    <w:p w14:paraId="4479A8A1"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Uveďte hlavné body konzultácií a ich závery. </w:t>
      </w:r>
    </w:p>
    <w:p w14:paraId="0A470EEB"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3140C75"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32EE276" w14:textId="77777777" w:rsidR="00334FB1" w:rsidRPr="00313721" w:rsidRDefault="00334FB1" w:rsidP="00334FB1">
      <w:pPr>
        <w:spacing w:after="0"/>
        <w:jc w:val="both"/>
        <w:rPr>
          <w:rFonts w:ascii="Times New Roman" w:eastAsia="Calibri" w:hAnsi="Times New Roman" w:cs="Times New Roman"/>
          <w:i/>
          <w:sz w:val="24"/>
          <w:szCs w:val="24"/>
        </w:rPr>
      </w:pPr>
    </w:p>
    <w:p w14:paraId="08B2894F" w14:textId="77777777" w:rsidR="00334FB1" w:rsidRPr="00313721" w:rsidRDefault="00334FB1" w:rsidP="00334FB1">
      <w:pPr>
        <w:spacing w:after="0" w:line="240" w:lineRule="auto"/>
        <w:contextualSpacing/>
        <w:jc w:val="both"/>
        <w:rPr>
          <w:rFonts w:ascii="Times New Roman" w:eastAsiaTheme="minorEastAsia" w:hAnsi="Times New Roman" w:cs="Times New Roman"/>
          <w:color w:val="000000" w:themeColor="text1"/>
          <w:kern w:val="24"/>
          <w:lang w:eastAsia="sk-SK"/>
        </w:rPr>
      </w:pPr>
      <w:r w:rsidRPr="00313721">
        <w:rPr>
          <w:rFonts w:ascii="Times New Roman" w:eastAsiaTheme="minorEastAsia" w:hAnsi="Times New Roman" w:cs="Times New Roman"/>
          <w:color w:val="000000" w:themeColor="text1"/>
          <w:kern w:val="24"/>
          <w:lang w:eastAsia="sk-SK"/>
        </w:rPr>
        <w:t xml:space="preserve">V súlade s Jednotnou metodikou na posudzovanie vybraných vplyvov konzultácie s vybranými podnikateľským subjektami boli súčasťou prípravy predkladaného materiálu pred jeho predložením na predbežné pripomienkové konanie. </w:t>
      </w:r>
    </w:p>
    <w:p w14:paraId="444A5744" w14:textId="77777777" w:rsidR="00334FB1" w:rsidRPr="00313721" w:rsidRDefault="00334FB1" w:rsidP="00334FB1">
      <w:pPr>
        <w:spacing w:after="0" w:line="240" w:lineRule="auto"/>
        <w:contextualSpacing/>
        <w:jc w:val="both"/>
        <w:rPr>
          <w:rFonts w:ascii="Times New Roman" w:eastAsiaTheme="minorEastAsia" w:hAnsi="Times New Roman" w:cs="Times New Roman"/>
          <w:color w:val="000000" w:themeColor="text1"/>
          <w:kern w:val="24"/>
          <w:lang w:eastAsia="sk-SK"/>
        </w:rPr>
      </w:pPr>
    </w:p>
    <w:p w14:paraId="7302B50D" w14:textId="77777777" w:rsidR="00334FB1" w:rsidRPr="00313721" w:rsidRDefault="00334FB1" w:rsidP="00334FB1">
      <w:pPr>
        <w:spacing w:after="0" w:line="240" w:lineRule="auto"/>
        <w:contextualSpacing/>
        <w:jc w:val="both"/>
        <w:rPr>
          <w:rFonts w:ascii="Times New Roman" w:eastAsiaTheme="minorEastAsia" w:hAnsi="Times New Roman" w:cs="Times New Roman"/>
          <w:color w:val="000000" w:themeColor="text1"/>
          <w:kern w:val="24"/>
          <w:lang w:eastAsia="sk-SK"/>
        </w:rPr>
      </w:pPr>
      <w:r w:rsidRPr="00313721">
        <w:rPr>
          <w:rFonts w:ascii="Times New Roman" w:eastAsiaTheme="minorEastAsia" w:hAnsi="Times New Roman" w:cs="Times New Roman"/>
          <w:color w:val="000000" w:themeColor="text1"/>
          <w:kern w:val="24"/>
          <w:lang w:eastAsia="sk-SK"/>
        </w:rPr>
        <w:t>Predkladateľ v nadväznosti na identifikovanie potreby zmien právnej úpravy, ktoré sú predmetom predkladaného materiálu, a to v rozsahu</w:t>
      </w:r>
    </w:p>
    <w:p w14:paraId="49E89C66" w14:textId="77777777" w:rsidR="00334FB1" w:rsidRPr="00313721" w:rsidRDefault="00334FB1" w:rsidP="00334FB1">
      <w:pPr>
        <w:spacing w:after="0" w:line="240" w:lineRule="auto"/>
        <w:contextualSpacing/>
        <w:jc w:val="both"/>
        <w:rPr>
          <w:rFonts w:ascii="Times New Roman" w:eastAsiaTheme="minorEastAsia" w:hAnsi="Times New Roman" w:cs="Times New Roman"/>
          <w:color w:val="000000" w:themeColor="text1"/>
          <w:kern w:val="24"/>
          <w:lang w:eastAsia="sk-SK"/>
        </w:rPr>
      </w:pPr>
      <w:r w:rsidRPr="00313721">
        <w:rPr>
          <w:rFonts w:ascii="Times New Roman" w:eastAsiaTheme="minorEastAsia" w:hAnsi="Times New Roman" w:cs="Times New Roman"/>
          <w:color w:val="000000" w:themeColor="text1"/>
          <w:kern w:val="24"/>
          <w:lang w:eastAsia="sk-SK"/>
        </w:rPr>
        <w:t xml:space="preserve">  </w:t>
      </w:r>
    </w:p>
    <w:p w14:paraId="7BC4C573" w14:textId="77777777" w:rsidR="00334FB1" w:rsidRPr="00313721" w:rsidRDefault="00334FB1" w:rsidP="00334FB1">
      <w:pPr>
        <w:pStyle w:val="Odsekzoznamu"/>
        <w:numPr>
          <w:ilvl w:val="0"/>
          <w:numId w:val="22"/>
        </w:numPr>
        <w:spacing w:after="0" w:line="240" w:lineRule="auto"/>
        <w:jc w:val="both"/>
        <w:rPr>
          <w:rFonts w:ascii="Times New Roman" w:eastAsia="Times New Roman" w:hAnsi="Times New Roman" w:cs="Times New Roman"/>
          <w:lang w:eastAsia="sk-SK"/>
        </w:rPr>
      </w:pPr>
      <w:r w:rsidRPr="00313721">
        <w:rPr>
          <w:rFonts w:ascii="Times New Roman" w:eastAsiaTheme="minorEastAsia" w:hAnsi="Times New Roman" w:cs="Times New Roman"/>
          <w:color w:val="000000" w:themeColor="text1"/>
          <w:kern w:val="24"/>
          <w:lang w:eastAsia="sk-SK"/>
        </w:rPr>
        <w:t xml:space="preserve">novelizácie </w:t>
      </w:r>
      <w:r w:rsidRPr="00313721">
        <w:rPr>
          <w:rFonts w:ascii="Times New Roman" w:eastAsia="Times New Roman" w:hAnsi="Times New Roman" w:cs="Times New Roman"/>
          <w:color w:val="000000" w:themeColor="text1"/>
          <w:kern w:val="24"/>
          <w:lang w:eastAsia="sk-SK"/>
        </w:rPr>
        <w:t>viacerých zákonov v gescii ÚPV SR (patentový zákon, zákon o úžitkových vzoroch, zákon o ochranných známkach, zákon o dizajnoch) najmä v rozsahu</w:t>
      </w:r>
    </w:p>
    <w:p w14:paraId="46D7C929" w14:textId="77777777" w:rsidR="00334FB1" w:rsidRPr="00313721" w:rsidRDefault="00334FB1" w:rsidP="00334FB1">
      <w:pPr>
        <w:numPr>
          <w:ilvl w:val="0"/>
          <w:numId w:val="16"/>
        </w:numPr>
        <w:spacing w:after="0" w:line="240" w:lineRule="auto"/>
        <w:ind w:left="1701"/>
        <w:contextualSpacing/>
        <w:jc w:val="both"/>
        <w:rPr>
          <w:rFonts w:ascii="Times New Roman" w:eastAsia="Times New Roman" w:hAnsi="Times New Roman" w:cs="Times New Roman"/>
          <w:lang w:eastAsia="sk-SK"/>
        </w:rPr>
      </w:pPr>
      <w:r w:rsidRPr="00313721">
        <w:rPr>
          <w:rFonts w:ascii="Times New Roman" w:eastAsia="Times New Roman" w:hAnsi="Times New Roman" w:cs="Times New Roman"/>
          <w:color w:val="000000" w:themeColor="text1"/>
          <w:kern w:val="24"/>
          <w:lang w:eastAsia="sk-SK"/>
        </w:rPr>
        <w:t xml:space="preserve">zavedenia právnej úpravy náhrady trov sporových konaní, ktoré vznikajú účastníkom týchto konaní pred ÚPV SR, </w:t>
      </w:r>
    </w:p>
    <w:p w14:paraId="5F4CF173" w14:textId="77777777" w:rsidR="00334FB1" w:rsidRPr="00313721" w:rsidRDefault="00334FB1" w:rsidP="00334FB1">
      <w:pPr>
        <w:numPr>
          <w:ilvl w:val="0"/>
          <w:numId w:val="16"/>
        </w:numPr>
        <w:spacing w:after="0" w:line="240" w:lineRule="auto"/>
        <w:ind w:left="1701"/>
        <w:contextualSpacing/>
        <w:jc w:val="both"/>
        <w:rPr>
          <w:rFonts w:ascii="Times New Roman" w:eastAsia="Times New Roman" w:hAnsi="Times New Roman" w:cs="Times New Roman"/>
          <w:lang w:eastAsia="sk-SK"/>
        </w:rPr>
      </w:pPr>
      <w:r w:rsidRPr="00313721">
        <w:rPr>
          <w:rFonts w:ascii="Times New Roman" w:eastAsia="Times New Roman" w:hAnsi="Times New Roman" w:cs="Times New Roman"/>
          <w:color w:val="000000" w:themeColor="text1"/>
          <w:kern w:val="24"/>
          <w:lang w:eastAsia="sk-SK"/>
        </w:rPr>
        <w:t xml:space="preserve">zmeny právnej úpravy, ktorých potreba vyplynula z poznatkov získaných z aplikačnej praxe </w:t>
      </w:r>
    </w:p>
    <w:p w14:paraId="25D7B487" w14:textId="77777777" w:rsidR="00334FB1" w:rsidRPr="00313721" w:rsidRDefault="00334FB1" w:rsidP="00334FB1">
      <w:pPr>
        <w:pStyle w:val="Odsekzoznamu"/>
        <w:numPr>
          <w:ilvl w:val="0"/>
          <w:numId w:val="22"/>
        </w:numPr>
        <w:spacing w:after="0" w:line="240" w:lineRule="auto"/>
        <w:jc w:val="both"/>
        <w:rPr>
          <w:rFonts w:ascii="Times New Roman" w:eastAsia="Times New Roman" w:hAnsi="Times New Roman" w:cs="Times New Roman"/>
          <w:lang w:eastAsia="sk-SK"/>
        </w:rPr>
      </w:pPr>
      <w:r w:rsidRPr="00313721">
        <w:rPr>
          <w:rFonts w:ascii="Times New Roman" w:eastAsia="Times New Roman" w:hAnsi="Times New Roman" w:cs="Times New Roman"/>
          <w:color w:val="000000" w:themeColor="text1"/>
          <w:kern w:val="24"/>
          <w:lang w:eastAsia="sk-SK"/>
        </w:rPr>
        <w:t>novelizácie zákona NR SR č. 145/1995 Z. z. o správnych poplatkoch v znení neskorších predpisov; revízia sadzieb správnych poplatkov zahrnutých v Sadzobníku správnych poplatkov v časti XVI. Priemyselné práva a </w:t>
      </w:r>
    </w:p>
    <w:p w14:paraId="5F355A29" w14:textId="77777777" w:rsidR="00334FB1" w:rsidRPr="00313721" w:rsidRDefault="00334FB1" w:rsidP="00334FB1">
      <w:pPr>
        <w:pStyle w:val="Odsekzoznamu"/>
        <w:numPr>
          <w:ilvl w:val="0"/>
          <w:numId w:val="22"/>
        </w:numPr>
        <w:spacing w:after="0" w:line="240" w:lineRule="auto"/>
        <w:jc w:val="both"/>
        <w:rPr>
          <w:rFonts w:ascii="Times New Roman" w:eastAsia="Times New Roman" w:hAnsi="Times New Roman" w:cs="Times New Roman"/>
          <w:lang w:eastAsia="sk-SK"/>
        </w:rPr>
      </w:pPr>
      <w:r w:rsidRPr="00313721">
        <w:rPr>
          <w:rFonts w:ascii="Times New Roman" w:eastAsia="Times New Roman" w:hAnsi="Times New Roman" w:cs="Times New Roman"/>
          <w:color w:val="000000" w:themeColor="text1"/>
          <w:kern w:val="24"/>
          <w:lang w:eastAsia="sk-SK"/>
        </w:rPr>
        <w:t>novelizácie zákona č. 495/2008 Z. z.,</w:t>
      </w:r>
      <w:r w:rsidRPr="00313721">
        <w:rPr>
          <w:rFonts w:ascii="Times New Roman" w:hAnsi="Times New Roman" w:cs="Times New Roman"/>
        </w:rPr>
        <w:t xml:space="preserve">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v časti Sadzobníka udržiavacích poplatkov</w:t>
      </w:r>
    </w:p>
    <w:p w14:paraId="1CD0BCCD" w14:textId="77777777" w:rsidR="00334FB1" w:rsidRPr="00313721" w:rsidRDefault="00334FB1" w:rsidP="00334FB1">
      <w:pPr>
        <w:pStyle w:val="Odsekzoznamu"/>
        <w:spacing w:after="0" w:line="240" w:lineRule="auto"/>
        <w:jc w:val="both"/>
        <w:rPr>
          <w:rFonts w:ascii="Times New Roman" w:eastAsia="Times New Roman" w:hAnsi="Times New Roman" w:cs="Times New Roman"/>
          <w:lang w:eastAsia="sk-SK"/>
        </w:rPr>
      </w:pPr>
    </w:p>
    <w:p w14:paraId="0EE7B927" w14:textId="77777777" w:rsidR="00334FB1" w:rsidRPr="00313721" w:rsidRDefault="00334FB1" w:rsidP="00334FB1">
      <w:pPr>
        <w:spacing w:after="0" w:line="240" w:lineRule="auto"/>
        <w:jc w:val="both"/>
        <w:rPr>
          <w:rFonts w:ascii="Times New Roman" w:eastAsia="Times New Roman" w:hAnsi="Times New Roman" w:cs="Times New Roman"/>
          <w:color w:val="000000" w:themeColor="text1"/>
          <w:kern w:val="24"/>
          <w:lang w:eastAsia="sk-SK"/>
        </w:rPr>
      </w:pPr>
      <w:r w:rsidRPr="00313721">
        <w:rPr>
          <w:rFonts w:ascii="Times New Roman" w:eastAsia="Times New Roman" w:hAnsi="Times New Roman" w:cs="Times New Roman"/>
          <w:color w:val="000000" w:themeColor="text1"/>
          <w:kern w:val="24"/>
          <w:lang w:eastAsia="sk-SK"/>
        </w:rPr>
        <w:t xml:space="preserve">realizoval dôslednú internú analýzu súčasného legislatívneho prostredia a aktuálnych potrieb praxe, v rámci čoho uskutočnil aj podnetné a intenzívne konzultácie a zapojil dotknuté podnikateľské subjekty do procesu tvorby predkladaného materiálu. </w:t>
      </w:r>
    </w:p>
    <w:p w14:paraId="6AB6B4E1" w14:textId="77777777" w:rsidR="00334FB1" w:rsidRPr="00313721" w:rsidRDefault="00334FB1" w:rsidP="00334FB1">
      <w:pPr>
        <w:spacing w:after="0" w:line="240" w:lineRule="auto"/>
        <w:jc w:val="both"/>
        <w:rPr>
          <w:rFonts w:ascii="Times New Roman" w:eastAsia="Times New Roman" w:hAnsi="Times New Roman" w:cs="Times New Roman"/>
          <w:color w:val="000000" w:themeColor="text1"/>
          <w:kern w:val="24"/>
          <w:lang w:eastAsia="sk-SK"/>
        </w:rPr>
      </w:pPr>
    </w:p>
    <w:p w14:paraId="7E45FFEA" w14:textId="77777777" w:rsidR="00334FB1" w:rsidRPr="00313721" w:rsidRDefault="00334FB1" w:rsidP="00334FB1">
      <w:pPr>
        <w:jc w:val="both"/>
        <w:rPr>
          <w:rFonts w:ascii="Times New Roman" w:hAnsi="Times New Roman" w:cs="Times New Roman"/>
        </w:rPr>
      </w:pPr>
      <w:r w:rsidRPr="00313721">
        <w:rPr>
          <w:rFonts w:ascii="Times New Roman" w:eastAsia="Times New Roman" w:hAnsi="Times New Roman" w:cs="Times New Roman"/>
          <w:color w:val="000000" w:themeColor="text1"/>
          <w:kern w:val="24"/>
          <w:lang w:eastAsia="sk-SK"/>
        </w:rPr>
        <w:t xml:space="preserve">V súlade s Plánom legislatívnych úloh vlády SR na rok 2024 bola </w:t>
      </w:r>
      <w:r w:rsidRPr="00313721">
        <w:rPr>
          <w:rFonts w:ascii="Times New Roman" w:hAnsi="Times New Roman" w:cs="Times New Roman"/>
        </w:rPr>
        <w:t xml:space="preserve">dňa 8. apríla 2024 na portáli Slov-Lex zverejnená </w:t>
      </w:r>
      <w:hyperlink r:id="rId14" w:history="1">
        <w:r w:rsidRPr="00313721">
          <w:rPr>
            <w:rStyle w:val="Hypertextovprepojenie"/>
            <w:rFonts w:ascii="Times New Roman" w:hAnsi="Times New Roman" w:cs="Times New Roman"/>
          </w:rPr>
          <w:t>Predbežná informácia</w:t>
        </w:r>
      </w:hyperlink>
      <w:r w:rsidRPr="00313721">
        <w:rPr>
          <w:rFonts w:ascii="Times New Roman" w:hAnsi="Times New Roman" w:cs="Times New Roman"/>
        </w:rPr>
        <w:t xml:space="preserve"> k návrhu zákona, ktorým sa mení a dopĺňa zákon č. 435/2001 Z. z. o patentoch, dodatkových ochranných osvedčeniach a o zmene a doplnení niektorých zákonov (patentový zákon) v znení neskorších predpisov a o zmene a doplnení niektorých zákonov. Podnety k predbežnej informácii bolo možné predložiť predkladateľovi do 26. apríla 2024. V tejto fáze žiadny podnikateľský subjekt nevyužil túto možnosť.</w:t>
      </w:r>
    </w:p>
    <w:p w14:paraId="5E77AE97" w14:textId="77777777" w:rsidR="00334FB1" w:rsidRPr="00313721" w:rsidRDefault="00334FB1" w:rsidP="00334FB1">
      <w:pPr>
        <w:pStyle w:val="Normlnywebov"/>
        <w:jc w:val="both"/>
        <w:rPr>
          <w:sz w:val="22"/>
          <w:szCs w:val="22"/>
        </w:rPr>
      </w:pPr>
      <w:r w:rsidRPr="00313721">
        <w:rPr>
          <w:color w:val="000000" w:themeColor="text1"/>
          <w:kern w:val="24"/>
          <w:sz w:val="22"/>
          <w:szCs w:val="22"/>
        </w:rPr>
        <w:t xml:space="preserve">Následne ÚPV SR na svojom </w:t>
      </w:r>
      <w:hyperlink r:id="rId15" w:history="1">
        <w:r w:rsidRPr="00313721">
          <w:rPr>
            <w:rStyle w:val="Hypertextovprepojenie"/>
            <w:kern w:val="24"/>
            <w:sz w:val="22"/>
            <w:szCs w:val="22"/>
          </w:rPr>
          <w:t>webovom sídle</w:t>
        </w:r>
      </w:hyperlink>
      <w:r w:rsidRPr="00313721">
        <w:rPr>
          <w:color w:val="000000" w:themeColor="text1"/>
          <w:kern w:val="24"/>
          <w:sz w:val="22"/>
          <w:szCs w:val="22"/>
        </w:rPr>
        <w:t xml:space="preserve"> ako aj na </w:t>
      </w:r>
      <w:hyperlink r:id="rId16" w:history="1">
        <w:r w:rsidRPr="00313721">
          <w:rPr>
            <w:rStyle w:val="Hypertextovprepojenie"/>
            <w:kern w:val="24"/>
            <w:sz w:val="22"/>
            <w:szCs w:val="22"/>
          </w:rPr>
          <w:t>stránke MH SR</w:t>
        </w:r>
      </w:hyperlink>
      <w:r w:rsidRPr="00313721">
        <w:rPr>
          <w:color w:val="000000" w:themeColor="text1"/>
          <w:kern w:val="24"/>
          <w:sz w:val="22"/>
          <w:szCs w:val="22"/>
        </w:rPr>
        <w:t xml:space="preserve"> zverejnil oznámenie o konzultáciách s podnikateľskými subjektmi alebo ich zastupiteľskými organizáciami. V zmysle uvedeného oznámenia predkladateľ </w:t>
      </w:r>
      <w:r w:rsidRPr="00313721">
        <w:rPr>
          <w:sz w:val="22"/>
          <w:szCs w:val="22"/>
        </w:rPr>
        <w:t xml:space="preserve">upovedomil podnikateľské subjekty, že problematiku, ktorý je predmetom predkladaného materiálu, môžu dotknuté subjekty s ÚPV SR konzultovať formou elektronickej výmeny informácií alebo online konzultácií od 3. júna 2024 do 30. júna 2024. </w:t>
      </w:r>
    </w:p>
    <w:p w14:paraId="3071B6FD" w14:textId="77777777" w:rsidR="00334FB1" w:rsidRPr="00313721" w:rsidRDefault="00334FB1" w:rsidP="00334FB1">
      <w:pPr>
        <w:pStyle w:val="Normlnywebov"/>
        <w:jc w:val="both"/>
      </w:pPr>
    </w:p>
    <w:p w14:paraId="1585E37A" w14:textId="77777777" w:rsidR="00334FB1" w:rsidRPr="00313721" w:rsidRDefault="00334FB1" w:rsidP="00334FB1">
      <w:pPr>
        <w:pStyle w:val="Normlnywebov"/>
        <w:jc w:val="both"/>
        <w:rPr>
          <w:sz w:val="22"/>
          <w:szCs w:val="22"/>
        </w:rPr>
      </w:pPr>
      <w:r w:rsidRPr="00313721">
        <w:rPr>
          <w:sz w:val="22"/>
          <w:szCs w:val="22"/>
        </w:rPr>
        <w:lastRenderedPageBreak/>
        <w:t xml:space="preserve">V rámci uvedeného obdobia sa uskutočnili dve online konzultácie, a to 7. júna 2024 a 24. júna 2024. Online konzultácií sa zúčastnili viacerí zástupcovia dotknutých podnikateľských subjektov, konkrétne zástupcovia resp. členovia Slovenskej komory patentových zástupcov a Slovenskej advokátskej komory, a zástupca MH SR. V rámci online konzultácií predkladateľ zástupcom podnikateľských subjektov formou prezentácie predstavil predkladaný návrh materiálu v rozsahu základného zámeru ako aj jednotlivých okruhov, ktoré budú novelizáciou právnych predpisov dotknuté. </w:t>
      </w:r>
    </w:p>
    <w:p w14:paraId="4C747172" w14:textId="77777777" w:rsidR="00334FB1" w:rsidRPr="00313721" w:rsidRDefault="00334FB1" w:rsidP="00334FB1">
      <w:pPr>
        <w:pStyle w:val="Normlnywebov"/>
        <w:jc w:val="both"/>
        <w:rPr>
          <w:sz w:val="22"/>
          <w:szCs w:val="22"/>
        </w:rPr>
      </w:pPr>
    </w:p>
    <w:p w14:paraId="2A31101C" w14:textId="77777777" w:rsidR="00334FB1" w:rsidRPr="00313721" w:rsidRDefault="00334FB1" w:rsidP="00334FB1">
      <w:pPr>
        <w:jc w:val="both"/>
        <w:rPr>
          <w:rFonts w:ascii="Times New Roman" w:hAnsi="Times New Roman" w:cs="Times New Roman"/>
        </w:rPr>
      </w:pPr>
      <w:r w:rsidRPr="00313721">
        <w:rPr>
          <w:rFonts w:ascii="Times New Roman" w:hAnsi="Times New Roman" w:cs="Times New Roman"/>
        </w:rPr>
        <w:t xml:space="preserve">Zúčastnení zástupcovia podnikateľských subjektov v priebehu online verejných konzultácii ako ani v rámci celého obdobia verejných konzultácií neuplatnili žiadne zásadné výhrady k prezentovaným návrhom na novelizáciu relevantných právnych predpisov. Obidve online konzultácie prebiehali za aktívnej participácie zúčastnených strán, pričom forma ako aj samotný priebeh vedenia online konzultácií zo strany ÚPV SR a možnosť zapojenia sa do procesu tvorby novelizácie právnych predpisov v rozsahu predkladaného materiálu boli zástupcami podnikateľských subjektov označený za veľmi prínosné.  </w:t>
      </w:r>
    </w:p>
    <w:p w14:paraId="3743D904" w14:textId="77777777" w:rsidR="00334FB1" w:rsidRPr="00313721" w:rsidRDefault="00334FB1" w:rsidP="00334FB1">
      <w:pPr>
        <w:jc w:val="both"/>
        <w:rPr>
          <w:rFonts w:ascii="Times New Roman" w:eastAsia="Calibri" w:hAnsi="Times New Roman" w:cs="Times New Roman"/>
          <w:i/>
        </w:rPr>
      </w:pPr>
      <w:r w:rsidRPr="00313721">
        <w:rPr>
          <w:rFonts w:ascii="Times New Roman" w:hAnsi="Times New Roman" w:cs="Times New Roman"/>
        </w:rPr>
        <w:t xml:space="preserve">Možno zhrnúť, že ako predkladateľ tak aj zúčastnení zástupcovia podnikateľského prostredia vyhodnotili online konzultácie ako významný a efektívny nástroj spoluúčasti na tvorbe legislatívneho rámca prípravy legislatívneho návrhu a prispeli k lepšiemu vnímaniu potrieb na strane podnikateľskej verejnosti  ako aj zámerov a dôvodov pre inicializáciu legislatívneho procesu zo strany predkladateľa. </w:t>
      </w:r>
    </w:p>
    <w:p w14:paraId="40E935EF" w14:textId="77777777" w:rsidR="00334FB1" w:rsidRPr="00313721" w:rsidRDefault="00334FB1" w:rsidP="00334FB1">
      <w:pPr>
        <w:spacing w:after="0"/>
        <w:jc w:val="both"/>
        <w:rPr>
          <w:rFonts w:ascii="Times New Roman" w:eastAsia="Calibri" w:hAnsi="Times New Roman" w:cs="Times New Roman"/>
          <w:i/>
          <w:sz w:val="24"/>
          <w:szCs w:val="24"/>
        </w:rPr>
      </w:pPr>
    </w:p>
    <w:p w14:paraId="4DC6F69A" w14:textId="77777777" w:rsidR="00334FB1" w:rsidRPr="00313721" w:rsidRDefault="00334FB1" w:rsidP="00334FB1">
      <w:pPr>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3.3 Vplyvy na konkurencieschopnosť a produktivitu</w:t>
      </w:r>
    </w:p>
    <w:p w14:paraId="64EF578C"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Dochádza k vytvoreniu resp. k zmene bariér na trhu? </w:t>
      </w:r>
    </w:p>
    <w:p w14:paraId="4CFE7B63"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313721">
        <w:rPr>
          <w:rFonts w:ascii="Times New Roman" w:eastAsia="Calibri" w:hAnsi="Times New Roman" w:cs="Times New Roman"/>
          <w:i/>
          <w:sz w:val="24"/>
          <w:szCs w:val="24"/>
        </w:rPr>
        <w:t>mikro</w:t>
      </w:r>
      <w:proofErr w:type="spellEnd"/>
      <w:r w:rsidRPr="00313721">
        <w:rPr>
          <w:rFonts w:ascii="Times New Roman" w:eastAsia="Calibri" w:hAnsi="Times New Roman" w:cs="Times New Roman"/>
          <w:i/>
          <w:sz w:val="24"/>
          <w:szCs w:val="24"/>
        </w:rPr>
        <w:t xml:space="preserve">, malé a stredné podniky tzv. MSP)? </w:t>
      </w:r>
    </w:p>
    <w:p w14:paraId="59D06386"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2A86EE5D"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Ovplyvní dostupnosť základných zdrojov (financie, pracovná sila, suroviny, mechanizmy, energie atď.)? </w:t>
      </w:r>
    </w:p>
    <w:p w14:paraId="157321BB"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Ovplyvňuje zmena regulácie inovácie, vedu a výskum?</w:t>
      </w:r>
    </w:p>
    <w:p w14:paraId="7CE1C265"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Ak bol identifikovaný </w:t>
      </w:r>
      <w:proofErr w:type="spellStart"/>
      <w:r w:rsidRPr="00313721">
        <w:rPr>
          <w:rFonts w:ascii="Times New Roman" w:eastAsia="Calibri" w:hAnsi="Times New Roman" w:cs="Times New Roman"/>
          <w:i/>
          <w:sz w:val="24"/>
          <w:szCs w:val="24"/>
        </w:rPr>
        <w:t>goldplating</w:t>
      </w:r>
      <w:proofErr w:type="spellEnd"/>
      <w:r w:rsidRPr="00313721">
        <w:rPr>
          <w:rFonts w:ascii="Times New Roman" w:eastAsia="Calibri" w:hAnsi="Times New Roman" w:cs="Times New Roman"/>
          <w:i/>
          <w:sz w:val="24"/>
          <w:szCs w:val="24"/>
        </w:rPr>
        <w:t>, prispieva k zníženiu konkurencieschopnosti a produktivity? Akým spôsobom?</w:t>
      </w:r>
    </w:p>
    <w:p w14:paraId="7BEB971F"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81178F9" w14:textId="77777777" w:rsidR="00334FB1" w:rsidRPr="00313721" w:rsidRDefault="00334FB1" w:rsidP="00334FB1">
      <w:pPr>
        <w:spacing w:after="0"/>
        <w:jc w:val="both"/>
        <w:rPr>
          <w:rFonts w:ascii="Times New Roman" w:eastAsia="Calibri" w:hAnsi="Times New Roman" w:cs="Times New Roman"/>
          <w:i/>
          <w:sz w:val="24"/>
          <w:szCs w:val="24"/>
        </w:rPr>
      </w:pPr>
    </w:p>
    <w:p w14:paraId="715AB3E8" w14:textId="77777777" w:rsidR="00334FB1" w:rsidRPr="00313721" w:rsidRDefault="00334FB1" w:rsidP="00334FB1">
      <w:pPr>
        <w:spacing w:after="0"/>
        <w:jc w:val="both"/>
        <w:rPr>
          <w:rFonts w:ascii="Times New Roman" w:eastAsia="Calibri" w:hAnsi="Times New Roman" w:cs="Times New Roman"/>
          <w:b/>
          <w:i/>
          <w:sz w:val="24"/>
          <w:szCs w:val="24"/>
        </w:rPr>
      </w:pPr>
      <w:r w:rsidRPr="00313721">
        <w:rPr>
          <w:rFonts w:ascii="Times New Roman" w:eastAsia="Calibri" w:hAnsi="Times New Roman" w:cs="Times New Roman"/>
          <w:b/>
          <w:i/>
          <w:sz w:val="24"/>
          <w:szCs w:val="24"/>
        </w:rPr>
        <w:t>Konkurencieschopnosť:</w:t>
      </w:r>
    </w:p>
    <w:p w14:paraId="3FB4C81D"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Na základe uvedených odpovedí zaškrtnite a popíšte, či materiál konkurencieschopnosť:</w:t>
      </w:r>
    </w:p>
    <w:p w14:paraId="540EFA08" w14:textId="13D21BBC" w:rsidR="001E0E6B" w:rsidRPr="00313721" w:rsidRDefault="004C313F" w:rsidP="001E0E6B">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96640793"/>
        </w:sdtPr>
        <w:sdtEndPr/>
        <w:sdtContent>
          <w:sdt>
            <w:sdtPr>
              <w:rPr>
                <w:rFonts w:ascii="Times New Roman" w:eastAsia="Calibri" w:hAnsi="Times New Roman" w:cs="Times New Roman"/>
                <w:i/>
                <w:sz w:val="24"/>
                <w:szCs w:val="24"/>
              </w:rPr>
              <w:id w:val="-810086946"/>
            </w:sdtPr>
            <w:sdtEndPr/>
            <w:sdtContent>
              <w:r w:rsidR="001E0E6B" w:rsidRPr="00313721">
                <w:rPr>
                  <w:rFonts w:ascii="Segoe UI Symbol" w:eastAsia="Calibri" w:hAnsi="Segoe UI Symbol" w:cs="Segoe UI Symbol"/>
                  <w:i/>
                  <w:sz w:val="24"/>
                  <w:szCs w:val="24"/>
                </w:rPr>
                <w:t>x</w:t>
              </w:r>
            </w:sdtContent>
          </w:sdt>
        </w:sdtContent>
      </w:sdt>
      <w:r w:rsidR="001E0E6B" w:rsidRPr="00313721">
        <w:rPr>
          <w:rFonts w:ascii="Times New Roman" w:eastAsia="Calibri" w:hAnsi="Times New Roman" w:cs="Times New Roman"/>
          <w:i/>
          <w:sz w:val="24"/>
          <w:szCs w:val="24"/>
        </w:rPr>
        <w:t xml:space="preserve"> zvyšuje  </w:t>
      </w:r>
      <w:r w:rsidR="001E0E6B" w:rsidRPr="00313721">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117028864"/>
        </w:sdtPr>
        <w:sdtEndPr/>
        <w:sdtContent>
          <w:sdt>
            <w:sdtPr>
              <w:rPr>
                <w:rFonts w:ascii="Times New Roman" w:eastAsia="Calibri" w:hAnsi="Times New Roman" w:cs="Times New Roman"/>
                <w:i/>
                <w:sz w:val="24"/>
                <w:szCs w:val="24"/>
              </w:rPr>
              <w:id w:val="-1627925008"/>
            </w:sdtPr>
            <w:sdtEndPr/>
            <w:sdtContent>
              <w:sdt>
                <w:sdtPr>
                  <w:rPr>
                    <w:rFonts w:ascii="Times New Roman" w:eastAsia="Calibri" w:hAnsi="Times New Roman" w:cs="Times New Roman"/>
                    <w:i/>
                    <w:sz w:val="24"/>
                    <w:szCs w:val="24"/>
                  </w:rPr>
                  <w:id w:val="-1247724589"/>
                </w:sdtPr>
                <w:sdtEndPr/>
                <w:sdtContent>
                  <w:sdt>
                    <w:sdtPr>
                      <w:rPr>
                        <w:rFonts w:ascii="Times New Roman" w:eastAsia="Calibri" w:hAnsi="Times New Roman" w:cs="Times New Roman"/>
                        <w:i/>
                        <w:sz w:val="24"/>
                        <w:szCs w:val="24"/>
                      </w:rPr>
                      <w:id w:val="1521119170"/>
                    </w:sdtPr>
                    <w:sdtEndPr/>
                    <w:sdtContent>
                      <w:r w:rsidR="001E0E6B" w:rsidRPr="00313721">
                        <w:rPr>
                          <w:rFonts w:ascii="Segoe UI Symbol" w:eastAsia="Calibri" w:hAnsi="Segoe UI Symbol" w:cs="Segoe UI Symbol"/>
                          <w:i/>
                          <w:sz w:val="24"/>
                          <w:szCs w:val="24"/>
                        </w:rPr>
                        <w:t>☐</w:t>
                      </w:r>
                    </w:sdtContent>
                  </w:sdt>
                </w:sdtContent>
              </w:sdt>
            </w:sdtContent>
          </w:sdt>
        </w:sdtContent>
      </w:sdt>
      <w:r w:rsidR="001E0E6B" w:rsidRPr="00313721">
        <w:rPr>
          <w:rFonts w:ascii="Times New Roman" w:eastAsia="Calibri" w:hAnsi="Times New Roman" w:cs="Times New Roman"/>
          <w:i/>
          <w:sz w:val="24"/>
          <w:szCs w:val="24"/>
        </w:rPr>
        <w:t xml:space="preserve"> nemení</w:t>
      </w:r>
      <w:r w:rsidR="001E0E6B" w:rsidRPr="00313721">
        <w:rPr>
          <w:rFonts w:ascii="Times New Roman" w:eastAsia="Calibri" w:hAnsi="Times New Roman" w:cs="Times New Roman"/>
          <w:i/>
          <w:sz w:val="24"/>
          <w:szCs w:val="24"/>
        </w:rPr>
        <w:tab/>
      </w:r>
      <w:sdt>
        <w:sdtPr>
          <w:rPr>
            <w:rFonts w:ascii="Times New Roman" w:eastAsia="Calibri" w:hAnsi="Times New Roman" w:cs="Times New Roman"/>
            <w:i/>
            <w:sz w:val="24"/>
            <w:szCs w:val="24"/>
          </w:rPr>
          <w:id w:val="-791736826"/>
        </w:sdtPr>
        <w:sdtEndPr/>
        <w:sdtContent>
          <w:sdt>
            <w:sdtPr>
              <w:rPr>
                <w:rFonts w:ascii="Times New Roman" w:eastAsia="Calibri" w:hAnsi="Times New Roman" w:cs="Times New Roman"/>
                <w:i/>
                <w:sz w:val="24"/>
                <w:szCs w:val="24"/>
              </w:rPr>
              <w:id w:val="1059596227"/>
            </w:sdtPr>
            <w:sdtEndPr/>
            <w:sdtContent>
              <w:r w:rsidR="00822BCC" w:rsidRPr="00313721">
                <w:rPr>
                  <w:rFonts w:ascii="Times New Roman" w:eastAsia="Calibri" w:hAnsi="Times New Roman" w:cs="Times New Roman"/>
                  <w:i/>
                  <w:sz w:val="24"/>
                  <w:szCs w:val="24"/>
                </w:rPr>
                <w:t>x</w:t>
              </w:r>
            </w:sdtContent>
          </w:sdt>
        </w:sdtContent>
      </w:sdt>
      <w:r w:rsidR="001E0E6B" w:rsidRPr="00313721">
        <w:rPr>
          <w:rFonts w:ascii="Times New Roman" w:eastAsia="Calibri" w:hAnsi="Times New Roman" w:cs="Times New Roman"/>
          <w:i/>
          <w:sz w:val="24"/>
          <w:szCs w:val="24"/>
        </w:rPr>
        <w:t xml:space="preserve"> znižuje</w:t>
      </w:r>
    </w:p>
    <w:p w14:paraId="302BFFE5" w14:textId="77777777" w:rsidR="00334FB1" w:rsidRPr="00313721" w:rsidRDefault="00334FB1" w:rsidP="00334FB1">
      <w:pPr>
        <w:spacing w:after="0"/>
        <w:jc w:val="both"/>
        <w:rPr>
          <w:rFonts w:ascii="Times New Roman" w:eastAsia="Calibri" w:hAnsi="Times New Roman" w:cs="Times New Roman"/>
          <w:i/>
          <w:sz w:val="24"/>
          <w:szCs w:val="24"/>
        </w:rPr>
      </w:pPr>
    </w:p>
    <w:p w14:paraId="2304CFAE" w14:textId="77777777" w:rsidR="00334FB1" w:rsidRPr="00313721" w:rsidRDefault="00334FB1" w:rsidP="00334FB1">
      <w:pPr>
        <w:spacing w:after="0"/>
        <w:jc w:val="both"/>
        <w:rPr>
          <w:rFonts w:ascii="Times New Roman" w:eastAsia="Calibri" w:hAnsi="Times New Roman" w:cs="Times New Roman"/>
          <w:b/>
          <w:i/>
          <w:sz w:val="24"/>
          <w:szCs w:val="24"/>
        </w:rPr>
      </w:pPr>
      <w:r w:rsidRPr="00313721">
        <w:rPr>
          <w:rFonts w:ascii="Times New Roman" w:eastAsia="Calibri" w:hAnsi="Times New Roman" w:cs="Times New Roman"/>
          <w:b/>
          <w:i/>
          <w:sz w:val="24"/>
          <w:szCs w:val="24"/>
        </w:rPr>
        <w:t>Produktivita:</w:t>
      </w:r>
    </w:p>
    <w:p w14:paraId="0AA017BD"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Aký má materiál vplyv na zmenu pomeru medzi produkciou podnikov a ich nákladmi? </w:t>
      </w:r>
    </w:p>
    <w:p w14:paraId="3ABB52C0" w14:textId="77777777" w:rsidR="00334FB1" w:rsidRPr="00313721" w:rsidRDefault="00334FB1" w:rsidP="00334FB1">
      <w:pPr>
        <w:spacing w:after="0"/>
        <w:jc w:val="both"/>
        <w:rPr>
          <w:rFonts w:ascii="Times New Roman" w:eastAsia="Calibri" w:hAnsi="Times New Roman" w:cs="Times New Roman"/>
          <w:i/>
          <w:sz w:val="24"/>
          <w:szCs w:val="24"/>
        </w:rPr>
      </w:pPr>
    </w:p>
    <w:p w14:paraId="3F626638"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Na základe uvedenej odpovede zaškrtnite a popíšte, či materiál produktivitu:</w:t>
      </w:r>
    </w:p>
    <w:p w14:paraId="3CF83D59" w14:textId="73DC55EF" w:rsidR="00334FB1" w:rsidRPr="00313721" w:rsidRDefault="004C313F" w:rsidP="00334FB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83959911"/>
        </w:sdtPr>
        <w:sdtEndPr/>
        <w:sdtContent>
          <w:sdt>
            <w:sdtPr>
              <w:rPr>
                <w:rFonts w:ascii="Times New Roman" w:eastAsia="Calibri" w:hAnsi="Times New Roman" w:cs="Times New Roman"/>
                <w:i/>
                <w:sz w:val="24"/>
                <w:szCs w:val="24"/>
              </w:rPr>
              <w:id w:val="358559887"/>
            </w:sdtPr>
            <w:sdtEndPr/>
            <w:sdtContent>
              <w:r w:rsidR="00C01019" w:rsidRPr="00313721">
                <w:rPr>
                  <w:rFonts w:ascii="Segoe UI Symbol" w:eastAsia="Calibri" w:hAnsi="Segoe UI Symbol" w:cs="Segoe UI Symbol"/>
                  <w:i/>
                  <w:sz w:val="24"/>
                  <w:szCs w:val="24"/>
                </w:rPr>
                <w:t>x</w:t>
              </w:r>
            </w:sdtContent>
          </w:sdt>
        </w:sdtContent>
      </w:sdt>
      <w:r w:rsidR="00334FB1" w:rsidRPr="00313721">
        <w:rPr>
          <w:rFonts w:ascii="Times New Roman" w:eastAsia="Calibri" w:hAnsi="Times New Roman" w:cs="Times New Roman"/>
          <w:i/>
          <w:sz w:val="24"/>
          <w:szCs w:val="24"/>
        </w:rPr>
        <w:t xml:space="preserve"> zvyšuje  </w:t>
      </w:r>
      <w:r w:rsidR="00334FB1" w:rsidRPr="00313721">
        <w:rPr>
          <w:rFonts w:ascii="Times New Roman" w:eastAsia="Calibri" w:hAnsi="Times New Roman" w:cs="Times New Roman"/>
          <w:i/>
          <w:sz w:val="24"/>
          <w:szCs w:val="24"/>
        </w:rPr>
        <w:tab/>
      </w:r>
      <w:sdt>
        <w:sdtPr>
          <w:rPr>
            <w:rFonts w:ascii="Times New Roman" w:eastAsia="Calibri" w:hAnsi="Times New Roman" w:cs="Times New Roman"/>
            <w:i/>
            <w:sz w:val="24"/>
            <w:szCs w:val="24"/>
          </w:rPr>
          <w:id w:val="671140180"/>
        </w:sdtPr>
        <w:sdtEndPr/>
        <w:sdtContent>
          <w:sdt>
            <w:sdtPr>
              <w:rPr>
                <w:rFonts w:ascii="Times New Roman" w:eastAsia="Calibri" w:hAnsi="Times New Roman" w:cs="Times New Roman"/>
                <w:i/>
                <w:sz w:val="24"/>
                <w:szCs w:val="24"/>
              </w:rPr>
              <w:id w:val="146947677"/>
            </w:sdtPr>
            <w:sdtEndPr/>
            <w:sdtContent>
              <w:sdt>
                <w:sdtPr>
                  <w:rPr>
                    <w:rFonts w:ascii="Times New Roman" w:eastAsia="Calibri" w:hAnsi="Times New Roman" w:cs="Times New Roman"/>
                    <w:i/>
                    <w:sz w:val="24"/>
                    <w:szCs w:val="24"/>
                  </w:rPr>
                  <w:id w:val="1254560521"/>
                </w:sdtPr>
                <w:sdtEndPr/>
                <w:sdtContent>
                  <w:sdt>
                    <w:sdtPr>
                      <w:rPr>
                        <w:rFonts w:ascii="Times New Roman" w:eastAsia="Calibri" w:hAnsi="Times New Roman" w:cs="Times New Roman"/>
                        <w:i/>
                        <w:sz w:val="24"/>
                        <w:szCs w:val="24"/>
                      </w:rPr>
                      <w:id w:val="-1651360959"/>
                    </w:sdtPr>
                    <w:sdtEndPr/>
                    <w:sdtContent>
                      <w:r w:rsidR="00C01019" w:rsidRPr="00313721">
                        <w:rPr>
                          <w:rFonts w:ascii="Segoe UI Symbol" w:eastAsia="Calibri" w:hAnsi="Segoe UI Symbol" w:cs="Segoe UI Symbol"/>
                          <w:i/>
                          <w:sz w:val="24"/>
                          <w:szCs w:val="24"/>
                        </w:rPr>
                        <w:t>☐</w:t>
                      </w:r>
                    </w:sdtContent>
                  </w:sdt>
                </w:sdtContent>
              </w:sdt>
            </w:sdtContent>
          </w:sdt>
        </w:sdtContent>
      </w:sdt>
      <w:r w:rsidR="00334FB1" w:rsidRPr="00313721">
        <w:rPr>
          <w:rFonts w:ascii="Times New Roman" w:eastAsia="Calibri" w:hAnsi="Times New Roman" w:cs="Times New Roman"/>
          <w:i/>
          <w:sz w:val="24"/>
          <w:szCs w:val="24"/>
        </w:rPr>
        <w:t xml:space="preserve"> nemení</w:t>
      </w:r>
      <w:r w:rsidR="00334FB1" w:rsidRPr="00313721">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198618069"/>
        </w:sdtPr>
        <w:sdtEndPr/>
        <w:sdtContent>
          <w:sdt>
            <w:sdtPr>
              <w:rPr>
                <w:rFonts w:ascii="Times New Roman" w:eastAsia="Calibri" w:hAnsi="Times New Roman" w:cs="Times New Roman"/>
                <w:i/>
                <w:sz w:val="24"/>
                <w:szCs w:val="24"/>
              </w:rPr>
              <w:id w:val="30082752"/>
            </w:sdtPr>
            <w:sdtEndPr/>
            <w:sdtContent>
              <w:r w:rsidR="00EC5932" w:rsidRPr="00313721">
                <w:rPr>
                  <w:rFonts w:ascii="Segoe UI Symbol" w:eastAsia="Calibri" w:hAnsi="Segoe UI Symbol" w:cs="Segoe UI Symbol"/>
                  <w:i/>
                  <w:sz w:val="24"/>
                  <w:szCs w:val="24"/>
                </w:rPr>
                <w:t>x</w:t>
              </w:r>
            </w:sdtContent>
          </w:sdt>
        </w:sdtContent>
      </w:sdt>
      <w:r w:rsidR="00334FB1" w:rsidRPr="00313721">
        <w:rPr>
          <w:rFonts w:ascii="Times New Roman" w:eastAsia="Calibri" w:hAnsi="Times New Roman" w:cs="Times New Roman"/>
          <w:i/>
          <w:sz w:val="24"/>
          <w:szCs w:val="24"/>
        </w:rPr>
        <w:t xml:space="preserve"> znižuje</w:t>
      </w:r>
    </w:p>
    <w:p w14:paraId="1A56525B" w14:textId="77777777" w:rsidR="00334FB1" w:rsidRPr="00313721" w:rsidRDefault="00334FB1" w:rsidP="00334FB1">
      <w:pPr>
        <w:spacing w:after="0"/>
        <w:jc w:val="both"/>
        <w:rPr>
          <w:rFonts w:ascii="Times New Roman" w:eastAsia="Calibri" w:hAnsi="Times New Roman" w:cs="Times New Roman"/>
          <w:i/>
          <w:sz w:val="24"/>
          <w:szCs w:val="24"/>
        </w:rPr>
      </w:pPr>
    </w:p>
    <w:p w14:paraId="7CA22A6C" w14:textId="77777777" w:rsidR="00334FB1" w:rsidRPr="00313721" w:rsidRDefault="00334FB1" w:rsidP="00334FB1">
      <w:pPr>
        <w:spacing w:after="0"/>
        <w:jc w:val="both"/>
        <w:rPr>
          <w:rFonts w:ascii="Times New Roman" w:hAnsi="Times New Roman" w:cs="Times New Roman"/>
        </w:rPr>
      </w:pPr>
      <w:r w:rsidRPr="00313721">
        <w:rPr>
          <w:rFonts w:ascii="Times New Roman" w:hAnsi="Times New Roman" w:cs="Times New Roman"/>
        </w:rPr>
        <w:t xml:space="preserve">Predkladaný návrh zákona nevytvára žiadne bariéry pre vstup na trh, nezvýhodňuje žiadne skupiny podnikov a nemá vplyv na cenu a dostupnosť základných zdrojov. </w:t>
      </w:r>
    </w:p>
    <w:p w14:paraId="7442685E" w14:textId="77777777" w:rsidR="00334FB1" w:rsidRPr="00313721" w:rsidRDefault="00334FB1" w:rsidP="00334FB1">
      <w:pPr>
        <w:spacing w:after="0"/>
        <w:jc w:val="both"/>
        <w:rPr>
          <w:rFonts w:ascii="Times New Roman" w:hAnsi="Times New Roman" w:cs="Times New Roman"/>
        </w:rPr>
      </w:pPr>
    </w:p>
    <w:p w14:paraId="5BECE025" w14:textId="77777777" w:rsidR="00822BCC" w:rsidRPr="00313721" w:rsidRDefault="00334FB1" w:rsidP="00334FB1">
      <w:pPr>
        <w:jc w:val="both"/>
        <w:rPr>
          <w:rFonts w:ascii="Times New Roman" w:hAnsi="Times New Roman" w:cs="Times New Roman"/>
        </w:rPr>
      </w:pPr>
      <w:r w:rsidRPr="00313721">
        <w:rPr>
          <w:rFonts w:ascii="Times New Roman" w:hAnsi="Times New Roman" w:cs="Times New Roman"/>
        </w:rPr>
        <w:lastRenderedPageBreak/>
        <w:t xml:space="preserve">V súvislosti s predkladaným návrhom je možné konštatovať, že zvýšená miera elektronizácie výstupov poskytovaných zo strany ÚPV SR spočívajúcich vo vydávaní dokladov o práve prednosti, resp. osvedčení o zápise či patentovej listiny v elektronickej podobe ako aj možnosť zaradenia dokladu o práve prednosti do systému DAS – elektronického úložiska dokladov predstavuje pozitívny vplyv na inovácie formou skvalitnenia služieb úradu v intenciách trhových požiadaviek reprezentovaných používateľmi systému ochrany priemyselných práv. </w:t>
      </w:r>
    </w:p>
    <w:p w14:paraId="32AAD729" w14:textId="1C612363" w:rsidR="00334FB1" w:rsidRPr="00313721" w:rsidRDefault="00822BCC" w:rsidP="00334FB1">
      <w:pPr>
        <w:jc w:val="both"/>
        <w:rPr>
          <w:rFonts w:ascii="Times New Roman" w:hAnsi="Times New Roman" w:cs="Times New Roman"/>
        </w:rPr>
      </w:pPr>
      <w:r w:rsidRPr="00313721">
        <w:rPr>
          <w:rFonts w:ascii="Times New Roman" w:hAnsi="Times New Roman" w:cs="Times New Roman"/>
        </w:rPr>
        <w:t xml:space="preserve">Zníženie konkurencie schopnosti a produktivity na základe predkladaného materiálu </w:t>
      </w:r>
      <w:r w:rsidR="00EC5932" w:rsidRPr="00313721">
        <w:rPr>
          <w:rFonts w:ascii="Times New Roman" w:hAnsi="Times New Roman" w:cs="Times New Roman"/>
        </w:rPr>
        <w:t xml:space="preserve">vyplýva z navrhovaného zvýšenia sadzieb správnych a udržiavacích poplatkov čo zakladá záťaž na podnikateľské prostredie. </w:t>
      </w:r>
      <w:r w:rsidR="00334FB1" w:rsidRPr="00313721">
        <w:rPr>
          <w:rFonts w:ascii="Times New Roman" w:hAnsi="Times New Roman" w:cs="Times New Roman"/>
        </w:rPr>
        <w:t xml:space="preserve">   </w:t>
      </w:r>
    </w:p>
    <w:p w14:paraId="5F0D00DB" w14:textId="77777777" w:rsidR="00334FB1" w:rsidRPr="00313721" w:rsidRDefault="00334FB1" w:rsidP="00334FB1">
      <w:pPr>
        <w:spacing w:after="0"/>
        <w:jc w:val="both"/>
        <w:rPr>
          <w:rFonts w:ascii="Times New Roman" w:eastAsia="Calibri" w:hAnsi="Times New Roman" w:cs="Times New Roman"/>
          <w:i/>
          <w:sz w:val="24"/>
          <w:szCs w:val="24"/>
        </w:rPr>
      </w:pPr>
    </w:p>
    <w:p w14:paraId="10E6BDE8" w14:textId="77777777" w:rsidR="00334FB1" w:rsidRPr="00313721" w:rsidRDefault="00334FB1" w:rsidP="00334FB1">
      <w:pPr>
        <w:jc w:val="both"/>
        <w:rPr>
          <w:rFonts w:ascii="Times New Roman" w:eastAsia="Calibri" w:hAnsi="Times New Roman" w:cs="Times New Roman"/>
          <w:b/>
          <w:sz w:val="24"/>
          <w:szCs w:val="24"/>
        </w:rPr>
      </w:pPr>
      <w:r w:rsidRPr="00313721">
        <w:rPr>
          <w:rFonts w:ascii="Times New Roman" w:eastAsia="Calibri" w:hAnsi="Times New Roman" w:cs="Times New Roman"/>
          <w:b/>
          <w:sz w:val="24"/>
          <w:szCs w:val="24"/>
        </w:rPr>
        <w:t xml:space="preserve">3.4  Iné vplyvy na podnikateľské prostredie </w:t>
      </w:r>
    </w:p>
    <w:p w14:paraId="7F1039C8" w14:textId="77777777" w:rsidR="00334FB1" w:rsidRPr="00313721" w:rsidRDefault="00334FB1" w:rsidP="00334FB1">
      <w:pPr>
        <w:spacing w:after="0"/>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2C8598F4" w14:textId="77777777" w:rsidR="00334FB1" w:rsidRPr="00313721" w:rsidRDefault="00334FB1" w:rsidP="00334FB1">
      <w:pPr>
        <w:pStyle w:val="Odsekzoznamu"/>
        <w:numPr>
          <w:ilvl w:val="0"/>
          <w:numId w:val="6"/>
        </w:numPr>
        <w:spacing w:after="0" w:line="254" w:lineRule="auto"/>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C49A6AE" w14:textId="77777777" w:rsidR="00334FB1" w:rsidRPr="00313721" w:rsidRDefault="00334FB1" w:rsidP="00334FB1">
      <w:pPr>
        <w:pStyle w:val="Odsekzoznamu"/>
        <w:numPr>
          <w:ilvl w:val="0"/>
          <w:numId w:val="6"/>
        </w:numPr>
        <w:spacing w:after="0" w:line="254" w:lineRule="auto"/>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regulované ceny podľa zákona č. 18/1996 Z. z. o cenách;</w:t>
      </w:r>
    </w:p>
    <w:p w14:paraId="508C131D" w14:textId="77777777" w:rsidR="00334FB1" w:rsidRPr="00313721" w:rsidRDefault="00334FB1" w:rsidP="00334FB1">
      <w:pPr>
        <w:pStyle w:val="Odsekzoznamu"/>
        <w:numPr>
          <w:ilvl w:val="0"/>
          <w:numId w:val="6"/>
        </w:numPr>
        <w:spacing w:after="0" w:line="254" w:lineRule="auto"/>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iné vplyvy, ktoré predpokladá materiál, ale nemožno ich zaradiť do častí 3.1 a 3.3.,</w:t>
      </w:r>
    </w:p>
    <w:p w14:paraId="12FD31BC" w14:textId="35483DB1" w:rsidR="00590B38" w:rsidRPr="00313721" w:rsidRDefault="00334FB1" w:rsidP="00590B38">
      <w:pPr>
        <w:pStyle w:val="Odsekzoznamu"/>
        <w:numPr>
          <w:ilvl w:val="0"/>
          <w:numId w:val="6"/>
        </w:numPr>
        <w:spacing w:after="0" w:line="254" w:lineRule="auto"/>
        <w:jc w:val="both"/>
        <w:rPr>
          <w:rFonts w:ascii="Times New Roman" w:eastAsia="Calibri" w:hAnsi="Times New Roman" w:cs="Times New Roman"/>
          <w:i/>
          <w:sz w:val="24"/>
          <w:szCs w:val="24"/>
        </w:rPr>
      </w:pPr>
      <w:r w:rsidRPr="00313721">
        <w:rPr>
          <w:rFonts w:ascii="Times New Roman" w:eastAsia="Calibri" w:hAnsi="Times New Roman" w:cs="Times New Roman"/>
          <w:i/>
          <w:sz w:val="24"/>
          <w:szCs w:val="24"/>
        </w:rPr>
        <w:t xml:space="preserve">iné vplyvy podľa písm. a) až c), ktoré sú </w:t>
      </w:r>
      <w:proofErr w:type="spellStart"/>
      <w:r w:rsidRPr="00313721">
        <w:rPr>
          <w:rFonts w:ascii="Times New Roman" w:eastAsia="Calibri" w:hAnsi="Times New Roman" w:cs="Times New Roman"/>
          <w:i/>
          <w:sz w:val="24"/>
          <w:szCs w:val="24"/>
        </w:rPr>
        <w:t>goldplatingom</w:t>
      </w:r>
      <w:proofErr w:type="spellEnd"/>
      <w:r w:rsidRPr="00313721">
        <w:rPr>
          <w:rFonts w:ascii="Times New Roman" w:eastAsia="Calibri" w:hAnsi="Times New Roman" w:cs="Times New Roman"/>
          <w:i/>
          <w:sz w:val="24"/>
          <w:szCs w:val="24"/>
        </w:rPr>
        <w:t>.</w:t>
      </w:r>
    </w:p>
    <w:p w14:paraId="2F73822D" w14:textId="7D55BEC7" w:rsidR="00590B38" w:rsidRPr="00313721" w:rsidRDefault="00590B38" w:rsidP="00590B38">
      <w:pPr>
        <w:pStyle w:val="Odsekzoznamu"/>
        <w:spacing w:after="0" w:line="254" w:lineRule="auto"/>
        <w:jc w:val="both"/>
        <w:rPr>
          <w:rFonts w:ascii="Times New Roman" w:eastAsia="Calibri" w:hAnsi="Times New Roman" w:cs="Times New Roman"/>
          <w:i/>
          <w:sz w:val="24"/>
          <w:szCs w:val="24"/>
        </w:rPr>
      </w:pPr>
    </w:p>
    <w:p w14:paraId="5D84CE9A" w14:textId="6FC4D3E1" w:rsidR="00590B38" w:rsidRPr="00FC509D" w:rsidRDefault="00590B38" w:rsidP="00590B38">
      <w:pPr>
        <w:spacing w:after="0" w:line="254" w:lineRule="auto"/>
        <w:jc w:val="both"/>
        <w:rPr>
          <w:rFonts w:ascii="Times New Roman" w:eastAsia="Calibri" w:hAnsi="Times New Roman" w:cs="Times New Roman"/>
          <w:iCs/>
        </w:rPr>
      </w:pPr>
      <w:r w:rsidRPr="00313721">
        <w:rPr>
          <w:rFonts w:ascii="Times New Roman" w:eastAsia="Calibri" w:hAnsi="Times New Roman" w:cs="Times New Roman"/>
          <w:iCs/>
        </w:rPr>
        <w:t>Tak ako vyplýva z časti 3.1.3 tejto Analýzy (</w:t>
      </w:r>
      <w:proofErr w:type="spellStart"/>
      <w:r w:rsidRPr="00313721">
        <w:rPr>
          <w:rFonts w:ascii="Times New Roman" w:eastAsia="Calibri" w:hAnsi="Times New Roman" w:cs="Times New Roman"/>
          <w:iCs/>
        </w:rPr>
        <w:t>por.č</w:t>
      </w:r>
      <w:proofErr w:type="spellEnd"/>
      <w:r w:rsidRPr="00313721">
        <w:rPr>
          <w:rFonts w:ascii="Times New Roman" w:eastAsia="Calibri" w:hAnsi="Times New Roman" w:cs="Times New Roman"/>
          <w:iCs/>
        </w:rPr>
        <w:t>. 1)</w:t>
      </w:r>
      <w:r w:rsidR="00FC509D" w:rsidRPr="00313721">
        <w:rPr>
          <w:rFonts w:ascii="Times New Roman" w:eastAsia="Calibri" w:hAnsi="Times New Roman" w:cs="Times New Roman"/>
          <w:iCs/>
        </w:rPr>
        <w:t xml:space="preserve"> </w:t>
      </w:r>
      <w:r w:rsidRPr="00313721">
        <w:rPr>
          <w:rFonts w:ascii="Times New Roman" w:eastAsia="Calibri" w:hAnsi="Times New Roman" w:cs="Times New Roman"/>
          <w:iCs/>
        </w:rPr>
        <w:t xml:space="preserve">predkladateľ v súvislosti so zavedením regulácie náhrad trov sporových konaní identifikoval </w:t>
      </w:r>
      <w:r w:rsidR="00090DE1" w:rsidRPr="00313721">
        <w:rPr>
          <w:rFonts w:ascii="Times New Roman" w:eastAsia="Calibri" w:hAnsi="Times New Roman" w:cs="Times New Roman"/>
          <w:iCs/>
        </w:rPr>
        <w:t xml:space="preserve">aj </w:t>
      </w:r>
      <w:r w:rsidRPr="00313721">
        <w:rPr>
          <w:rFonts w:ascii="Times New Roman" w:eastAsia="Calibri" w:hAnsi="Times New Roman" w:cs="Times New Roman"/>
          <w:iCs/>
        </w:rPr>
        <w:t>pozitívny vplyv predmetnej regulácie na relevantnú skupinu podnikateľských subjektov</w:t>
      </w:r>
      <w:r w:rsidR="00FC509D" w:rsidRPr="00313721">
        <w:rPr>
          <w:rFonts w:ascii="Times New Roman" w:eastAsia="Calibri" w:hAnsi="Times New Roman" w:cs="Times New Roman"/>
          <w:iCs/>
        </w:rPr>
        <w:t xml:space="preserve"> – úspešných účastníkov sporových konaní, ktorá sa z hľadiska početnosti zhoduje so skupinou neúspešných účastníkov sporových konaní v predpokladanom počte 100 účastníkov, pričom pozitívny dopad na podnikateľské prostredie predkladateľ očakáva v rozsahu </w:t>
      </w:r>
      <w:r w:rsidR="0020178E" w:rsidRPr="00313721">
        <w:rPr>
          <w:rFonts w:ascii="Times New Roman" w:eastAsia="Calibri" w:hAnsi="Times New Roman" w:cs="Times New Roman"/>
          <w:iCs/>
        </w:rPr>
        <w:t xml:space="preserve">20 </w:t>
      </w:r>
      <w:r w:rsidR="00C66F5D" w:rsidRPr="00313721">
        <w:rPr>
          <w:rFonts w:ascii="Times New Roman" w:eastAsia="Calibri" w:hAnsi="Times New Roman" w:cs="Times New Roman"/>
          <w:iCs/>
        </w:rPr>
        <w:t>30</w:t>
      </w:r>
      <w:r w:rsidR="0020178E" w:rsidRPr="00313721">
        <w:rPr>
          <w:rFonts w:ascii="Times New Roman" w:eastAsia="Calibri" w:hAnsi="Times New Roman" w:cs="Times New Roman"/>
          <w:iCs/>
        </w:rPr>
        <w:t>0</w:t>
      </w:r>
      <w:r w:rsidR="00FC509D" w:rsidRPr="00313721">
        <w:rPr>
          <w:rFonts w:ascii="Times New Roman" w:eastAsia="Calibri" w:hAnsi="Times New Roman" w:cs="Times New Roman"/>
          <w:iCs/>
        </w:rPr>
        <w:t xml:space="preserve"> € ročne. Uvedený údaj však nepredstavuje „úspory“, resp. zníženie dopadu na podnikateľské prostredie, keďže nejde o vplyv regulácie, ktorý by sa na základe návrhu zákona odstraňoval, preto predmetný pozitívny dopad nie je súčasťou Kalkulačky nákladov podnikateľského prostredia ako ani Súhrnnej tabuľky nákladov regulácie v časti 3.1.1 tejto Analýzy.</w:t>
      </w:r>
      <w:r w:rsidR="00FC509D">
        <w:rPr>
          <w:rFonts w:ascii="Times New Roman" w:eastAsia="Calibri" w:hAnsi="Times New Roman" w:cs="Times New Roman"/>
          <w:iCs/>
        </w:rPr>
        <w:t xml:space="preserve">   </w:t>
      </w:r>
      <w:r w:rsidR="00FC509D" w:rsidRPr="00FC509D">
        <w:rPr>
          <w:rFonts w:ascii="Times New Roman" w:eastAsia="Calibri" w:hAnsi="Times New Roman" w:cs="Times New Roman"/>
          <w:iCs/>
        </w:rPr>
        <w:t xml:space="preserve">  </w:t>
      </w:r>
      <w:r w:rsidRPr="00FC509D">
        <w:rPr>
          <w:rFonts w:ascii="Times New Roman" w:eastAsia="Calibri" w:hAnsi="Times New Roman" w:cs="Times New Roman"/>
          <w:iCs/>
        </w:rPr>
        <w:t xml:space="preserve"> </w:t>
      </w:r>
    </w:p>
    <w:sectPr w:rsidR="00590B38" w:rsidRPr="00FC509D"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8E1D" w14:textId="77777777" w:rsidR="00F244DC" w:rsidRDefault="00F244DC" w:rsidP="00054C41">
      <w:pPr>
        <w:spacing w:after="0" w:line="240" w:lineRule="auto"/>
      </w:pPr>
      <w:r>
        <w:separator/>
      </w:r>
    </w:p>
  </w:endnote>
  <w:endnote w:type="continuationSeparator" w:id="0">
    <w:p w14:paraId="7DC6A2AE" w14:textId="77777777" w:rsidR="00F244DC" w:rsidRDefault="00F244D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3170AA5"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8237B">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472B" w14:textId="77777777" w:rsidR="00F244DC" w:rsidRDefault="00F244DC" w:rsidP="00054C41">
      <w:pPr>
        <w:spacing w:after="0" w:line="240" w:lineRule="auto"/>
      </w:pPr>
      <w:r>
        <w:separator/>
      </w:r>
    </w:p>
  </w:footnote>
  <w:footnote w:type="continuationSeparator" w:id="0">
    <w:p w14:paraId="31E40756" w14:textId="77777777" w:rsidR="00F244DC" w:rsidRDefault="00F244DC"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21D257A3" w14:textId="77777777" w:rsidR="00334FB1" w:rsidRPr="00804BC8" w:rsidRDefault="00334FB1" w:rsidP="00334FB1">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1D78DEE9" w14:textId="77777777" w:rsidR="00334FB1" w:rsidRDefault="00334FB1" w:rsidP="00334FB1">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FA6"/>
    <w:multiLevelType w:val="hybridMultilevel"/>
    <w:tmpl w:val="6842441A"/>
    <w:lvl w:ilvl="0" w:tplc="1AD24EE6">
      <w:start w:val="1"/>
      <w:numFmt w:val="bullet"/>
      <w:lvlText w:val="•"/>
      <w:lvlJc w:val="left"/>
      <w:pPr>
        <w:tabs>
          <w:tab w:val="num" w:pos="720"/>
        </w:tabs>
        <w:ind w:left="720" w:hanging="360"/>
      </w:pPr>
      <w:rPr>
        <w:rFonts w:ascii="Arial" w:hAnsi="Arial" w:hint="default"/>
      </w:rPr>
    </w:lvl>
    <w:lvl w:ilvl="1" w:tplc="4E9632DE" w:tentative="1">
      <w:start w:val="1"/>
      <w:numFmt w:val="bullet"/>
      <w:lvlText w:val="•"/>
      <w:lvlJc w:val="left"/>
      <w:pPr>
        <w:tabs>
          <w:tab w:val="num" w:pos="1440"/>
        </w:tabs>
        <w:ind w:left="1440" w:hanging="360"/>
      </w:pPr>
      <w:rPr>
        <w:rFonts w:ascii="Arial" w:hAnsi="Arial" w:hint="default"/>
      </w:rPr>
    </w:lvl>
    <w:lvl w:ilvl="2" w:tplc="DC0A0D6A" w:tentative="1">
      <w:start w:val="1"/>
      <w:numFmt w:val="bullet"/>
      <w:lvlText w:val="•"/>
      <w:lvlJc w:val="left"/>
      <w:pPr>
        <w:tabs>
          <w:tab w:val="num" w:pos="2160"/>
        </w:tabs>
        <w:ind w:left="2160" w:hanging="360"/>
      </w:pPr>
      <w:rPr>
        <w:rFonts w:ascii="Arial" w:hAnsi="Arial" w:hint="default"/>
      </w:rPr>
    </w:lvl>
    <w:lvl w:ilvl="3" w:tplc="E0B2864C" w:tentative="1">
      <w:start w:val="1"/>
      <w:numFmt w:val="bullet"/>
      <w:lvlText w:val="•"/>
      <w:lvlJc w:val="left"/>
      <w:pPr>
        <w:tabs>
          <w:tab w:val="num" w:pos="2880"/>
        </w:tabs>
        <w:ind w:left="2880" w:hanging="360"/>
      </w:pPr>
      <w:rPr>
        <w:rFonts w:ascii="Arial" w:hAnsi="Arial" w:hint="default"/>
      </w:rPr>
    </w:lvl>
    <w:lvl w:ilvl="4" w:tplc="7D28ECD8" w:tentative="1">
      <w:start w:val="1"/>
      <w:numFmt w:val="bullet"/>
      <w:lvlText w:val="•"/>
      <w:lvlJc w:val="left"/>
      <w:pPr>
        <w:tabs>
          <w:tab w:val="num" w:pos="3600"/>
        </w:tabs>
        <w:ind w:left="3600" w:hanging="360"/>
      </w:pPr>
      <w:rPr>
        <w:rFonts w:ascii="Arial" w:hAnsi="Arial" w:hint="default"/>
      </w:rPr>
    </w:lvl>
    <w:lvl w:ilvl="5" w:tplc="B41056D8" w:tentative="1">
      <w:start w:val="1"/>
      <w:numFmt w:val="bullet"/>
      <w:lvlText w:val="•"/>
      <w:lvlJc w:val="left"/>
      <w:pPr>
        <w:tabs>
          <w:tab w:val="num" w:pos="4320"/>
        </w:tabs>
        <w:ind w:left="4320" w:hanging="360"/>
      </w:pPr>
      <w:rPr>
        <w:rFonts w:ascii="Arial" w:hAnsi="Arial" w:hint="default"/>
      </w:rPr>
    </w:lvl>
    <w:lvl w:ilvl="6" w:tplc="14566F42" w:tentative="1">
      <w:start w:val="1"/>
      <w:numFmt w:val="bullet"/>
      <w:lvlText w:val="•"/>
      <w:lvlJc w:val="left"/>
      <w:pPr>
        <w:tabs>
          <w:tab w:val="num" w:pos="5040"/>
        </w:tabs>
        <w:ind w:left="5040" w:hanging="360"/>
      </w:pPr>
      <w:rPr>
        <w:rFonts w:ascii="Arial" w:hAnsi="Arial" w:hint="default"/>
      </w:rPr>
    </w:lvl>
    <w:lvl w:ilvl="7" w:tplc="9F6C63A4" w:tentative="1">
      <w:start w:val="1"/>
      <w:numFmt w:val="bullet"/>
      <w:lvlText w:val="•"/>
      <w:lvlJc w:val="left"/>
      <w:pPr>
        <w:tabs>
          <w:tab w:val="num" w:pos="5760"/>
        </w:tabs>
        <w:ind w:left="5760" w:hanging="360"/>
      </w:pPr>
      <w:rPr>
        <w:rFonts w:ascii="Arial" w:hAnsi="Arial" w:hint="default"/>
      </w:rPr>
    </w:lvl>
    <w:lvl w:ilvl="8" w:tplc="EDEE5E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E7957CC"/>
    <w:multiLevelType w:val="hybridMultilevel"/>
    <w:tmpl w:val="E230FA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BC4195"/>
    <w:multiLevelType w:val="hybridMultilevel"/>
    <w:tmpl w:val="D710F96E"/>
    <w:lvl w:ilvl="0" w:tplc="F4C0170E">
      <w:numFmt w:val="bullet"/>
      <w:lvlText w:val="-"/>
      <w:lvlJc w:val="left"/>
      <w:pPr>
        <w:ind w:left="786" w:hanging="360"/>
      </w:pPr>
      <w:rPr>
        <w:rFonts w:ascii="Calibri" w:eastAsia="Calibri" w:hAnsi="Calibri"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4" w15:restartNumberingAfterBreak="0">
    <w:nsid w:val="12B023F7"/>
    <w:multiLevelType w:val="hybridMultilevel"/>
    <w:tmpl w:val="0BAC2664"/>
    <w:lvl w:ilvl="0" w:tplc="469EAA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423AE8"/>
    <w:multiLevelType w:val="hybridMultilevel"/>
    <w:tmpl w:val="0764F41C"/>
    <w:lvl w:ilvl="0" w:tplc="A80C46B4">
      <w:start w:val="3"/>
      <w:numFmt w:val="bullet"/>
      <w:lvlText w:val="-"/>
      <w:lvlJc w:val="left"/>
      <w:pPr>
        <w:ind w:left="770" w:hanging="360"/>
      </w:pPr>
      <w:rPr>
        <w:rFonts w:ascii="Times New Roman" w:eastAsia="Calibri" w:hAnsi="Times New Roman" w:cs="Times New Roman" w:hint="default"/>
        <w:b/>
        <w:i w:val="0"/>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84E2658"/>
    <w:multiLevelType w:val="hybridMultilevel"/>
    <w:tmpl w:val="77CEAE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075B78"/>
    <w:multiLevelType w:val="hybridMultilevel"/>
    <w:tmpl w:val="1B281D9A"/>
    <w:lvl w:ilvl="0" w:tplc="ED94ECEE">
      <w:start w:val="20"/>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E4071E"/>
    <w:multiLevelType w:val="hybridMultilevel"/>
    <w:tmpl w:val="66B828D8"/>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D2136A"/>
    <w:multiLevelType w:val="hybridMultilevel"/>
    <w:tmpl w:val="75D28DB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4D2022"/>
    <w:multiLevelType w:val="hybridMultilevel"/>
    <w:tmpl w:val="F6ACB076"/>
    <w:lvl w:ilvl="0" w:tplc="041B0015">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5C3DD4"/>
    <w:multiLevelType w:val="hybridMultilevel"/>
    <w:tmpl w:val="55226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A24077"/>
    <w:multiLevelType w:val="hybridMultilevel"/>
    <w:tmpl w:val="98708F76"/>
    <w:lvl w:ilvl="0" w:tplc="3BAA679A">
      <w:start w:val="1"/>
      <w:numFmt w:val="bullet"/>
      <w:lvlText w:val=""/>
      <w:lvlJc w:val="left"/>
      <w:pPr>
        <w:tabs>
          <w:tab w:val="num" w:pos="720"/>
        </w:tabs>
        <w:ind w:left="720" w:hanging="360"/>
      </w:pPr>
      <w:rPr>
        <w:rFonts w:ascii="Wingdings" w:hAnsi="Wingdings" w:hint="default"/>
      </w:rPr>
    </w:lvl>
    <w:lvl w:ilvl="1" w:tplc="18CA8054" w:tentative="1">
      <w:start w:val="1"/>
      <w:numFmt w:val="bullet"/>
      <w:lvlText w:val=""/>
      <w:lvlJc w:val="left"/>
      <w:pPr>
        <w:tabs>
          <w:tab w:val="num" w:pos="1440"/>
        </w:tabs>
        <w:ind w:left="1440" w:hanging="360"/>
      </w:pPr>
      <w:rPr>
        <w:rFonts w:ascii="Wingdings" w:hAnsi="Wingdings" w:hint="default"/>
      </w:rPr>
    </w:lvl>
    <w:lvl w:ilvl="2" w:tplc="7ACC5846" w:tentative="1">
      <w:start w:val="1"/>
      <w:numFmt w:val="bullet"/>
      <w:lvlText w:val=""/>
      <w:lvlJc w:val="left"/>
      <w:pPr>
        <w:tabs>
          <w:tab w:val="num" w:pos="2160"/>
        </w:tabs>
        <w:ind w:left="2160" w:hanging="360"/>
      </w:pPr>
      <w:rPr>
        <w:rFonts w:ascii="Wingdings" w:hAnsi="Wingdings" w:hint="default"/>
      </w:rPr>
    </w:lvl>
    <w:lvl w:ilvl="3" w:tplc="0090DEFC" w:tentative="1">
      <w:start w:val="1"/>
      <w:numFmt w:val="bullet"/>
      <w:lvlText w:val=""/>
      <w:lvlJc w:val="left"/>
      <w:pPr>
        <w:tabs>
          <w:tab w:val="num" w:pos="2880"/>
        </w:tabs>
        <w:ind w:left="2880" w:hanging="360"/>
      </w:pPr>
      <w:rPr>
        <w:rFonts w:ascii="Wingdings" w:hAnsi="Wingdings" w:hint="default"/>
      </w:rPr>
    </w:lvl>
    <w:lvl w:ilvl="4" w:tplc="0C5C6E72" w:tentative="1">
      <w:start w:val="1"/>
      <w:numFmt w:val="bullet"/>
      <w:lvlText w:val=""/>
      <w:lvlJc w:val="left"/>
      <w:pPr>
        <w:tabs>
          <w:tab w:val="num" w:pos="3600"/>
        </w:tabs>
        <w:ind w:left="3600" w:hanging="360"/>
      </w:pPr>
      <w:rPr>
        <w:rFonts w:ascii="Wingdings" w:hAnsi="Wingdings" w:hint="default"/>
      </w:rPr>
    </w:lvl>
    <w:lvl w:ilvl="5" w:tplc="7C7E7E0C" w:tentative="1">
      <w:start w:val="1"/>
      <w:numFmt w:val="bullet"/>
      <w:lvlText w:val=""/>
      <w:lvlJc w:val="left"/>
      <w:pPr>
        <w:tabs>
          <w:tab w:val="num" w:pos="4320"/>
        </w:tabs>
        <w:ind w:left="4320" w:hanging="360"/>
      </w:pPr>
      <w:rPr>
        <w:rFonts w:ascii="Wingdings" w:hAnsi="Wingdings" w:hint="default"/>
      </w:rPr>
    </w:lvl>
    <w:lvl w:ilvl="6" w:tplc="0F186EC6" w:tentative="1">
      <w:start w:val="1"/>
      <w:numFmt w:val="bullet"/>
      <w:lvlText w:val=""/>
      <w:lvlJc w:val="left"/>
      <w:pPr>
        <w:tabs>
          <w:tab w:val="num" w:pos="5040"/>
        </w:tabs>
        <w:ind w:left="5040" w:hanging="360"/>
      </w:pPr>
      <w:rPr>
        <w:rFonts w:ascii="Wingdings" w:hAnsi="Wingdings" w:hint="default"/>
      </w:rPr>
    </w:lvl>
    <w:lvl w:ilvl="7" w:tplc="FE9C3288" w:tentative="1">
      <w:start w:val="1"/>
      <w:numFmt w:val="bullet"/>
      <w:lvlText w:val=""/>
      <w:lvlJc w:val="left"/>
      <w:pPr>
        <w:tabs>
          <w:tab w:val="num" w:pos="5760"/>
        </w:tabs>
        <w:ind w:left="5760" w:hanging="360"/>
      </w:pPr>
      <w:rPr>
        <w:rFonts w:ascii="Wingdings" w:hAnsi="Wingdings" w:hint="default"/>
      </w:rPr>
    </w:lvl>
    <w:lvl w:ilvl="8" w:tplc="156A04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B059E"/>
    <w:multiLevelType w:val="hybridMultilevel"/>
    <w:tmpl w:val="A61877D2"/>
    <w:lvl w:ilvl="0" w:tplc="041B0015">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7446C3"/>
    <w:multiLevelType w:val="hybridMultilevel"/>
    <w:tmpl w:val="CF6A8D50"/>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374AD8"/>
    <w:multiLevelType w:val="hybridMultilevel"/>
    <w:tmpl w:val="C9BE3C88"/>
    <w:lvl w:ilvl="0" w:tplc="D3F63FF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9B03D3"/>
    <w:multiLevelType w:val="hybridMultilevel"/>
    <w:tmpl w:val="75D28DB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0C3361"/>
    <w:multiLevelType w:val="hybridMultilevel"/>
    <w:tmpl w:val="9E4442D4"/>
    <w:lvl w:ilvl="0" w:tplc="9B325934">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8577AC8"/>
    <w:multiLevelType w:val="hybridMultilevel"/>
    <w:tmpl w:val="49BC0E92"/>
    <w:lvl w:ilvl="0" w:tplc="855CB42A">
      <w:start w:val="20"/>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343CC"/>
    <w:multiLevelType w:val="hybridMultilevel"/>
    <w:tmpl w:val="4BF2DA72"/>
    <w:lvl w:ilvl="0" w:tplc="DEF63708">
      <w:start w:val="1"/>
      <w:numFmt w:val="bullet"/>
      <w:lvlText w:val="•"/>
      <w:lvlJc w:val="left"/>
      <w:pPr>
        <w:tabs>
          <w:tab w:val="num" w:pos="720"/>
        </w:tabs>
        <w:ind w:left="720" w:hanging="360"/>
      </w:pPr>
      <w:rPr>
        <w:rFonts w:ascii="Arial" w:hAnsi="Arial" w:hint="default"/>
      </w:rPr>
    </w:lvl>
    <w:lvl w:ilvl="1" w:tplc="A330113C" w:tentative="1">
      <w:start w:val="1"/>
      <w:numFmt w:val="bullet"/>
      <w:lvlText w:val="•"/>
      <w:lvlJc w:val="left"/>
      <w:pPr>
        <w:tabs>
          <w:tab w:val="num" w:pos="1440"/>
        </w:tabs>
        <w:ind w:left="1440" w:hanging="360"/>
      </w:pPr>
      <w:rPr>
        <w:rFonts w:ascii="Arial" w:hAnsi="Arial" w:hint="default"/>
      </w:rPr>
    </w:lvl>
    <w:lvl w:ilvl="2" w:tplc="A698B18E" w:tentative="1">
      <w:start w:val="1"/>
      <w:numFmt w:val="bullet"/>
      <w:lvlText w:val="•"/>
      <w:lvlJc w:val="left"/>
      <w:pPr>
        <w:tabs>
          <w:tab w:val="num" w:pos="2160"/>
        </w:tabs>
        <w:ind w:left="2160" w:hanging="360"/>
      </w:pPr>
      <w:rPr>
        <w:rFonts w:ascii="Arial" w:hAnsi="Arial" w:hint="default"/>
      </w:rPr>
    </w:lvl>
    <w:lvl w:ilvl="3" w:tplc="3A986360" w:tentative="1">
      <w:start w:val="1"/>
      <w:numFmt w:val="bullet"/>
      <w:lvlText w:val="•"/>
      <w:lvlJc w:val="left"/>
      <w:pPr>
        <w:tabs>
          <w:tab w:val="num" w:pos="2880"/>
        </w:tabs>
        <w:ind w:left="2880" w:hanging="360"/>
      </w:pPr>
      <w:rPr>
        <w:rFonts w:ascii="Arial" w:hAnsi="Arial" w:hint="default"/>
      </w:rPr>
    </w:lvl>
    <w:lvl w:ilvl="4" w:tplc="E1AE4C9A" w:tentative="1">
      <w:start w:val="1"/>
      <w:numFmt w:val="bullet"/>
      <w:lvlText w:val="•"/>
      <w:lvlJc w:val="left"/>
      <w:pPr>
        <w:tabs>
          <w:tab w:val="num" w:pos="3600"/>
        </w:tabs>
        <w:ind w:left="3600" w:hanging="360"/>
      </w:pPr>
      <w:rPr>
        <w:rFonts w:ascii="Arial" w:hAnsi="Arial" w:hint="default"/>
      </w:rPr>
    </w:lvl>
    <w:lvl w:ilvl="5" w:tplc="2528BBBE" w:tentative="1">
      <w:start w:val="1"/>
      <w:numFmt w:val="bullet"/>
      <w:lvlText w:val="•"/>
      <w:lvlJc w:val="left"/>
      <w:pPr>
        <w:tabs>
          <w:tab w:val="num" w:pos="4320"/>
        </w:tabs>
        <w:ind w:left="4320" w:hanging="360"/>
      </w:pPr>
      <w:rPr>
        <w:rFonts w:ascii="Arial" w:hAnsi="Arial" w:hint="default"/>
      </w:rPr>
    </w:lvl>
    <w:lvl w:ilvl="6" w:tplc="13228526" w:tentative="1">
      <w:start w:val="1"/>
      <w:numFmt w:val="bullet"/>
      <w:lvlText w:val="•"/>
      <w:lvlJc w:val="left"/>
      <w:pPr>
        <w:tabs>
          <w:tab w:val="num" w:pos="5040"/>
        </w:tabs>
        <w:ind w:left="5040" w:hanging="360"/>
      </w:pPr>
      <w:rPr>
        <w:rFonts w:ascii="Arial" w:hAnsi="Arial" w:hint="default"/>
      </w:rPr>
    </w:lvl>
    <w:lvl w:ilvl="7" w:tplc="9F90CACE" w:tentative="1">
      <w:start w:val="1"/>
      <w:numFmt w:val="bullet"/>
      <w:lvlText w:val="•"/>
      <w:lvlJc w:val="left"/>
      <w:pPr>
        <w:tabs>
          <w:tab w:val="num" w:pos="5760"/>
        </w:tabs>
        <w:ind w:left="5760" w:hanging="360"/>
      </w:pPr>
      <w:rPr>
        <w:rFonts w:ascii="Arial" w:hAnsi="Arial" w:hint="default"/>
      </w:rPr>
    </w:lvl>
    <w:lvl w:ilvl="8" w:tplc="CF6A8E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3D51F2"/>
    <w:multiLevelType w:val="hybridMultilevel"/>
    <w:tmpl w:val="4FB2F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81F2CFF"/>
    <w:multiLevelType w:val="hybridMultilevel"/>
    <w:tmpl w:val="00BEF0FA"/>
    <w:lvl w:ilvl="0" w:tplc="041B0015">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8313B9"/>
    <w:multiLevelType w:val="hybridMultilevel"/>
    <w:tmpl w:val="10528768"/>
    <w:lvl w:ilvl="0" w:tplc="4196A01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725923E6"/>
    <w:multiLevelType w:val="hybridMultilevel"/>
    <w:tmpl w:val="91D64F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87F6558"/>
    <w:multiLevelType w:val="hybridMultilevel"/>
    <w:tmpl w:val="E04203D8"/>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33"/>
  </w:num>
  <w:num w:numId="4">
    <w:abstractNumId w:val="3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2"/>
  </w:num>
  <w:num w:numId="11">
    <w:abstractNumId w:val="19"/>
  </w:num>
  <w:num w:numId="12">
    <w:abstractNumId w:val="1"/>
  </w:num>
  <w:num w:numId="13">
    <w:abstractNumId w:val="34"/>
  </w:num>
  <w:num w:numId="14">
    <w:abstractNumId w:val="24"/>
  </w:num>
  <w:num w:numId="15">
    <w:abstractNumId w:val="23"/>
  </w:num>
  <w:num w:numId="16">
    <w:abstractNumId w:val="15"/>
  </w:num>
  <w:num w:numId="17">
    <w:abstractNumId w:val="0"/>
  </w:num>
  <w:num w:numId="18">
    <w:abstractNumId w:val="26"/>
  </w:num>
  <w:num w:numId="19">
    <w:abstractNumId w:val="29"/>
  </w:num>
  <w:num w:numId="20">
    <w:abstractNumId w:val="21"/>
  </w:num>
  <w:num w:numId="21">
    <w:abstractNumId w:val="14"/>
  </w:num>
  <w:num w:numId="22">
    <w:abstractNumId w:val="35"/>
  </w:num>
  <w:num w:numId="23">
    <w:abstractNumId w:val="18"/>
  </w:num>
  <w:num w:numId="24">
    <w:abstractNumId w:val="3"/>
  </w:num>
  <w:num w:numId="25">
    <w:abstractNumId w:val="3"/>
  </w:num>
  <w:num w:numId="26">
    <w:abstractNumId w:val="8"/>
  </w:num>
  <w:num w:numId="27">
    <w:abstractNumId w:val="2"/>
  </w:num>
  <w:num w:numId="28">
    <w:abstractNumId w:val="32"/>
  </w:num>
  <w:num w:numId="29">
    <w:abstractNumId w:val="4"/>
  </w:num>
  <w:num w:numId="30">
    <w:abstractNumId w:val="11"/>
  </w:num>
  <w:num w:numId="31">
    <w:abstractNumId w:val="20"/>
  </w:num>
  <w:num w:numId="32">
    <w:abstractNumId w:val="16"/>
  </w:num>
  <w:num w:numId="33">
    <w:abstractNumId w:val="13"/>
  </w:num>
  <w:num w:numId="34">
    <w:abstractNumId w:val="27"/>
  </w:num>
  <w:num w:numId="35">
    <w:abstractNumId w:val="10"/>
  </w:num>
  <w:num w:numId="36">
    <w:abstractNumId w:val="17"/>
  </w:num>
  <w:num w:numId="37">
    <w:abstractNumId w:val="22"/>
  </w:num>
  <w:num w:numId="38">
    <w:abstractNumId w:val="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03C32"/>
    <w:rsid w:val="0002425A"/>
    <w:rsid w:val="00024EE4"/>
    <w:rsid w:val="00025679"/>
    <w:rsid w:val="0004509A"/>
    <w:rsid w:val="00047C70"/>
    <w:rsid w:val="00047E07"/>
    <w:rsid w:val="00050AAB"/>
    <w:rsid w:val="00054A53"/>
    <w:rsid w:val="00054C41"/>
    <w:rsid w:val="00060DA1"/>
    <w:rsid w:val="00061E85"/>
    <w:rsid w:val="000820E0"/>
    <w:rsid w:val="00090DE1"/>
    <w:rsid w:val="00091A43"/>
    <w:rsid w:val="0009490E"/>
    <w:rsid w:val="00097922"/>
    <w:rsid w:val="000A616C"/>
    <w:rsid w:val="000A6B7F"/>
    <w:rsid w:val="000B02D9"/>
    <w:rsid w:val="000B02DA"/>
    <w:rsid w:val="000C0EAF"/>
    <w:rsid w:val="000C5419"/>
    <w:rsid w:val="000C5E9A"/>
    <w:rsid w:val="000D1259"/>
    <w:rsid w:val="000D15F0"/>
    <w:rsid w:val="000D6F24"/>
    <w:rsid w:val="000D6F29"/>
    <w:rsid w:val="000F7600"/>
    <w:rsid w:val="00103557"/>
    <w:rsid w:val="0011003B"/>
    <w:rsid w:val="001133DA"/>
    <w:rsid w:val="0012051F"/>
    <w:rsid w:val="00126A2B"/>
    <w:rsid w:val="001300F8"/>
    <w:rsid w:val="001311E4"/>
    <w:rsid w:val="00142154"/>
    <w:rsid w:val="00144AD8"/>
    <w:rsid w:val="001476A4"/>
    <w:rsid w:val="00150E3B"/>
    <w:rsid w:val="0015142E"/>
    <w:rsid w:val="001530C0"/>
    <w:rsid w:val="001536C5"/>
    <w:rsid w:val="00153D0A"/>
    <w:rsid w:val="0015517E"/>
    <w:rsid w:val="00162C6C"/>
    <w:rsid w:val="0016512E"/>
    <w:rsid w:val="00165E01"/>
    <w:rsid w:val="0018715C"/>
    <w:rsid w:val="00195588"/>
    <w:rsid w:val="00197216"/>
    <w:rsid w:val="001A1561"/>
    <w:rsid w:val="001A4462"/>
    <w:rsid w:val="001B3139"/>
    <w:rsid w:val="001B3186"/>
    <w:rsid w:val="001B4C03"/>
    <w:rsid w:val="001C7B91"/>
    <w:rsid w:val="001D1083"/>
    <w:rsid w:val="001D1380"/>
    <w:rsid w:val="001D3FA0"/>
    <w:rsid w:val="001E0E6B"/>
    <w:rsid w:val="001E24E8"/>
    <w:rsid w:val="001E316D"/>
    <w:rsid w:val="001E53CB"/>
    <w:rsid w:val="0020178E"/>
    <w:rsid w:val="00207F43"/>
    <w:rsid w:val="002232D3"/>
    <w:rsid w:val="00223421"/>
    <w:rsid w:val="00224112"/>
    <w:rsid w:val="00225A83"/>
    <w:rsid w:val="00231B8F"/>
    <w:rsid w:val="002378AD"/>
    <w:rsid w:val="00254FFB"/>
    <w:rsid w:val="00270EA5"/>
    <w:rsid w:val="002712B9"/>
    <w:rsid w:val="0027780F"/>
    <w:rsid w:val="00277F84"/>
    <w:rsid w:val="00283ADC"/>
    <w:rsid w:val="00284B8C"/>
    <w:rsid w:val="0029483F"/>
    <w:rsid w:val="002C2FC0"/>
    <w:rsid w:val="002C6EDB"/>
    <w:rsid w:val="002C797D"/>
    <w:rsid w:val="002D3485"/>
    <w:rsid w:val="002E6A9C"/>
    <w:rsid w:val="00302A17"/>
    <w:rsid w:val="00313721"/>
    <w:rsid w:val="00314D25"/>
    <w:rsid w:val="00315BE2"/>
    <w:rsid w:val="00320EE6"/>
    <w:rsid w:val="00331922"/>
    <w:rsid w:val="003322EE"/>
    <w:rsid w:val="00334FB1"/>
    <w:rsid w:val="00337630"/>
    <w:rsid w:val="003405E4"/>
    <w:rsid w:val="00340CFD"/>
    <w:rsid w:val="00341271"/>
    <w:rsid w:val="003413D5"/>
    <w:rsid w:val="00342621"/>
    <w:rsid w:val="003511D6"/>
    <w:rsid w:val="00357F22"/>
    <w:rsid w:val="0036057B"/>
    <w:rsid w:val="0036748D"/>
    <w:rsid w:val="00376039"/>
    <w:rsid w:val="0038255E"/>
    <w:rsid w:val="00386AFA"/>
    <w:rsid w:val="00391648"/>
    <w:rsid w:val="003916B7"/>
    <w:rsid w:val="0039304E"/>
    <w:rsid w:val="0039334E"/>
    <w:rsid w:val="00394AD2"/>
    <w:rsid w:val="00395936"/>
    <w:rsid w:val="003A02AF"/>
    <w:rsid w:val="003A3124"/>
    <w:rsid w:val="003A686F"/>
    <w:rsid w:val="003B670E"/>
    <w:rsid w:val="003C0A4F"/>
    <w:rsid w:val="003C202B"/>
    <w:rsid w:val="003C2B5F"/>
    <w:rsid w:val="003C3290"/>
    <w:rsid w:val="003D031C"/>
    <w:rsid w:val="003D2C66"/>
    <w:rsid w:val="003D3D0D"/>
    <w:rsid w:val="003E58B8"/>
    <w:rsid w:val="003F06D7"/>
    <w:rsid w:val="003F0A21"/>
    <w:rsid w:val="003F1358"/>
    <w:rsid w:val="003F1368"/>
    <w:rsid w:val="00400224"/>
    <w:rsid w:val="00400BA5"/>
    <w:rsid w:val="00404EFF"/>
    <w:rsid w:val="00410E62"/>
    <w:rsid w:val="00414FA7"/>
    <w:rsid w:val="00420090"/>
    <w:rsid w:val="0042105B"/>
    <w:rsid w:val="00423109"/>
    <w:rsid w:val="004239D1"/>
    <w:rsid w:val="004266E3"/>
    <w:rsid w:val="004275A8"/>
    <w:rsid w:val="00441971"/>
    <w:rsid w:val="00445638"/>
    <w:rsid w:val="00446432"/>
    <w:rsid w:val="00446512"/>
    <w:rsid w:val="00466D7A"/>
    <w:rsid w:val="0047544C"/>
    <w:rsid w:val="004771B8"/>
    <w:rsid w:val="0048237B"/>
    <w:rsid w:val="00484D16"/>
    <w:rsid w:val="00491853"/>
    <w:rsid w:val="004924F5"/>
    <w:rsid w:val="004A14CD"/>
    <w:rsid w:val="004A2C6B"/>
    <w:rsid w:val="004A5C0B"/>
    <w:rsid w:val="004C313F"/>
    <w:rsid w:val="004C581F"/>
    <w:rsid w:val="004D20CB"/>
    <w:rsid w:val="004D65B2"/>
    <w:rsid w:val="004D681D"/>
    <w:rsid w:val="004E2324"/>
    <w:rsid w:val="004F3F9B"/>
    <w:rsid w:val="004F4982"/>
    <w:rsid w:val="004F63E6"/>
    <w:rsid w:val="005103DA"/>
    <w:rsid w:val="00511F8F"/>
    <w:rsid w:val="00512BA7"/>
    <w:rsid w:val="00515726"/>
    <w:rsid w:val="005235BA"/>
    <w:rsid w:val="005559CB"/>
    <w:rsid w:val="0055782B"/>
    <w:rsid w:val="00562527"/>
    <w:rsid w:val="00562A1E"/>
    <w:rsid w:val="00563427"/>
    <w:rsid w:val="005656E6"/>
    <w:rsid w:val="00575658"/>
    <w:rsid w:val="00581EB9"/>
    <w:rsid w:val="00590B38"/>
    <w:rsid w:val="005B4E6E"/>
    <w:rsid w:val="005B56E4"/>
    <w:rsid w:val="005B781F"/>
    <w:rsid w:val="005C125F"/>
    <w:rsid w:val="005C795C"/>
    <w:rsid w:val="005D0E50"/>
    <w:rsid w:val="005D19E3"/>
    <w:rsid w:val="005D39D8"/>
    <w:rsid w:val="005F21D9"/>
    <w:rsid w:val="0061097B"/>
    <w:rsid w:val="00610D27"/>
    <w:rsid w:val="00612235"/>
    <w:rsid w:val="0061364E"/>
    <w:rsid w:val="0061612F"/>
    <w:rsid w:val="0061622D"/>
    <w:rsid w:val="006177C8"/>
    <w:rsid w:val="0062600A"/>
    <w:rsid w:val="00633A13"/>
    <w:rsid w:val="0063777D"/>
    <w:rsid w:val="00637851"/>
    <w:rsid w:val="00643358"/>
    <w:rsid w:val="00646084"/>
    <w:rsid w:val="006507B1"/>
    <w:rsid w:val="006544C3"/>
    <w:rsid w:val="0065638D"/>
    <w:rsid w:val="006564C3"/>
    <w:rsid w:val="006578CB"/>
    <w:rsid w:val="00670738"/>
    <w:rsid w:val="006836F9"/>
    <w:rsid w:val="006843E0"/>
    <w:rsid w:val="00696D32"/>
    <w:rsid w:val="006A4E85"/>
    <w:rsid w:val="006A4F87"/>
    <w:rsid w:val="006A60C0"/>
    <w:rsid w:val="006A712F"/>
    <w:rsid w:val="006B12AD"/>
    <w:rsid w:val="006B5D74"/>
    <w:rsid w:val="006B7B35"/>
    <w:rsid w:val="006C01ED"/>
    <w:rsid w:val="006C25BE"/>
    <w:rsid w:val="006C5132"/>
    <w:rsid w:val="006D3165"/>
    <w:rsid w:val="006D6030"/>
    <w:rsid w:val="006D7AD8"/>
    <w:rsid w:val="006E0FE2"/>
    <w:rsid w:val="006E77A2"/>
    <w:rsid w:val="006F1D57"/>
    <w:rsid w:val="006F51A3"/>
    <w:rsid w:val="00700772"/>
    <w:rsid w:val="00700A5F"/>
    <w:rsid w:val="00702A04"/>
    <w:rsid w:val="0070364C"/>
    <w:rsid w:val="00710EDF"/>
    <w:rsid w:val="00715DF3"/>
    <w:rsid w:val="007179E5"/>
    <w:rsid w:val="00722212"/>
    <w:rsid w:val="0072221D"/>
    <w:rsid w:val="0072357C"/>
    <w:rsid w:val="007259CB"/>
    <w:rsid w:val="00725D18"/>
    <w:rsid w:val="00726031"/>
    <w:rsid w:val="007349D2"/>
    <w:rsid w:val="00743FCB"/>
    <w:rsid w:val="00751DA9"/>
    <w:rsid w:val="00753236"/>
    <w:rsid w:val="00755E69"/>
    <w:rsid w:val="007615AE"/>
    <w:rsid w:val="007648EE"/>
    <w:rsid w:val="0077106D"/>
    <w:rsid w:val="00780ACC"/>
    <w:rsid w:val="00785869"/>
    <w:rsid w:val="00787A11"/>
    <w:rsid w:val="007944CD"/>
    <w:rsid w:val="00797B40"/>
    <w:rsid w:val="007A0C9D"/>
    <w:rsid w:val="007A20F3"/>
    <w:rsid w:val="007B40FB"/>
    <w:rsid w:val="007B62AF"/>
    <w:rsid w:val="007B6DBD"/>
    <w:rsid w:val="007B705E"/>
    <w:rsid w:val="007C7F58"/>
    <w:rsid w:val="007D448D"/>
    <w:rsid w:val="007D6A8D"/>
    <w:rsid w:val="007E24B2"/>
    <w:rsid w:val="007E2DA4"/>
    <w:rsid w:val="007E4551"/>
    <w:rsid w:val="007E5768"/>
    <w:rsid w:val="007E6815"/>
    <w:rsid w:val="007E7632"/>
    <w:rsid w:val="007F1C84"/>
    <w:rsid w:val="007F244E"/>
    <w:rsid w:val="007F4579"/>
    <w:rsid w:val="00800C58"/>
    <w:rsid w:val="00801596"/>
    <w:rsid w:val="00803F6E"/>
    <w:rsid w:val="00804BC8"/>
    <w:rsid w:val="00806E23"/>
    <w:rsid w:val="00807981"/>
    <w:rsid w:val="00822BCC"/>
    <w:rsid w:val="00823F5A"/>
    <w:rsid w:val="00825C43"/>
    <w:rsid w:val="00827061"/>
    <w:rsid w:val="00832FB5"/>
    <w:rsid w:val="00841D5B"/>
    <w:rsid w:val="00845D3B"/>
    <w:rsid w:val="00847D04"/>
    <w:rsid w:val="0085475B"/>
    <w:rsid w:val="00857DDD"/>
    <w:rsid w:val="008634E9"/>
    <w:rsid w:val="00866C69"/>
    <w:rsid w:val="00867E64"/>
    <w:rsid w:val="00867E82"/>
    <w:rsid w:val="00874309"/>
    <w:rsid w:val="00877E92"/>
    <w:rsid w:val="008801B5"/>
    <w:rsid w:val="00880578"/>
    <w:rsid w:val="008813F5"/>
    <w:rsid w:val="00882407"/>
    <w:rsid w:val="008850DB"/>
    <w:rsid w:val="008868C9"/>
    <w:rsid w:val="008920C3"/>
    <w:rsid w:val="00894052"/>
    <w:rsid w:val="00896D9C"/>
    <w:rsid w:val="008A7B87"/>
    <w:rsid w:val="008B4AA1"/>
    <w:rsid w:val="008B6D54"/>
    <w:rsid w:val="008B78D6"/>
    <w:rsid w:val="008C1C71"/>
    <w:rsid w:val="008D3696"/>
    <w:rsid w:val="008D3ACD"/>
    <w:rsid w:val="008D4478"/>
    <w:rsid w:val="008E1AD0"/>
    <w:rsid w:val="008E315F"/>
    <w:rsid w:val="008E3E60"/>
    <w:rsid w:val="008E6B82"/>
    <w:rsid w:val="008F0148"/>
    <w:rsid w:val="008F6ADE"/>
    <w:rsid w:val="00905667"/>
    <w:rsid w:val="0091269B"/>
    <w:rsid w:val="009168D6"/>
    <w:rsid w:val="00923C0C"/>
    <w:rsid w:val="009276E4"/>
    <w:rsid w:val="00942326"/>
    <w:rsid w:val="009458C3"/>
    <w:rsid w:val="009465DB"/>
    <w:rsid w:val="0095170D"/>
    <w:rsid w:val="00952CF6"/>
    <w:rsid w:val="00957C37"/>
    <w:rsid w:val="00960413"/>
    <w:rsid w:val="00971A2D"/>
    <w:rsid w:val="00972556"/>
    <w:rsid w:val="00981995"/>
    <w:rsid w:val="00981C7F"/>
    <w:rsid w:val="00985515"/>
    <w:rsid w:val="00990813"/>
    <w:rsid w:val="0099544D"/>
    <w:rsid w:val="00997513"/>
    <w:rsid w:val="009A0E2C"/>
    <w:rsid w:val="009A4D56"/>
    <w:rsid w:val="009B01D9"/>
    <w:rsid w:val="009B0889"/>
    <w:rsid w:val="009B1F04"/>
    <w:rsid w:val="009C7C74"/>
    <w:rsid w:val="009D1222"/>
    <w:rsid w:val="009D13BE"/>
    <w:rsid w:val="009E09F7"/>
    <w:rsid w:val="009E2D5C"/>
    <w:rsid w:val="009E3E44"/>
    <w:rsid w:val="009E7F8F"/>
    <w:rsid w:val="009F0E22"/>
    <w:rsid w:val="009F4175"/>
    <w:rsid w:val="009F614D"/>
    <w:rsid w:val="009F66A4"/>
    <w:rsid w:val="009F6C80"/>
    <w:rsid w:val="00A000DA"/>
    <w:rsid w:val="00A12A62"/>
    <w:rsid w:val="00A1736E"/>
    <w:rsid w:val="00A17ECE"/>
    <w:rsid w:val="00A216DF"/>
    <w:rsid w:val="00A32F6E"/>
    <w:rsid w:val="00A330EA"/>
    <w:rsid w:val="00A33F2C"/>
    <w:rsid w:val="00A369E0"/>
    <w:rsid w:val="00A41B32"/>
    <w:rsid w:val="00A42EC4"/>
    <w:rsid w:val="00A445E5"/>
    <w:rsid w:val="00A45853"/>
    <w:rsid w:val="00A47BC7"/>
    <w:rsid w:val="00A50EE3"/>
    <w:rsid w:val="00A65A1C"/>
    <w:rsid w:val="00A67740"/>
    <w:rsid w:val="00A67A45"/>
    <w:rsid w:val="00A67F34"/>
    <w:rsid w:val="00A716D8"/>
    <w:rsid w:val="00A73CA1"/>
    <w:rsid w:val="00A8284E"/>
    <w:rsid w:val="00A83E11"/>
    <w:rsid w:val="00A84768"/>
    <w:rsid w:val="00A84D2D"/>
    <w:rsid w:val="00A94A0F"/>
    <w:rsid w:val="00A9518B"/>
    <w:rsid w:val="00AA0799"/>
    <w:rsid w:val="00AA3C6D"/>
    <w:rsid w:val="00AA428E"/>
    <w:rsid w:val="00AB57C4"/>
    <w:rsid w:val="00AC2B8C"/>
    <w:rsid w:val="00AC603D"/>
    <w:rsid w:val="00AC6425"/>
    <w:rsid w:val="00AC690E"/>
    <w:rsid w:val="00AC72B6"/>
    <w:rsid w:val="00AD46BF"/>
    <w:rsid w:val="00AF05BE"/>
    <w:rsid w:val="00B01DCF"/>
    <w:rsid w:val="00B11CF5"/>
    <w:rsid w:val="00B1594A"/>
    <w:rsid w:val="00B209FA"/>
    <w:rsid w:val="00B20C3A"/>
    <w:rsid w:val="00B21D1F"/>
    <w:rsid w:val="00B2384D"/>
    <w:rsid w:val="00B2623C"/>
    <w:rsid w:val="00B26364"/>
    <w:rsid w:val="00B3224E"/>
    <w:rsid w:val="00B3463F"/>
    <w:rsid w:val="00B410BA"/>
    <w:rsid w:val="00B43D68"/>
    <w:rsid w:val="00B44A3A"/>
    <w:rsid w:val="00B510AE"/>
    <w:rsid w:val="00B5600C"/>
    <w:rsid w:val="00B66259"/>
    <w:rsid w:val="00B66E33"/>
    <w:rsid w:val="00B71992"/>
    <w:rsid w:val="00B72FB1"/>
    <w:rsid w:val="00B953DA"/>
    <w:rsid w:val="00B979CD"/>
    <w:rsid w:val="00BA19B0"/>
    <w:rsid w:val="00BB3870"/>
    <w:rsid w:val="00BB3B5F"/>
    <w:rsid w:val="00BB45A7"/>
    <w:rsid w:val="00BC2F32"/>
    <w:rsid w:val="00BD0EF7"/>
    <w:rsid w:val="00BD5208"/>
    <w:rsid w:val="00BD6778"/>
    <w:rsid w:val="00BE25FA"/>
    <w:rsid w:val="00BE33DE"/>
    <w:rsid w:val="00BF7438"/>
    <w:rsid w:val="00C01019"/>
    <w:rsid w:val="00C01599"/>
    <w:rsid w:val="00C03FA7"/>
    <w:rsid w:val="00C048D1"/>
    <w:rsid w:val="00C05563"/>
    <w:rsid w:val="00C11132"/>
    <w:rsid w:val="00C115B9"/>
    <w:rsid w:val="00C12FDD"/>
    <w:rsid w:val="00C139AD"/>
    <w:rsid w:val="00C145AA"/>
    <w:rsid w:val="00C14655"/>
    <w:rsid w:val="00C153DA"/>
    <w:rsid w:val="00C16EBF"/>
    <w:rsid w:val="00C21399"/>
    <w:rsid w:val="00C22CCA"/>
    <w:rsid w:val="00C25DAE"/>
    <w:rsid w:val="00C33328"/>
    <w:rsid w:val="00C40547"/>
    <w:rsid w:val="00C40B19"/>
    <w:rsid w:val="00C42063"/>
    <w:rsid w:val="00C446E2"/>
    <w:rsid w:val="00C535F5"/>
    <w:rsid w:val="00C55F00"/>
    <w:rsid w:val="00C560C4"/>
    <w:rsid w:val="00C65E69"/>
    <w:rsid w:val="00C66F5D"/>
    <w:rsid w:val="00C6748F"/>
    <w:rsid w:val="00C74337"/>
    <w:rsid w:val="00C745C2"/>
    <w:rsid w:val="00C75DC8"/>
    <w:rsid w:val="00C80D13"/>
    <w:rsid w:val="00C91840"/>
    <w:rsid w:val="00C929AE"/>
    <w:rsid w:val="00C961EB"/>
    <w:rsid w:val="00C970F9"/>
    <w:rsid w:val="00CA284E"/>
    <w:rsid w:val="00CA4344"/>
    <w:rsid w:val="00CA6348"/>
    <w:rsid w:val="00CB1232"/>
    <w:rsid w:val="00CB17A0"/>
    <w:rsid w:val="00CB1A02"/>
    <w:rsid w:val="00CC0887"/>
    <w:rsid w:val="00CC1D34"/>
    <w:rsid w:val="00CC3B7D"/>
    <w:rsid w:val="00CC4D7E"/>
    <w:rsid w:val="00CD424C"/>
    <w:rsid w:val="00CD4951"/>
    <w:rsid w:val="00CD5302"/>
    <w:rsid w:val="00CD5AE4"/>
    <w:rsid w:val="00CD5E86"/>
    <w:rsid w:val="00CD7B8C"/>
    <w:rsid w:val="00CE3B21"/>
    <w:rsid w:val="00CE5B23"/>
    <w:rsid w:val="00CF4D09"/>
    <w:rsid w:val="00D000BD"/>
    <w:rsid w:val="00D004B2"/>
    <w:rsid w:val="00D005F2"/>
    <w:rsid w:val="00D0210C"/>
    <w:rsid w:val="00D03A8E"/>
    <w:rsid w:val="00D114B3"/>
    <w:rsid w:val="00D114ED"/>
    <w:rsid w:val="00D150DC"/>
    <w:rsid w:val="00D21389"/>
    <w:rsid w:val="00D3032C"/>
    <w:rsid w:val="00D3093E"/>
    <w:rsid w:val="00D31A3B"/>
    <w:rsid w:val="00D4589F"/>
    <w:rsid w:val="00D5309D"/>
    <w:rsid w:val="00D631FA"/>
    <w:rsid w:val="00D6551F"/>
    <w:rsid w:val="00D71064"/>
    <w:rsid w:val="00D811BB"/>
    <w:rsid w:val="00D82356"/>
    <w:rsid w:val="00D84EEE"/>
    <w:rsid w:val="00D87CE2"/>
    <w:rsid w:val="00D90A61"/>
    <w:rsid w:val="00D940C0"/>
    <w:rsid w:val="00D946EF"/>
    <w:rsid w:val="00D95094"/>
    <w:rsid w:val="00D95553"/>
    <w:rsid w:val="00D96C47"/>
    <w:rsid w:val="00DA1415"/>
    <w:rsid w:val="00DA2766"/>
    <w:rsid w:val="00DA46A5"/>
    <w:rsid w:val="00DA61EE"/>
    <w:rsid w:val="00DA6BC9"/>
    <w:rsid w:val="00DB7B29"/>
    <w:rsid w:val="00DC355F"/>
    <w:rsid w:val="00DC3A6F"/>
    <w:rsid w:val="00DD1E4C"/>
    <w:rsid w:val="00DD3146"/>
    <w:rsid w:val="00DD4CAF"/>
    <w:rsid w:val="00DE06CD"/>
    <w:rsid w:val="00DE1D8B"/>
    <w:rsid w:val="00DE331A"/>
    <w:rsid w:val="00DE3E91"/>
    <w:rsid w:val="00DE6ACB"/>
    <w:rsid w:val="00DF02CE"/>
    <w:rsid w:val="00DF1462"/>
    <w:rsid w:val="00DF38CB"/>
    <w:rsid w:val="00E030DA"/>
    <w:rsid w:val="00E14CC3"/>
    <w:rsid w:val="00E20608"/>
    <w:rsid w:val="00E214C0"/>
    <w:rsid w:val="00E24BD3"/>
    <w:rsid w:val="00E256D5"/>
    <w:rsid w:val="00E26C8B"/>
    <w:rsid w:val="00E30D85"/>
    <w:rsid w:val="00E32453"/>
    <w:rsid w:val="00E32E80"/>
    <w:rsid w:val="00E335BF"/>
    <w:rsid w:val="00E40365"/>
    <w:rsid w:val="00E4317B"/>
    <w:rsid w:val="00E444EB"/>
    <w:rsid w:val="00E4573F"/>
    <w:rsid w:val="00E53A5C"/>
    <w:rsid w:val="00E5637F"/>
    <w:rsid w:val="00E56385"/>
    <w:rsid w:val="00E626B7"/>
    <w:rsid w:val="00E62A78"/>
    <w:rsid w:val="00E632B8"/>
    <w:rsid w:val="00E657B4"/>
    <w:rsid w:val="00E77A69"/>
    <w:rsid w:val="00E80586"/>
    <w:rsid w:val="00E81A42"/>
    <w:rsid w:val="00E90D1E"/>
    <w:rsid w:val="00E93615"/>
    <w:rsid w:val="00E961E8"/>
    <w:rsid w:val="00E96244"/>
    <w:rsid w:val="00E96DE0"/>
    <w:rsid w:val="00EB2BEC"/>
    <w:rsid w:val="00EB7147"/>
    <w:rsid w:val="00EB74BF"/>
    <w:rsid w:val="00EC0704"/>
    <w:rsid w:val="00EC508B"/>
    <w:rsid w:val="00EC5932"/>
    <w:rsid w:val="00ED6B5D"/>
    <w:rsid w:val="00ED6CBE"/>
    <w:rsid w:val="00EE1B8E"/>
    <w:rsid w:val="00EE2873"/>
    <w:rsid w:val="00EE4C99"/>
    <w:rsid w:val="00F153D7"/>
    <w:rsid w:val="00F1599C"/>
    <w:rsid w:val="00F2433F"/>
    <w:rsid w:val="00F244DC"/>
    <w:rsid w:val="00F378F4"/>
    <w:rsid w:val="00F47912"/>
    <w:rsid w:val="00F541B6"/>
    <w:rsid w:val="00F57702"/>
    <w:rsid w:val="00F6116D"/>
    <w:rsid w:val="00F61361"/>
    <w:rsid w:val="00F613E8"/>
    <w:rsid w:val="00F6159F"/>
    <w:rsid w:val="00F636D4"/>
    <w:rsid w:val="00F63A08"/>
    <w:rsid w:val="00F74D3C"/>
    <w:rsid w:val="00F74FC9"/>
    <w:rsid w:val="00F76559"/>
    <w:rsid w:val="00F765F6"/>
    <w:rsid w:val="00F80AFA"/>
    <w:rsid w:val="00F8488C"/>
    <w:rsid w:val="00F85887"/>
    <w:rsid w:val="00F91F47"/>
    <w:rsid w:val="00FA4F36"/>
    <w:rsid w:val="00FA6FFE"/>
    <w:rsid w:val="00FB1583"/>
    <w:rsid w:val="00FB45B0"/>
    <w:rsid w:val="00FB696D"/>
    <w:rsid w:val="00FB6D68"/>
    <w:rsid w:val="00FC121B"/>
    <w:rsid w:val="00FC509D"/>
    <w:rsid w:val="00FD3DFB"/>
    <w:rsid w:val="00FE35E5"/>
    <w:rsid w:val="00FE7E4D"/>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aliases w:val="Text poznámky pod čiarou 007"/>
    <w:basedOn w:val="Normlny"/>
    <w:link w:val="TextpoznmkypodiarouChar"/>
    <w:uiPriority w:val="99"/>
    <w:unhideWhenUsed/>
    <w:rsid w:val="00C929AE"/>
    <w:pPr>
      <w:spacing w:after="0" w:line="240" w:lineRule="auto"/>
    </w:pPr>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1530C0"/>
    <w:rPr>
      <w:color w:val="0563C1" w:themeColor="hyperlink"/>
      <w:u w:val="single"/>
    </w:rPr>
  </w:style>
  <w:style w:type="character" w:styleId="Zstupntext">
    <w:name w:val="Placeholder Text"/>
    <w:basedOn w:val="Predvolenpsmoodseku"/>
    <w:uiPriority w:val="99"/>
    <w:semiHidden/>
    <w:rsid w:val="00A32F6E"/>
    <w:rPr>
      <w:color w:val="808080"/>
    </w:rPr>
  </w:style>
  <w:style w:type="character" w:styleId="Nevyrieenzmienka">
    <w:name w:val="Unresolved Mention"/>
    <w:basedOn w:val="Predvolenpsmoodseku"/>
    <w:uiPriority w:val="99"/>
    <w:semiHidden/>
    <w:unhideWhenUsed/>
    <w:rsid w:val="006507B1"/>
    <w:rPr>
      <w:color w:val="605E5C"/>
      <w:shd w:val="clear" w:color="auto" w:fill="E1DFDD"/>
    </w:rPr>
  </w:style>
  <w:style w:type="character" w:styleId="Vrazn">
    <w:name w:val="Strong"/>
    <w:basedOn w:val="Predvolenpsmoodseku"/>
    <w:uiPriority w:val="22"/>
    <w:qFormat/>
    <w:rsid w:val="00C15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1204">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65634272">
      <w:bodyDiv w:val="1"/>
      <w:marLeft w:val="0"/>
      <w:marRight w:val="0"/>
      <w:marTop w:val="0"/>
      <w:marBottom w:val="0"/>
      <w:divBdr>
        <w:top w:val="none" w:sz="0" w:space="0" w:color="auto"/>
        <w:left w:val="none" w:sz="0" w:space="0" w:color="auto"/>
        <w:bottom w:val="none" w:sz="0" w:space="0" w:color="auto"/>
        <w:right w:val="none" w:sz="0" w:space="0" w:color="auto"/>
      </w:divBdr>
      <w:divsChild>
        <w:div w:id="1784377492">
          <w:marLeft w:val="1829"/>
          <w:marRight w:val="0"/>
          <w:marTop w:val="0"/>
          <w:marBottom w:val="0"/>
          <w:divBdr>
            <w:top w:val="none" w:sz="0" w:space="0" w:color="auto"/>
            <w:left w:val="none" w:sz="0" w:space="0" w:color="auto"/>
            <w:bottom w:val="none" w:sz="0" w:space="0" w:color="auto"/>
            <w:right w:val="none" w:sz="0" w:space="0" w:color="auto"/>
          </w:divBdr>
        </w:div>
        <w:div w:id="926034297">
          <w:marLeft w:val="1829"/>
          <w:marRight w:val="0"/>
          <w:marTop w:val="0"/>
          <w:marBottom w:val="0"/>
          <w:divBdr>
            <w:top w:val="none" w:sz="0" w:space="0" w:color="auto"/>
            <w:left w:val="none" w:sz="0" w:space="0" w:color="auto"/>
            <w:bottom w:val="none" w:sz="0" w:space="0" w:color="auto"/>
            <w:right w:val="none" w:sz="0" w:space="0" w:color="auto"/>
          </w:divBdr>
        </w:div>
        <w:div w:id="1436364746">
          <w:marLeft w:val="1829"/>
          <w:marRight w:val="0"/>
          <w:marTop w:val="0"/>
          <w:marBottom w:val="0"/>
          <w:divBdr>
            <w:top w:val="none" w:sz="0" w:space="0" w:color="auto"/>
            <w:left w:val="none" w:sz="0" w:space="0" w:color="auto"/>
            <w:bottom w:val="none" w:sz="0" w:space="0" w:color="auto"/>
            <w:right w:val="none" w:sz="0" w:space="0" w:color="auto"/>
          </w:divBdr>
        </w:div>
        <w:div w:id="676344255">
          <w:marLeft w:val="1829"/>
          <w:marRight w:val="0"/>
          <w:marTop w:val="0"/>
          <w:marBottom w:val="0"/>
          <w:divBdr>
            <w:top w:val="none" w:sz="0" w:space="0" w:color="auto"/>
            <w:left w:val="none" w:sz="0" w:space="0" w:color="auto"/>
            <w:bottom w:val="none" w:sz="0" w:space="0" w:color="auto"/>
            <w:right w:val="none" w:sz="0" w:space="0" w:color="auto"/>
          </w:divBdr>
        </w:div>
        <w:div w:id="1402752814">
          <w:marLeft w:val="446"/>
          <w:marRight w:val="0"/>
          <w:marTop w:val="0"/>
          <w:marBottom w:val="0"/>
          <w:divBdr>
            <w:top w:val="none" w:sz="0" w:space="0" w:color="auto"/>
            <w:left w:val="none" w:sz="0" w:space="0" w:color="auto"/>
            <w:bottom w:val="none" w:sz="0" w:space="0" w:color="auto"/>
            <w:right w:val="none" w:sz="0" w:space="0" w:color="auto"/>
          </w:divBdr>
        </w:div>
        <w:div w:id="1940597636">
          <w:marLeft w:val="446"/>
          <w:marRight w:val="0"/>
          <w:marTop w:val="0"/>
          <w:marBottom w:val="0"/>
          <w:divBdr>
            <w:top w:val="none" w:sz="0" w:space="0" w:color="auto"/>
            <w:left w:val="none" w:sz="0" w:space="0" w:color="auto"/>
            <w:bottom w:val="none" w:sz="0" w:space="0" w:color="auto"/>
            <w:right w:val="none" w:sz="0" w:space="0" w:color="auto"/>
          </w:divBdr>
        </w:div>
        <w:div w:id="2141149969">
          <w:marLeft w:val="446"/>
          <w:marRight w:val="0"/>
          <w:marTop w:val="0"/>
          <w:marBottom w:val="0"/>
          <w:divBdr>
            <w:top w:val="none" w:sz="0" w:space="0" w:color="auto"/>
            <w:left w:val="none" w:sz="0" w:space="0" w:color="auto"/>
            <w:bottom w:val="none" w:sz="0" w:space="0" w:color="auto"/>
            <w:right w:val="none" w:sz="0" w:space="0" w:color="auto"/>
          </w:divBdr>
        </w:div>
        <w:div w:id="1846940355">
          <w:marLeft w:val="446"/>
          <w:marRight w:val="0"/>
          <w:marTop w:val="0"/>
          <w:marBottom w:val="0"/>
          <w:divBdr>
            <w:top w:val="none" w:sz="0" w:space="0" w:color="auto"/>
            <w:left w:val="none" w:sz="0" w:space="0" w:color="auto"/>
            <w:bottom w:val="none" w:sz="0" w:space="0" w:color="auto"/>
            <w:right w:val="none" w:sz="0" w:space="0" w:color="auto"/>
          </w:divBdr>
        </w:div>
        <w:div w:id="1792745621">
          <w:marLeft w:val="446"/>
          <w:marRight w:val="0"/>
          <w:marTop w:val="0"/>
          <w:marBottom w:val="0"/>
          <w:divBdr>
            <w:top w:val="none" w:sz="0" w:space="0" w:color="auto"/>
            <w:left w:val="none" w:sz="0" w:space="0" w:color="auto"/>
            <w:bottom w:val="none" w:sz="0" w:space="0" w:color="auto"/>
            <w:right w:val="none" w:sz="0" w:space="0" w:color="auto"/>
          </w:divBdr>
        </w:div>
      </w:divsChild>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08499286">
      <w:bodyDiv w:val="1"/>
      <w:marLeft w:val="0"/>
      <w:marRight w:val="0"/>
      <w:marTop w:val="0"/>
      <w:marBottom w:val="0"/>
      <w:divBdr>
        <w:top w:val="none" w:sz="0" w:space="0" w:color="auto"/>
        <w:left w:val="none" w:sz="0" w:space="0" w:color="auto"/>
        <w:bottom w:val="none" w:sz="0" w:space="0" w:color="auto"/>
        <w:right w:val="none" w:sz="0" w:space="0" w:color="auto"/>
      </w:divBdr>
    </w:div>
    <w:div w:id="510098946">
      <w:bodyDiv w:val="1"/>
      <w:marLeft w:val="0"/>
      <w:marRight w:val="0"/>
      <w:marTop w:val="0"/>
      <w:marBottom w:val="0"/>
      <w:divBdr>
        <w:top w:val="none" w:sz="0" w:space="0" w:color="auto"/>
        <w:left w:val="none" w:sz="0" w:space="0" w:color="auto"/>
        <w:bottom w:val="none" w:sz="0" w:space="0" w:color="auto"/>
        <w:right w:val="none" w:sz="0" w:space="0" w:color="auto"/>
      </w:divBdr>
    </w:div>
    <w:div w:id="554656437">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0833522">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77565217">
      <w:bodyDiv w:val="1"/>
      <w:marLeft w:val="0"/>
      <w:marRight w:val="0"/>
      <w:marTop w:val="0"/>
      <w:marBottom w:val="0"/>
      <w:divBdr>
        <w:top w:val="none" w:sz="0" w:space="0" w:color="auto"/>
        <w:left w:val="none" w:sz="0" w:space="0" w:color="auto"/>
        <w:bottom w:val="none" w:sz="0" w:space="0" w:color="auto"/>
        <w:right w:val="none" w:sz="0" w:space="0" w:color="auto"/>
      </w:divBdr>
    </w:div>
    <w:div w:id="1008410781">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218113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77646269">
      <w:bodyDiv w:val="1"/>
      <w:marLeft w:val="0"/>
      <w:marRight w:val="0"/>
      <w:marTop w:val="0"/>
      <w:marBottom w:val="0"/>
      <w:divBdr>
        <w:top w:val="none" w:sz="0" w:space="0" w:color="auto"/>
        <w:left w:val="none" w:sz="0" w:space="0" w:color="auto"/>
        <w:bottom w:val="none" w:sz="0" w:space="0" w:color="auto"/>
        <w:right w:val="none" w:sz="0" w:space="0" w:color="auto"/>
      </w:divBdr>
    </w:div>
    <w:div w:id="1504197082">
      <w:bodyDiv w:val="1"/>
      <w:marLeft w:val="0"/>
      <w:marRight w:val="0"/>
      <w:marTop w:val="0"/>
      <w:marBottom w:val="0"/>
      <w:divBdr>
        <w:top w:val="none" w:sz="0" w:space="0" w:color="auto"/>
        <w:left w:val="none" w:sz="0" w:space="0" w:color="auto"/>
        <w:bottom w:val="none" w:sz="0" w:space="0" w:color="auto"/>
        <w:right w:val="none" w:sz="0" w:space="0" w:color="auto"/>
      </w:divBdr>
    </w:div>
    <w:div w:id="1526676643">
      <w:bodyDiv w:val="1"/>
      <w:marLeft w:val="0"/>
      <w:marRight w:val="0"/>
      <w:marTop w:val="0"/>
      <w:marBottom w:val="0"/>
      <w:divBdr>
        <w:top w:val="none" w:sz="0" w:space="0" w:color="auto"/>
        <w:left w:val="none" w:sz="0" w:space="0" w:color="auto"/>
        <w:bottom w:val="none" w:sz="0" w:space="0" w:color="auto"/>
        <w:right w:val="none" w:sz="0" w:space="0" w:color="auto"/>
      </w:divBdr>
    </w:div>
    <w:div w:id="1527865970">
      <w:bodyDiv w:val="1"/>
      <w:marLeft w:val="0"/>
      <w:marRight w:val="0"/>
      <w:marTop w:val="0"/>
      <w:marBottom w:val="0"/>
      <w:divBdr>
        <w:top w:val="none" w:sz="0" w:space="0" w:color="auto"/>
        <w:left w:val="none" w:sz="0" w:space="0" w:color="auto"/>
        <w:bottom w:val="none" w:sz="0" w:space="0" w:color="auto"/>
        <w:right w:val="none" w:sz="0" w:space="0" w:color="auto"/>
      </w:divBdr>
    </w:div>
    <w:div w:id="1547836950">
      <w:bodyDiv w:val="1"/>
      <w:marLeft w:val="0"/>
      <w:marRight w:val="0"/>
      <w:marTop w:val="0"/>
      <w:marBottom w:val="0"/>
      <w:divBdr>
        <w:top w:val="none" w:sz="0" w:space="0" w:color="auto"/>
        <w:left w:val="none" w:sz="0" w:space="0" w:color="auto"/>
        <w:bottom w:val="none" w:sz="0" w:space="0" w:color="auto"/>
        <w:right w:val="none" w:sz="0" w:space="0" w:color="auto"/>
      </w:divBdr>
    </w:div>
    <w:div w:id="1548562548">
      <w:bodyDiv w:val="1"/>
      <w:marLeft w:val="0"/>
      <w:marRight w:val="0"/>
      <w:marTop w:val="0"/>
      <w:marBottom w:val="0"/>
      <w:divBdr>
        <w:top w:val="none" w:sz="0" w:space="0" w:color="auto"/>
        <w:left w:val="none" w:sz="0" w:space="0" w:color="auto"/>
        <w:bottom w:val="none" w:sz="0" w:space="0" w:color="auto"/>
        <w:right w:val="none" w:sz="0" w:space="0" w:color="auto"/>
      </w:divBdr>
    </w:div>
    <w:div w:id="1562902970">
      <w:bodyDiv w:val="1"/>
      <w:marLeft w:val="0"/>
      <w:marRight w:val="0"/>
      <w:marTop w:val="0"/>
      <w:marBottom w:val="0"/>
      <w:divBdr>
        <w:top w:val="none" w:sz="0" w:space="0" w:color="auto"/>
        <w:left w:val="none" w:sz="0" w:space="0" w:color="auto"/>
        <w:bottom w:val="none" w:sz="0" w:space="0" w:color="auto"/>
        <w:right w:val="none" w:sz="0" w:space="0" w:color="auto"/>
      </w:divBdr>
    </w:div>
    <w:div w:id="1566405146">
      <w:bodyDiv w:val="1"/>
      <w:marLeft w:val="0"/>
      <w:marRight w:val="0"/>
      <w:marTop w:val="0"/>
      <w:marBottom w:val="0"/>
      <w:divBdr>
        <w:top w:val="none" w:sz="0" w:space="0" w:color="auto"/>
        <w:left w:val="none" w:sz="0" w:space="0" w:color="auto"/>
        <w:bottom w:val="none" w:sz="0" w:space="0" w:color="auto"/>
        <w:right w:val="none" w:sz="0" w:space="0" w:color="auto"/>
      </w:divBdr>
    </w:div>
    <w:div w:id="1611740977">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25105064">
      <w:bodyDiv w:val="1"/>
      <w:marLeft w:val="0"/>
      <w:marRight w:val="0"/>
      <w:marTop w:val="0"/>
      <w:marBottom w:val="0"/>
      <w:divBdr>
        <w:top w:val="none" w:sz="0" w:space="0" w:color="auto"/>
        <w:left w:val="none" w:sz="0" w:space="0" w:color="auto"/>
        <w:bottom w:val="none" w:sz="0" w:space="0" w:color="auto"/>
        <w:right w:val="none" w:sz="0" w:space="0" w:color="auto"/>
      </w:divBdr>
    </w:div>
    <w:div w:id="1785347394">
      <w:bodyDiv w:val="1"/>
      <w:marLeft w:val="0"/>
      <w:marRight w:val="0"/>
      <w:marTop w:val="0"/>
      <w:marBottom w:val="0"/>
      <w:divBdr>
        <w:top w:val="none" w:sz="0" w:space="0" w:color="auto"/>
        <w:left w:val="none" w:sz="0" w:space="0" w:color="auto"/>
        <w:bottom w:val="none" w:sz="0" w:space="0" w:color="auto"/>
        <w:right w:val="none" w:sz="0" w:space="0" w:color="auto"/>
      </w:divBdr>
    </w:div>
    <w:div w:id="1902711120">
      <w:bodyDiv w:val="1"/>
      <w:marLeft w:val="0"/>
      <w:marRight w:val="0"/>
      <w:marTop w:val="0"/>
      <w:marBottom w:val="0"/>
      <w:divBdr>
        <w:top w:val="none" w:sz="0" w:space="0" w:color="auto"/>
        <w:left w:val="none" w:sz="0" w:space="0" w:color="auto"/>
        <w:bottom w:val="none" w:sz="0" w:space="0" w:color="auto"/>
        <w:right w:val="none" w:sz="0" w:space="0" w:color="auto"/>
      </w:divBdr>
    </w:div>
    <w:div w:id="1933078629">
      <w:bodyDiv w:val="1"/>
      <w:marLeft w:val="0"/>
      <w:marRight w:val="0"/>
      <w:marTop w:val="0"/>
      <w:marBottom w:val="0"/>
      <w:divBdr>
        <w:top w:val="none" w:sz="0" w:space="0" w:color="auto"/>
        <w:left w:val="none" w:sz="0" w:space="0" w:color="auto"/>
        <w:bottom w:val="none" w:sz="0" w:space="0" w:color="auto"/>
        <w:right w:val="none" w:sz="0" w:space="0" w:color="auto"/>
      </w:divBdr>
    </w:div>
    <w:div w:id="1972638476">
      <w:bodyDiv w:val="1"/>
      <w:marLeft w:val="0"/>
      <w:marRight w:val="0"/>
      <w:marTop w:val="0"/>
      <w:marBottom w:val="0"/>
      <w:divBdr>
        <w:top w:val="none" w:sz="0" w:space="0" w:color="auto"/>
        <w:left w:val="none" w:sz="0" w:space="0" w:color="auto"/>
        <w:bottom w:val="none" w:sz="0" w:space="0" w:color="auto"/>
        <w:right w:val="none" w:sz="0" w:space="0" w:color="auto"/>
      </w:divBdr>
    </w:div>
    <w:div w:id="2024161269">
      <w:bodyDiv w:val="1"/>
      <w:marLeft w:val="0"/>
      <w:marRight w:val="0"/>
      <w:marTop w:val="0"/>
      <w:marBottom w:val="0"/>
      <w:divBdr>
        <w:top w:val="none" w:sz="0" w:space="0" w:color="auto"/>
        <w:left w:val="none" w:sz="0" w:space="0" w:color="auto"/>
        <w:bottom w:val="none" w:sz="0" w:space="0" w:color="auto"/>
        <w:right w:val="none" w:sz="0" w:space="0" w:color="auto"/>
      </w:divBdr>
    </w:div>
    <w:div w:id="2031834348">
      <w:bodyDiv w:val="1"/>
      <w:marLeft w:val="0"/>
      <w:marRight w:val="0"/>
      <w:marTop w:val="0"/>
      <w:marBottom w:val="0"/>
      <w:divBdr>
        <w:top w:val="none" w:sz="0" w:space="0" w:color="auto"/>
        <w:left w:val="none" w:sz="0" w:space="0" w:color="auto"/>
        <w:bottom w:val="none" w:sz="0" w:space="0" w:color="auto"/>
        <w:right w:val="none" w:sz="0" w:space="0" w:color="auto"/>
      </w:divBdr>
      <w:divsChild>
        <w:div w:id="600912038">
          <w:marLeft w:val="0"/>
          <w:marRight w:val="0"/>
          <w:marTop w:val="0"/>
          <w:marBottom w:val="0"/>
          <w:divBdr>
            <w:top w:val="none" w:sz="0" w:space="0" w:color="auto"/>
            <w:left w:val="none" w:sz="0" w:space="0" w:color="auto"/>
            <w:bottom w:val="none" w:sz="0" w:space="0" w:color="auto"/>
            <w:right w:val="none" w:sz="0" w:space="0" w:color="auto"/>
          </w:divBdr>
        </w:div>
        <w:div w:id="1980377808">
          <w:marLeft w:val="0"/>
          <w:marRight w:val="0"/>
          <w:marTop w:val="0"/>
          <w:marBottom w:val="0"/>
          <w:divBdr>
            <w:top w:val="none" w:sz="0" w:space="0" w:color="auto"/>
            <w:left w:val="none" w:sz="0" w:space="0" w:color="auto"/>
            <w:bottom w:val="none" w:sz="0" w:space="0" w:color="auto"/>
            <w:right w:val="none" w:sz="0" w:space="0" w:color="auto"/>
          </w:divBdr>
          <w:divsChild>
            <w:div w:id="1447309909">
              <w:marLeft w:val="0"/>
              <w:marRight w:val="0"/>
              <w:marTop w:val="0"/>
              <w:marBottom w:val="0"/>
              <w:divBdr>
                <w:top w:val="none" w:sz="0" w:space="0" w:color="auto"/>
                <w:left w:val="none" w:sz="0" w:space="0" w:color="auto"/>
                <w:bottom w:val="none" w:sz="0" w:space="0" w:color="auto"/>
                <w:right w:val="none" w:sz="0" w:space="0" w:color="auto"/>
              </w:divBdr>
            </w:div>
            <w:div w:id="1519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453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o.org/en/legal/official-journal/1984/07/p29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dprop.gov.sk/o-urade/materialy-suvisiace-s-cinnostou-uradu/vyrocne-spravy-a-v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hsr.sk/podnikatelske-prostredie/jednotna-metodika/prebiehajuce-konzultacie-a-predbezne-informa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prop.gov.sk/o-urade/materialy-suvisiace-s-cinnostou-uradu/vyrocne-spravy-a-vts" TargetMode="External"/><Relationship Id="rId5" Type="http://schemas.openxmlformats.org/officeDocument/2006/relationships/settings" Target="settings.xml"/><Relationship Id="rId15" Type="http://schemas.openxmlformats.org/officeDocument/2006/relationships/hyperlink" Target="https://www.indprop.gov.sk/aktuality?clanok=oznamenie-o-konzultaciach-s-podnikatelskymi-subjektmi-alebo-ich-zastupitelskymi-organizaciami"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legislativne-procesy/SK/PI/2024/7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509634-EAD7-4553-A28C-7EA4AF6F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22</Pages>
  <Words>8913</Words>
  <Characters>50810</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Harachová Lucia</cp:lastModifiedBy>
  <cp:revision>97</cp:revision>
  <cp:lastPrinted>2024-12-12T07:35:00Z</cp:lastPrinted>
  <dcterms:created xsi:type="dcterms:W3CDTF">2024-07-18T06:45:00Z</dcterms:created>
  <dcterms:modified xsi:type="dcterms:W3CDTF">2024-12-12T07:35:00Z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