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8C2B" w14:textId="77777777" w:rsidR="007D5748" w:rsidRPr="00B4130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4C6519BF" w14:textId="77777777" w:rsidR="007D5748" w:rsidRPr="00B4130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5D99A334" w14:textId="77777777" w:rsidR="00E963A3" w:rsidRPr="00B41308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A16F487" w14:textId="77777777" w:rsidR="005307FC" w:rsidRPr="00B41308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DAFDBCD" w14:textId="77777777" w:rsidR="00E963A3" w:rsidRPr="00B41308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2E900B82" w14:textId="77777777" w:rsidR="007D5748" w:rsidRPr="00B4130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460"/>
        <w:gridCol w:w="1460"/>
        <w:gridCol w:w="1460"/>
      </w:tblGrid>
      <w:tr w:rsidR="007D5748" w:rsidRPr="00B41308" w14:paraId="4E353728" w14:textId="77777777" w:rsidTr="00347DF7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6716515E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647" w:type="dxa"/>
            <w:gridSpan w:val="4"/>
            <w:shd w:val="clear" w:color="auto" w:fill="BFBFBF" w:themeFill="background1" w:themeFillShade="BF"/>
            <w:vAlign w:val="center"/>
          </w:tcPr>
          <w:p w14:paraId="5E3C6680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B41308" w14:paraId="526C5E0C" w14:textId="77777777" w:rsidTr="00347DF7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6A91E0A1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9637E4A" w14:textId="50411ADA" w:rsidR="007D5748" w:rsidRPr="00B41308" w:rsidRDefault="00347D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14:paraId="78F0DC1C" w14:textId="70D0C163" w:rsidR="007D5748" w:rsidRPr="00B41308" w:rsidRDefault="00347D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14:paraId="4B39087F" w14:textId="6273FC01" w:rsidR="007D5748" w:rsidRPr="00B41308" w:rsidRDefault="00347D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14:paraId="6607C062" w14:textId="1E68591D" w:rsidR="007D5748" w:rsidRPr="00B41308" w:rsidRDefault="00347D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281079" w:rsidRPr="00B41308" w14:paraId="0D5AB885" w14:textId="77777777" w:rsidTr="00347DF7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260C229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5056387" w14:textId="1D5A7E2F" w:rsidR="00281079" w:rsidRPr="00B41308" w:rsidRDefault="00B0150A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395 113</w:t>
            </w:r>
          </w:p>
        </w:tc>
        <w:tc>
          <w:tcPr>
            <w:tcW w:w="1460" w:type="dxa"/>
            <w:shd w:val="clear" w:color="auto" w:fill="C0C0C0"/>
            <w:vAlign w:val="center"/>
          </w:tcPr>
          <w:p w14:paraId="6AC81A91" w14:textId="4A3D6D6A" w:rsidR="00281079" w:rsidRPr="00B41308" w:rsidRDefault="00B0150A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790 227</w:t>
            </w:r>
          </w:p>
        </w:tc>
        <w:tc>
          <w:tcPr>
            <w:tcW w:w="1460" w:type="dxa"/>
            <w:shd w:val="clear" w:color="auto" w:fill="C0C0C0"/>
            <w:vAlign w:val="center"/>
          </w:tcPr>
          <w:p w14:paraId="19B01581" w14:textId="2F2BC8BF" w:rsidR="00281079" w:rsidRPr="00B41308" w:rsidRDefault="00B0150A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790 227</w:t>
            </w:r>
          </w:p>
        </w:tc>
        <w:tc>
          <w:tcPr>
            <w:tcW w:w="1460" w:type="dxa"/>
            <w:shd w:val="clear" w:color="auto" w:fill="C0C0C0"/>
            <w:vAlign w:val="center"/>
          </w:tcPr>
          <w:p w14:paraId="1335ADD6" w14:textId="33D70EBF" w:rsidR="00281079" w:rsidRPr="00B41308" w:rsidRDefault="00B0150A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790 227</w:t>
            </w:r>
          </w:p>
        </w:tc>
      </w:tr>
      <w:tr w:rsidR="00281079" w:rsidRPr="00B41308" w14:paraId="2ECB31AC" w14:textId="77777777" w:rsidTr="00347DF7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6C658E9F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0F1D4E78" w14:textId="7F7E6CBE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60" w:type="dxa"/>
            <w:noWrap/>
            <w:vAlign w:val="center"/>
          </w:tcPr>
          <w:p w14:paraId="725809DD" w14:textId="301EADF6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60" w:type="dxa"/>
            <w:noWrap/>
            <w:vAlign w:val="center"/>
          </w:tcPr>
          <w:p w14:paraId="367F4CEF" w14:textId="24047070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60" w:type="dxa"/>
            <w:noWrap/>
            <w:vAlign w:val="center"/>
          </w:tcPr>
          <w:p w14:paraId="4CB74B29" w14:textId="595A49C2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91D93" w:rsidRPr="00B41308" w14:paraId="71350E0C" w14:textId="77777777" w:rsidTr="003132F1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0A0E238E" w14:textId="3657F629" w:rsidR="00A91D93" w:rsidRPr="00B41308" w:rsidRDefault="00A91D93" w:rsidP="00A9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Všeobecná pokladničná správa</w:t>
            </w:r>
          </w:p>
        </w:tc>
        <w:tc>
          <w:tcPr>
            <w:tcW w:w="1267" w:type="dxa"/>
            <w:noWrap/>
            <w:vAlign w:val="center"/>
          </w:tcPr>
          <w:p w14:paraId="5B76BC7A" w14:textId="53E46180" w:rsidR="00A91D93" w:rsidRPr="00B41308" w:rsidRDefault="00A91D93" w:rsidP="00A9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100 059</w:t>
            </w:r>
          </w:p>
        </w:tc>
        <w:tc>
          <w:tcPr>
            <w:tcW w:w="1460" w:type="dxa"/>
            <w:noWrap/>
            <w:vAlign w:val="center"/>
          </w:tcPr>
          <w:p w14:paraId="75296F81" w14:textId="76C136C9" w:rsidR="00A91D93" w:rsidRPr="00B41308" w:rsidRDefault="00A91D93" w:rsidP="00A9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200 118</w:t>
            </w:r>
          </w:p>
        </w:tc>
        <w:tc>
          <w:tcPr>
            <w:tcW w:w="1460" w:type="dxa"/>
            <w:noWrap/>
          </w:tcPr>
          <w:p w14:paraId="51A7AA3D" w14:textId="71309B70" w:rsidR="00A91D93" w:rsidRPr="00B41308" w:rsidRDefault="00A91D93" w:rsidP="00A9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200 118</w:t>
            </w:r>
          </w:p>
        </w:tc>
        <w:tc>
          <w:tcPr>
            <w:tcW w:w="1460" w:type="dxa"/>
            <w:noWrap/>
          </w:tcPr>
          <w:p w14:paraId="283AC219" w14:textId="70C80920" w:rsidR="00A91D93" w:rsidRPr="00B41308" w:rsidRDefault="00A91D93" w:rsidP="00A9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200 118</w:t>
            </w:r>
          </w:p>
        </w:tc>
      </w:tr>
      <w:tr w:rsidR="00A91D93" w:rsidRPr="00B41308" w14:paraId="2957A435" w14:textId="77777777" w:rsidTr="003132F1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0459AEA0" w14:textId="22AF6FB6" w:rsidR="00A91D93" w:rsidRPr="00B41308" w:rsidRDefault="00A91D93" w:rsidP="00A9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ÚPV SR</w:t>
            </w:r>
          </w:p>
        </w:tc>
        <w:tc>
          <w:tcPr>
            <w:tcW w:w="1267" w:type="dxa"/>
            <w:noWrap/>
          </w:tcPr>
          <w:p w14:paraId="7F8CE9AB" w14:textId="3DD94A93" w:rsidR="00A91D93" w:rsidRPr="00B41308" w:rsidRDefault="000E605A" w:rsidP="00A9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150A" w:rsidRPr="00B41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75D8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50A" w:rsidRPr="00B41308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1460" w:type="dxa"/>
            <w:noWrap/>
          </w:tcPr>
          <w:p w14:paraId="5BED3224" w14:textId="550BD734" w:rsidR="00A91D93" w:rsidRPr="00B41308" w:rsidRDefault="000E605A" w:rsidP="00A9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150A" w:rsidRPr="00B413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075D8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50A" w:rsidRPr="00B4130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60" w:type="dxa"/>
            <w:noWrap/>
          </w:tcPr>
          <w:p w14:paraId="35A97402" w14:textId="70DBC586" w:rsidR="00A91D93" w:rsidRPr="00B41308" w:rsidRDefault="00B075D8" w:rsidP="00A9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150A" w:rsidRPr="00B413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50A" w:rsidRPr="00B4130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60" w:type="dxa"/>
            <w:noWrap/>
          </w:tcPr>
          <w:p w14:paraId="40D43DE7" w14:textId="3A3591E0" w:rsidR="00A91D93" w:rsidRPr="00B41308" w:rsidRDefault="00B075D8" w:rsidP="00A9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150A" w:rsidRPr="00B41308">
              <w:rPr>
                <w:rFonts w:ascii="Times New Roman" w:hAnsi="Times New Roman" w:cs="Times New Roman"/>
                <w:sz w:val="24"/>
                <w:szCs w:val="24"/>
              </w:rPr>
              <w:t>90 109</w:t>
            </w:r>
          </w:p>
        </w:tc>
      </w:tr>
      <w:tr w:rsidR="00281079" w:rsidRPr="00B41308" w14:paraId="5C2D32E2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43D5BCA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00F73917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60" w:type="dxa"/>
            <w:noWrap/>
            <w:vAlign w:val="center"/>
          </w:tcPr>
          <w:p w14:paraId="2755DFA1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60" w:type="dxa"/>
            <w:noWrap/>
            <w:vAlign w:val="center"/>
          </w:tcPr>
          <w:p w14:paraId="2470E6C7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60" w:type="dxa"/>
            <w:noWrap/>
            <w:vAlign w:val="center"/>
          </w:tcPr>
          <w:p w14:paraId="1A52239E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81079" w:rsidRPr="00B41308" w14:paraId="7B52AA52" w14:textId="77777777" w:rsidTr="00347DF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D05FF6D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7A24C95E" w14:textId="599D7213" w:rsidR="00281079" w:rsidRPr="00B41308" w:rsidRDefault="00B075D8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39</w:t>
            </w:r>
            <w:r w:rsidR="00B0150A"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</w:t>
            </w: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</w:t>
            </w:r>
            <w:r w:rsidR="00B0150A"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113</w:t>
            </w:r>
          </w:p>
        </w:tc>
        <w:tc>
          <w:tcPr>
            <w:tcW w:w="1460" w:type="dxa"/>
            <w:noWrap/>
            <w:vAlign w:val="center"/>
          </w:tcPr>
          <w:p w14:paraId="704E1401" w14:textId="082E2C7B" w:rsidR="00281079" w:rsidRPr="00B41308" w:rsidRDefault="00B075D8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</w:t>
            </w:r>
            <w:r w:rsidR="00B0150A"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90 227</w:t>
            </w:r>
          </w:p>
        </w:tc>
        <w:tc>
          <w:tcPr>
            <w:tcW w:w="1460" w:type="dxa"/>
            <w:noWrap/>
            <w:vAlign w:val="center"/>
          </w:tcPr>
          <w:p w14:paraId="7E626A1D" w14:textId="4694C3BC" w:rsidR="00281079" w:rsidRPr="00B41308" w:rsidRDefault="00B0150A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790 227</w:t>
            </w:r>
          </w:p>
        </w:tc>
        <w:tc>
          <w:tcPr>
            <w:tcW w:w="1460" w:type="dxa"/>
            <w:noWrap/>
            <w:vAlign w:val="center"/>
          </w:tcPr>
          <w:p w14:paraId="208DCF33" w14:textId="150A7E73" w:rsidR="00281079" w:rsidRPr="00B41308" w:rsidRDefault="00B0150A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790 227</w:t>
            </w:r>
          </w:p>
        </w:tc>
      </w:tr>
      <w:tr w:rsidR="00281079" w:rsidRPr="00B41308" w14:paraId="433A2BE8" w14:textId="77777777" w:rsidTr="00347DF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D5D00FA" w14:textId="77777777" w:rsidR="00281079" w:rsidRPr="00B41308" w:rsidRDefault="00281079" w:rsidP="00281079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63FB53F4" w14:textId="6AC64117" w:rsidR="00281079" w:rsidRPr="00B41308" w:rsidRDefault="00B075D8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39</w:t>
            </w:r>
            <w:r w:rsidR="00B0150A"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5 113</w:t>
            </w:r>
          </w:p>
        </w:tc>
        <w:tc>
          <w:tcPr>
            <w:tcW w:w="1460" w:type="dxa"/>
            <w:noWrap/>
            <w:vAlign w:val="center"/>
          </w:tcPr>
          <w:p w14:paraId="3BD0AF60" w14:textId="52BC05F7" w:rsidR="00281079" w:rsidRPr="00B41308" w:rsidRDefault="00B075D8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</w:t>
            </w:r>
            <w:r w:rsidR="00B0150A"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90 227</w:t>
            </w:r>
          </w:p>
        </w:tc>
        <w:tc>
          <w:tcPr>
            <w:tcW w:w="1460" w:type="dxa"/>
            <w:noWrap/>
            <w:vAlign w:val="center"/>
          </w:tcPr>
          <w:p w14:paraId="4FE4D9C1" w14:textId="4DE8DF22" w:rsidR="00281079" w:rsidRPr="00B41308" w:rsidRDefault="00B0150A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790 227</w:t>
            </w:r>
          </w:p>
        </w:tc>
        <w:tc>
          <w:tcPr>
            <w:tcW w:w="1460" w:type="dxa"/>
            <w:noWrap/>
            <w:vAlign w:val="center"/>
          </w:tcPr>
          <w:p w14:paraId="19829FD3" w14:textId="2CB35049" w:rsidR="00281079" w:rsidRPr="00B41308" w:rsidRDefault="00B0150A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790 227</w:t>
            </w:r>
          </w:p>
        </w:tc>
      </w:tr>
      <w:tr w:rsidR="00281079" w:rsidRPr="00B41308" w14:paraId="5C73176C" w14:textId="77777777" w:rsidTr="00347DF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9B33D59" w14:textId="77777777" w:rsidR="00281079" w:rsidRPr="00B41308" w:rsidRDefault="00281079" w:rsidP="00281079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5C453F8B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67A3AAE2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0CDF95D1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7883341C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46ED6694" w14:textId="77777777" w:rsidTr="00347DF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65670D0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D32A896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1B7A7835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4624A84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09D18BD0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17D8E8D5" w14:textId="77777777" w:rsidTr="00347DF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C852890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B71EC43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1C8198EA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32D402EE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0A81279A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4002B13A" w14:textId="77777777" w:rsidTr="00347DF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768FB75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183ADAB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03AA3DD6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3512DD83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2FC8A8DB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F3EE6" w:rsidRPr="00B41308" w14:paraId="16C6F27E" w14:textId="77777777" w:rsidTr="003132F1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255C57A" w14:textId="77777777" w:rsidR="000F3EE6" w:rsidRPr="00B41308" w:rsidRDefault="000F3EE6" w:rsidP="000F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</w:tcPr>
          <w:p w14:paraId="6F85B721" w14:textId="69F3899B" w:rsidR="00930F49" w:rsidRPr="00B41308" w:rsidRDefault="003132F1" w:rsidP="00313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73 026</w:t>
            </w:r>
          </w:p>
        </w:tc>
        <w:tc>
          <w:tcPr>
            <w:tcW w:w="1460" w:type="dxa"/>
            <w:shd w:val="clear" w:color="auto" w:fill="C0C0C0"/>
            <w:noWrap/>
          </w:tcPr>
          <w:p w14:paraId="77CF56B6" w14:textId="49612F7F" w:rsidR="000F3EE6" w:rsidRPr="00B41308" w:rsidRDefault="000F3EE6" w:rsidP="000F3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C0C0C0"/>
            <w:noWrap/>
          </w:tcPr>
          <w:p w14:paraId="683E6958" w14:textId="1E4DB695" w:rsidR="000F3EE6" w:rsidRPr="00B41308" w:rsidRDefault="000F3EE6" w:rsidP="000F3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C0C0C0"/>
            <w:noWrap/>
          </w:tcPr>
          <w:p w14:paraId="3D5C3E18" w14:textId="2065E4AB" w:rsidR="000F3EE6" w:rsidRPr="00B41308" w:rsidRDefault="000F3EE6" w:rsidP="000F3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0E605A" w:rsidRPr="00B41308" w14:paraId="3F76EC10" w14:textId="77777777" w:rsidTr="00F2073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E82CF10" w14:textId="77777777" w:rsidR="003132F1" w:rsidRPr="00B41308" w:rsidRDefault="000E605A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 tom: </w:t>
            </w:r>
          </w:p>
          <w:p w14:paraId="1357750A" w14:textId="0AE5E76D" w:rsidR="000E605A" w:rsidRPr="00B41308" w:rsidRDefault="000E605A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ÚPV SR</w:t>
            </w:r>
            <w:r w:rsidR="003132F1"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program </w:t>
            </w:r>
            <w:r w:rsidR="00BC5EA3"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0EK 0R IT financované zo ŠR – ÚPV SR</w:t>
            </w: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bottom"/>
          </w:tcPr>
          <w:p w14:paraId="1D31CCFD" w14:textId="47FAF917" w:rsidR="000E605A" w:rsidRPr="00B41308" w:rsidRDefault="004C189D" w:rsidP="006D5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73 02</w:t>
            </w:r>
            <w:r w:rsidR="003132F1"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0" w:type="dxa"/>
            <w:noWrap/>
            <w:vAlign w:val="bottom"/>
          </w:tcPr>
          <w:p w14:paraId="1A91BCE9" w14:textId="7F9076BF" w:rsidR="000E605A" w:rsidRPr="00B41308" w:rsidRDefault="000E605A" w:rsidP="0098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bottom"/>
          </w:tcPr>
          <w:p w14:paraId="6408F68E" w14:textId="642878A4" w:rsidR="000E605A" w:rsidRPr="00B41308" w:rsidRDefault="000E605A" w:rsidP="0098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bottom"/>
          </w:tcPr>
          <w:p w14:paraId="46E7A377" w14:textId="7FA92422" w:rsidR="000E605A" w:rsidRPr="00B41308" w:rsidRDefault="000E605A" w:rsidP="00983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7EA9EFC3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0D30B50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0B65B3E3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60" w:type="dxa"/>
            <w:noWrap/>
            <w:vAlign w:val="center"/>
          </w:tcPr>
          <w:p w14:paraId="57B2CB4D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60" w:type="dxa"/>
            <w:noWrap/>
            <w:vAlign w:val="center"/>
          </w:tcPr>
          <w:p w14:paraId="012E3FE3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60" w:type="dxa"/>
            <w:noWrap/>
            <w:vAlign w:val="center"/>
          </w:tcPr>
          <w:p w14:paraId="6655A50E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0F3EE6" w:rsidRPr="00B41308" w14:paraId="1C4C26B9" w14:textId="77777777" w:rsidTr="003132F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86003CD" w14:textId="77777777" w:rsidR="000F3EE6" w:rsidRPr="00B41308" w:rsidRDefault="000F3EE6" w:rsidP="000F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</w:tcPr>
          <w:p w14:paraId="767EA1F7" w14:textId="0232C82B" w:rsidR="000F3EE6" w:rsidRPr="00B41308" w:rsidRDefault="003132F1" w:rsidP="00313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73 026</w:t>
            </w:r>
          </w:p>
        </w:tc>
        <w:tc>
          <w:tcPr>
            <w:tcW w:w="1460" w:type="dxa"/>
            <w:noWrap/>
          </w:tcPr>
          <w:p w14:paraId="73188068" w14:textId="719C5448" w:rsidR="000F3EE6" w:rsidRPr="00B41308" w:rsidRDefault="000F3EE6" w:rsidP="00930F49">
            <w:pPr>
              <w:pStyle w:val="Odsekzoznamu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</w:tcPr>
          <w:p w14:paraId="0E030368" w14:textId="44A24F6A" w:rsidR="000F3EE6" w:rsidRPr="00B41308" w:rsidRDefault="000F3EE6" w:rsidP="00930F49">
            <w:pPr>
              <w:pStyle w:val="Odsekzoznamu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</w:tcPr>
          <w:p w14:paraId="24A6565E" w14:textId="5EDCB608" w:rsidR="000F3EE6" w:rsidRPr="00B41308" w:rsidRDefault="000F3EE6" w:rsidP="00930F49">
            <w:pPr>
              <w:pStyle w:val="Odsekzoznamu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30F49" w:rsidRPr="00B41308" w14:paraId="323B06B6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0764121" w14:textId="77777777" w:rsidR="00930F49" w:rsidRPr="00B41308" w:rsidRDefault="00930F49" w:rsidP="00930F49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</w:tcPr>
          <w:p w14:paraId="43AD5220" w14:textId="7135C0CE" w:rsidR="00930F49" w:rsidRPr="00B41308" w:rsidRDefault="000E605A" w:rsidP="00313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73 02</w:t>
            </w:r>
            <w:r w:rsidR="003132F1"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0" w:type="dxa"/>
            <w:noWrap/>
          </w:tcPr>
          <w:p w14:paraId="6B3465DF" w14:textId="2C781AC9" w:rsidR="00930F49" w:rsidRPr="00B41308" w:rsidRDefault="00930F49" w:rsidP="00930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noWrap/>
          </w:tcPr>
          <w:p w14:paraId="54350A75" w14:textId="527215A0" w:rsidR="00930F49" w:rsidRPr="00B41308" w:rsidRDefault="00930F49" w:rsidP="00930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noWrap/>
          </w:tcPr>
          <w:p w14:paraId="11DEFA75" w14:textId="0E656000" w:rsidR="00930F49" w:rsidRPr="00B41308" w:rsidRDefault="00930F49" w:rsidP="00930F49">
            <w:pPr>
              <w:pStyle w:val="Odsekzoznamu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1079" w:rsidRPr="00B41308" w14:paraId="21C6D08A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D7D5467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6C1BB68D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7E3735D5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27191AE6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0929C066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22BC1A83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33AFC8C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68F76C76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7708D064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282F9141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3E42715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3AC8CD24" w14:textId="77777777" w:rsidTr="00347DF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551CAD0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DDE6261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677114C1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78361111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D39BB07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3D65A933" w14:textId="77777777" w:rsidTr="00347DF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472B080" w14:textId="77777777" w:rsidR="00281079" w:rsidRPr="00B41308" w:rsidRDefault="00281079" w:rsidP="00281079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7EE9F0D8" w14:textId="77777777" w:rsidR="00281079" w:rsidRPr="00B41308" w:rsidRDefault="00281079" w:rsidP="00281079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6FC98035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20486745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14AE78D8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045EA17B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6B49C032" w14:textId="77777777" w:rsidTr="00347DF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018E83E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692366A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23E5A93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6D258740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53C297E3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169A1D8C" w14:textId="77777777" w:rsidTr="00347DF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75F2B1D" w14:textId="77777777" w:rsidR="00281079" w:rsidRPr="00B41308" w:rsidRDefault="00281079" w:rsidP="00281079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6905AF34" w14:textId="77777777" w:rsidR="00281079" w:rsidRPr="00B41308" w:rsidRDefault="00281079" w:rsidP="00281079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1A1F5C86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02D331B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210E7604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2D23DD0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28DB5DA1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16C3430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F1AF559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68431DFD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71E257C3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134DC06A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23BCBA0C" w14:textId="77777777" w:rsidTr="00347DF7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2A3A908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B984C94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BFBFBF" w:themeFill="background1" w:themeFillShade="BF"/>
            <w:noWrap/>
            <w:vAlign w:val="center"/>
          </w:tcPr>
          <w:p w14:paraId="7CBEBE34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BFBFBF" w:themeFill="background1" w:themeFillShade="BF"/>
            <w:noWrap/>
            <w:vAlign w:val="center"/>
          </w:tcPr>
          <w:p w14:paraId="3C93CC13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BFBFBF" w:themeFill="background1" w:themeFillShade="BF"/>
            <w:noWrap/>
            <w:vAlign w:val="center"/>
          </w:tcPr>
          <w:p w14:paraId="0D08C00F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7875600F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3A137C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10A4D92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34EA57E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3B2FA93E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2E7C7A87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248C3DA2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9F3298B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08D8A59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21012B6F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4EC1685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3028B3F3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1E8DA261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32526DA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350391C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27ABBEB1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02BF45C6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7EE47C9D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29413E93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A9B19B6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B3636FA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19E80930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75B52D5B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29A01BB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1962DB4B" w14:textId="77777777" w:rsidTr="00347DF7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70A467F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03F5FB5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BFBFBF" w:themeFill="background1" w:themeFillShade="BF"/>
            <w:noWrap/>
            <w:vAlign w:val="center"/>
          </w:tcPr>
          <w:p w14:paraId="4A47A055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BFBFBF" w:themeFill="background1" w:themeFillShade="BF"/>
            <w:noWrap/>
            <w:vAlign w:val="center"/>
          </w:tcPr>
          <w:p w14:paraId="38DEC734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BFBFBF" w:themeFill="background1" w:themeFillShade="BF"/>
            <w:noWrap/>
            <w:vAlign w:val="center"/>
          </w:tcPr>
          <w:p w14:paraId="558CE610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4229B2F0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08379CF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EE49818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32ABBCC5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01758DAA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15C859CC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75647CFD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4C27FA2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4A7554C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62803094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6AD49426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784475B4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48D5A04F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B1BE6D4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87322AA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2405B0D2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095D32B2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576E984D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633548F9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673C47A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24544A0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166692D5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781BADA6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58E1A2F4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146EB1AD" w14:textId="77777777" w:rsidTr="00347DF7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E3D6C99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57BF1E3" w14:textId="36329EF7" w:rsidR="00281079" w:rsidRPr="00B41308" w:rsidRDefault="003132F1" w:rsidP="00313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73 026</w:t>
            </w:r>
          </w:p>
        </w:tc>
        <w:tc>
          <w:tcPr>
            <w:tcW w:w="1460" w:type="dxa"/>
            <w:shd w:val="clear" w:color="auto" w:fill="C0C0C0"/>
            <w:noWrap/>
            <w:vAlign w:val="center"/>
          </w:tcPr>
          <w:p w14:paraId="5EFB762B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C0C0C0"/>
            <w:noWrap/>
            <w:vAlign w:val="center"/>
          </w:tcPr>
          <w:p w14:paraId="6FF12E41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C0C0C0"/>
            <w:noWrap/>
            <w:vAlign w:val="center"/>
          </w:tcPr>
          <w:p w14:paraId="12885D44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1466AB49" w14:textId="77777777" w:rsidTr="00347DF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5A3079F" w14:textId="4F094B83" w:rsidR="00281079" w:rsidRPr="00B41308" w:rsidRDefault="0028107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v tom: </w:t>
            </w:r>
            <w:r w:rsidR="003132F1"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MF SR / program 074 04 Výkon ďalších funkcií MF SR</w:t>
            </w:r>
          </w:p>
        </w:tc>
        <w:tc>
          <w:tcPr>
            <w:tcW w:w="1267" w:type="dxa"/>
            <w:noWrap/>
            <w:vAlign w:val="center"/>
          </w:tcPr>
          <w:p w14:paraId="0A684D6F" w14:textId="32A2BC01" w:rsidR="00281079" w:rsidRPr="00B41308" w:rsidRDefault="005F19A6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73 026</w:t>
            </w:r>
          </w:p>
        </w:tc>
        <w:tc>
          <w:tcPr>
            <w:tcW w:w="1460" w:type="dxa"/>
            <w:noWrap/>
            <w:vAlign w:val="center"/>
          </w:tcPr>
          <w:p w14:paraId="5E6F59BD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70D28D43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588228DE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81079" w:rsidRPr="00B41308" w14:paraId="713FE456" w14:textId="77777777" w:rsidTr="00347DF7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1C5D2CE" w14:textId="77777777" w:rsidR="00281079" w:rsidRPr="00B41308" w:rsidRDefault="00281079" w:rsidP="0028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D350705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BFBFBF" w:themeFill="background1" w:themeFillShade="BF"/>
            <w:noWrap/>
            <w:vAlign w:val="center"/>
          </w:tcPr>
          <w:p w14:paraId="565B3104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BFBFBF" w:themeFill="background1" w:themeFillShade="BF"/>
            <w:noWrap/>
            <w:vAlign w:val="center"/>
          </w:tcPr>
          <w:p w14:paraId="03745D5E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BFBFBF" w:themeFill="background1" w:themeFillShade="BF"/>
            <w:noWrap/>
            <w:vAlign w:val="center"/>
          </w:tcPr>
          <w:p w14:paraId="222E9CBE" w14:textId="77777777" w:rsidR="00281079" w:rsidRPr="00B41308" w:rsidRDefault="00281079" w:rsidP="0028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0F3EE6" w:rsidRPr="00B41308" w14:paraId="68D298EE" w14:textId="77777777" w:rsidTr="003132F1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3B27A3BD" w14:textId="77777777" w:rsidR="000F3EE6" w:rsidRPr="00B41308" w:rsidRDefault="000F3EE6" w:rsidP="000F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14:paraId="7AC16418" w14:textId="5412FF43" w:rsidR="000F3EE6" w:rsidRPr="00B41308" w:rsidRDefault="000F3EE6" w:rsidP="000F3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A6A6A6" w:themeFill="background1" w:themeFillShade="A6"/>
            <w:noWrap/>
          </w:tcPr>
          <w:p w14:paraId="6829F623" w14:textId="77D7903E" w:rsidR="000F3EE6" w:rsidRPr="00B41308" w:rsidRDefault="000F3EE6" w:rsidP="000F3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A6A6A6" w:themeFill="background1" w:themeFillShade="A6"/>
            <w:noWrap/>
          </w:tcPr>
          <w:p w14:paraId="2CD47BA7" w14:textId="23C591BD" w:rsidR="000F3EE6" w:rsidRPr="00B41308" w:rsidRDefault="000F3EE6" w:rsidP="000F3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A6A6A6" w:themeFill="background1" w:themeFillShade="A6"/>
            <w:noWrap/>
          </w:tcPr>
          <w:p w14:paraId="6E986E76" w14:textId="6D74B2D5" w:rsidR="000F3EE6" w:rsidRPr="00B41308" w:rsidRDefault="000F3EE6" w:rsidP="000F3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0"/>
    <w:p w14:paraId="70971993" w14:textId="77777777" w:rsidR="000F3EE6" w:rsidRPr="00B41308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</w:t>
      </w:r>
    </w:p>
    <w:p w14:paraId="7241CA3C" w14:textId="62159236" w:rsidR="001F624A" w:rsidRPr="00B41308" w:rsidRDefault="001C721D" w:rsidP="000F3EE6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1/B</w:t>
      </w:r>
    </w:p>
    <w:tbl>
      <w:tblPr>
        <w:tblW w:w="1024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6"/>
        <w:gridCol w:w="1170"/>
        <w:gridCol w:w="1462"/>
        <w:gridCol w:w="1170"/>
        <w:gridCol w:w="1463"/>
      </w:tblGrid>
      <w:tr w:rsidR="001C721D" w:rsidRPr="00B41308" w14:paraId="5A51987E" w14:textId="77777777" w:rsidTr="00AB68B3">
        <w:trPr>
          <w:trHeight w:val="31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F84F97" w14:textId="77777777" w:rsidR="001C721D" w:rsidRPr="00B41308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122DFF" w14:textId="0EA346DA" w:rsidR="001C721D" w:rsidRPr="00B41308" w:rsidRDefault="009B0CE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7B56D2" w14:textId="0A7D5A04" w:rsidR="001C721D" w:rsidRPr="00B41308" w:rsidRDefault="009B0CE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BE7F33" w14:textId="1BFCEDE1" w:rsidR="001C721D" w:rsidRPr="00B41308" w:rsidRDefault="009B0CE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2270E4" w14:textId="6EFE00E6" w:rsidR="001C721D" w:rsidRPr="00B41308" w:rsidRDefault="009B0CE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2028</w:t>
            </w:r>
          </w:p>
        </w:tc>
      </w:tr>
      <w:tr w:rsidR="001C721D" w:rsidRPr="00B41308" w14:paraId="3AF56305" w14:textId="77777777" w:rsidTr="00F20736">
        <w:trPr>
          <w:trHeight w:val="31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54066C" w14:textId="77777777" w:rsidR="001C721D" w:rsidRPr="00B41308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1F3F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8EB4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488F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67D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B41308" w14:paraId="02552B44" w14:textId="77777777" w:rsidTr="00F20736">
        <w:trPr>
          <w:trHeight w:val="31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0A19D8" w14:textId="77777777" w:rsidR="003132F1" w:rsidRPr="00B41308" w:rsidRDefault="003132F1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 tom: </w:t>
            </w:r>
          </w:p>
          <w:p w14:paraId="3A0B5E14" w14:textId="5A1D7805" w:rsidR="003132F1" w:rsidRPr="00B41308" w:rsidRDefault="003132F1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ÚPV SR, program </w:t>
            </w:r>
            <w:r w:rsidR="00BC5EA3"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0EK 0R IT financované zo ŠR – ÚPV SR </w:t>
            </w: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14:paraId="72E48916" w14:textId="358BAD6F" w:rsidR="001C721D" w:rsidRPr="00B41308" w:rsidRDefault="003132F1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MF SR / program 074 04 Výkon ďalších funkcií MF SR</w:t>
            </w: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B18EA" w14:textId="4A89523E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63A015E8" w14:textId="7E1A909D" w:rsidR="003132F1" w:rsidRPr="00B41308" w:rsidRDefault="003132F1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73</w:t>
            </w:r>
            <w:r w:rsidR="00BC5EA3"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026</w:t>
            </w:r>
          </w:p>
          <w:p w14:paraId="72F78C40" w14:textId="77777777" w:rsidR="00BC5EA3" w:rsidRPr="00B41308" w:rsidRDefault="00BC5EA3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446BFBC4" w14:textId="4373C922" w:rsidR="003132F1" w:rsidRPr="00B41308" w:rsidRDefault="003132F1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-73</w:t>
            </w:r>
            <w:r w:rsidR="00BC5EA3"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1843" w14:textId="4EDC5E50" w:rsidR="00BC5EA3" w:rsidRPr="00B41308" w:rsidRDefault="00BC5EA3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  <w:p w14:paraId="1BEA688A" w14:textId="77777777" w:rsidR="00BC5EA3" w:rsidRPr="00B41308" w:rsidRDefault="00BC5EA3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7DA661E5" w14:textId="077E8614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08D4" w14:textId="771AF674" w:rsidR="00BC5EA3" w:rsidRPr="00B41308" w:rsidRDefault="00BC5EA3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  <w:p w14:paraId="69F3515A" w14:textId="77777777" w:rsidR="00BC5EA3" w:rsidRPr="00B41308" w:rsidRDefault="00BC5EA3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73068A45" w14:textId="1828A29E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3DF3" w14:textId="606DC6B6" w:rsidR="00BC5EA3" w:rsidRPr="00B41308" w:rsidRDefault="00BC5EA3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  <w:p w14:paraId="0D13E246" w14:textId="77777777" w:rsidR="00BC5EA3" w:rsidRPr="00B41308" w:rsidRDefault="00BC5EA3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5CF3717A" w14:textId="51FA5ECE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B41308" w14:paraId="3D101978" w14:textId="77777777" w:rsidTr="00F20736">
        <w:trPr>
          <w:trHeight w:val="31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69904B" w14:textId="77777777" w:rsidR="001C721D" w:rsidRPr="00B41308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56C1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FBDD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0748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1F43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B41308" w14:paraId="4B04ABAF" w14:textId="77777777" w:rsidTr="00F20736">
        <w:trPr>
          <w:trHeight w:val="31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ADD90D" w14:textId="77777777" w:rsidR="001C721D" w:rsidRPr="00B41308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401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9A65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D8BB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3A2D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B41308" w14:paraId="121DAA06" w14:textId="77777777" w:rsidTr="00F20736">
        <w:trPr>
          <w:trHeight w:val="31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3B4287" w14:textId="77777777" w:rsidR="001C721D" w:rsidRPr="00B41308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E260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5298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6344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FD92" w14:textId="77777777" w:rsidR="001C721D" w:rsidRPr="00B41308" w:rsidRDefault="001C721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B41308" w14:paraId="3EF639D1" w14:textId="77777777" w:rsidTr="00F20736">
        <w:trPr>
          <w:trHeight w:val="31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71075CF" w14:textId="77777777" w:rsidR="002135D4" w:rsidRPr="00B41308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4091" w14:textId="77777777" w:rsidR="002135D4" w:rsidRPr="00B41308" w:rsidRDefault="002135D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E7A0" w14:textId="77777777" w:rsidR="002135D4" w:rsidRPr="00B41308" w:rsidRDefault="002135D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9CCB" w14:textId="77777777" w:rsidR="002135D4" w:rsidRPr="00B41308" w:rsidRDefault="002135D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1661" w14:textId="77777777" w:rsidR="002135D4" w:rsidRPr="00B41308" w:rsidRDefault="002135D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0714D1B5" w14:textId="77777777" w:rsidR="003F35B7" w:rsidRPr="00B41308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BDCADF" w14:textId="77777777" w:rsidR="007D5748" w:rsidRPr="00B41308" w:rsidRDefault="007D5748" w:rsidP="00176A5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401C96BE" w14:textId="77777777" w:rsidR="007D5748" w:rsidRPr="00B4130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7F762355" w14:textId="474B9827" w:rsidR="001049F8" w:rsidRPr="00B41308" w:rsidRDefault="00A65D26" w:rsidP="002810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Predkladaný návrh zabezpečuje predpokladaný nárast príjmov verejnej správy zo správnych poplatkov v sume </w:t>
      </w:r>
      <w:r w:rsidR="005A6812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</w:t>
      </w:r>
      <w:r w:rsidR="00265BF5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="005A6812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65BF5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118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€</w:t>
      </w:r>
      <w:r w:rsidR="00176A54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z udržiavacích poplatkov v sume </w:t>
      </w:r>
      <w:r w:rsidR="00B075D8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590 109</w:t>
      </w:r>
      <w:r w:rsidR="00176A54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€</w:t>
      </w:r>
      <w:r w:rsidR="007D2E2E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ročne</w:t>
      </w:r>
      <w:r w:rsidR="008F0EDA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t. j. celkovo ročne o</w:t>
      </w:r>
      <w:r w:rsidR="00BC5EA3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B075D8" w:rsidRPr="00B413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7</w:t>
      </w:r>
      <w:r w:rsidR="00BC5EA3" w:rsidRPr="00B413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90 227</w:t>
      </w:r>
      <w:r w:rsidR="00EE268D" w:rsidRPr="00B413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</w:t>
      </w:r>
      <w:r w:rsidR="008F0EDA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€.</w:t>
      </w:r>
      <w:r w:rsidR="001049F8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Uvedené príjmy verejnej správy zo správnych poplatkov </w:t>
      </w:r>
      <w:r w:rsidR="005A6812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udržiavacích poplatkov 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by v porovnaní s rokom 2023</w:t>
      </w:r>
      <w:r w:rsidR="006233D0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mohli každoročne 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narásť </w:t>
      </w:r>
      <w:r w:rsidR="006233D0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 uvedenú sumu 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počnúc prvým </w:t>
      </w:r>
      <w:r w:rsidR="005A6812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celým 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rokom účinnosti zákona (rok 202</w:t>
      </w:r>
      <w:r w:rsidR="005A6812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="006233D0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14:paraId="3A18E00B" w14:textId="77777777" w:rsidR="00BC5EA3" w:rsidRPr="00B41308" w:rsidRDefault="00BC5EA3" w:rsidP="002810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761A07A" w14:textId="084D1DA0" w:rsidR="00176A54" w:rsidRPr="00B41308" w:rsidRDefault="005A6812" w:rsidP="002810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roku 2025 s ohľadom na navrhovaný termín nadobudnutia účinnosti návrhu zákona (1.7.2025) je možné </w:t>
      </w:r>
      <w:r w:rsidR="006233D0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predpokladať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nárast príjmov ÚPV SR v nadväznosti na zvýšené sadzby správnych a udržiavacích poplatkov</w:t>
      </w:r>
      <w:r w:rsidR="00D90560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približne vo výške </w:t>
      </w:r>
      <w:r w:rsidR="006065F4" w:rsidRPr="00B413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39</w:t>
      </w:r>
      <w:r w:rsidR="00BC5EA3" w:rsidRPr="00B413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5 113</w:t>
      </w:r>
      <w:r w:rsidR="006065F4" w:rsidRPr="00B413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€. </w:t>
      </w:r>
      <w:r w:rsidR="00A65D26" w:rsidRPr="00B413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</w:p>
    <w:p w14:paraId="10E60F0B" w14:textId="64DBCE31" w:rsidR="00265BF5" w:rsidRPr="00B41308" w:rsidRDefault="00265BF5" w:rsidP="002810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3CFC6AD" w14:textId="2D720E37" w:rsidR="007D5748" w:rsidRPr="00B41308" w:rsidRDefault="00176A54" w:rsidP="002810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Predkladateľ 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dentifikoval nároky na výdavky verejnej správy na základe </w:t>
      </w:r>
      <w:r w:rsidR="0093236D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redloženého návrhu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spočívajúce v </w:t>
      </w:r>
      <w:r w:rsidR="008561E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integrácii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561E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agendového informačného systému 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ÚPV SR (predkladateľa) do </w:t>
      </w:r>
      <w:r w:rsidR="008561E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centrálneho 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systému </w:t>
      </w:r>
      <w:r w:rsidR="008561E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evidencie poplatkov 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Štátnej pokladnice </w:t>
      </w:r>
      <w:r w:rsidR="008561E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(„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Úhrady</w:t>
      </w:r>
      <w:r w:rsidR="008561E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zmen</w:t>
      </w:r>
      <w:r w:rsidR="00453808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procesov spracovania správnych poplatkov za úkony a konania pred ÚPV SR vo výške 59 370 </w:t>
      </w:r>
      <w:r w:rsidR="006065F4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</w:t>
      </w:r>
      <w:r w:rsidR="003132F1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DPH, t. j. </w:t>
      </w:r>
      <w:r w:rsidR="006065F4" w:rsidRPr="00B413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73 02</w:t>
      </w:r>
      <w:r w:rsidR="003132F1" w:rsidRPr="00B413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B3A47" w:rsidRPr="00B41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€ </w:t>
      </w:r>
      <w:r w:rsidR="006065F4" w:rsidRPr="00B41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 23% DPH</w:t>
      </w:r>
      <w:r w:rsidR="00974349" w:rsidRPr="00B41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4E0A8F" w:rsidRPr="00B41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4E0A8F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 zaokrúhlení </w:t>
      </w:r>
      <w:r w:rsidR="00974349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(výška DPH od 1.</w:t>
      </w:r>
      <w:r w:rsidR="007A724E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74349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1.</w:t>
      </w:r>
      <w:r w:rsidR="007A724E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74349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2025)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Financovanie identifikovaných výdavkov bude zabezpečené rozpočtovým opatrením v roku 2025, na základe ktorého dôjde k zníženiu </w:t>
      </w:r>
      <w:r w:rsidR="008561E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záväzného limitu 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výdavkov rozpočtovej kapitoly Ministerstva financií Slovenskej republiky </w:t>
      </w:r>
      <w:r w:rsidR="008561E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</w:t>
      </w:r>
      <w:r w:rsidR="003132F1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="008561E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službu </w:t>
      </w:r>
      <w:proofErr w:type="spellStart"/>
      <w:r w:rsidR="008561E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olok</w:t>
      </w:r>
      <w:proofErr w:type="spellEnd"/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identifikovaného výdavku spojeného s</w:t>
      </w:r>
      <w:r w:rsidR="008561E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o zapojením</w:t>
      </w:r>
      <w:r w:rsidR="006065F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ÚPV SR </w:t>
      </w:r>
      <w:r w:rsidR="00CB3A47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pilotného orgánu štátnej správy </w:t>
      </w:r>
      <w:r w:rsidR="00FC397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centrálneho systému evidencie poplatkov Štátnej pokladnice („Úhrady“) </w:t>
      </w:r>
      <w:r w:rsidR="00CB3A47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súbežného zvýšenia </w:t>
      </w:r>
      <w:r w:rsidR="008561E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záväzného limitu </w:t>
      </w:r>
      <w:r w:rsidR="00CB3A47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výdavkov rozpočtovej kapitoly ÚPV SR na rok 2025 o sumu 73 02</w:t>
      </w:r>
      <w:r w:rsidR="003132F1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CB3A47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B3A47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€.</w:t>
      </w:r>
    </w:p>
    <w:p w14:paraId="2F9D6089" w14:textId="4152E652" w:rsidR="00FC3972" w:rsidRPr="00B41308" w:rsidRDefault="00FC397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245AA45E" w14:textId="77777777" w:rsidR="009B0CE9" w:rsidRPr="00B41308" w:rsidRDefault="009B0CE9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D4E5C17" w14:textId="21756481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322FA2EB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89CC90" w14:textId="77777777" w:rsidR="007D5748" w:rsidRPr="00B4130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09799D30" w14:textId="77777777" w:rsidR="007D5748" w:rsidRPr="00B4130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98FEAFE" w14:textId="77777777" w:rsidR="007D5748" w:rsidRPr="00B4130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4136E0B9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6623" w:rsidRPr="00B41308" w14:paraId="03C5E921" w14:textId="77777777" w:rsidTr="001B6623">
        <w:tc>
          <w:tcPr>
            <w:tcW w:w="9062" w:type="dxa"/>
          </w:tcPr>
          <w:p w14:paraId="625AB8D2" w14:textId="770716C8" w:rsidR="004F589D" w:rsidRPr="00B41308" w:rsidRDefault="001B6623" w:rsidP="001B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Predkladaný návrh zákona zabezpečuje jednotnú a konzistentnú úpravu právnych prepisov v oblasti priemyselného vlastníctva v rozsahu navrhovaných zmien. Novelizácie jednotlivých právnych pre</w:t>
            </w:r>
            <w:r w:rsidR="004F589D" w:rsidRPr="00B4130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pisov prostredníctvom predloženého návrhu sa týkajú vyššej miery elektronizácie služieb poskytovaných zo strany ÚPV SR prostredníctvom upustenia od listinnej formy vydávania konkrétnych právnou úpravou zadefinovaných </w:t>
            </w:r>
            <w:r w:rsidR="0075611A" w:rsidRPr="00B41308">
              <w:rPr>
                <w:rFonts w:ascii="Times New Roman" w:hAnsi="Times New Roman" w:cs="Times New Roman"/>
                <w:sz w:val="24"/>
                <w:szCs w:val="24"/>
              </w:rPr>
              <w:t>dokumentov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a primeranej aplikácie pravidiel výkonu verejnej moci elektronicky v súlade so zákonom č.</w:t>
            </w:r>
            <w:r w:rsidR="009833B1" w:rsidRPr="00B413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305/2013 Z. z. </w:t>
            </w:r>
          </w:p>
          <w:p w14:paraId="0AFC738F" w14:textId="77777777" w:rsidR="004F589D" w:rsidRPr="00B41308" w:rsidRDefault="004F589D" w:rsidP="001B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0095F" w14:textId="7FF74B57" w:rsidR="001B6623" w:rsidRPr="00B41308" w:rsidRDefault="001B6623" w:rsidP="001B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Zároveň sa predloženým návrhom odstraňujú nedostatky vyplývajúce z aplikačnej praxe naprieč jednotlivými predpismi upravujúcimi predmety </w:t>
            </w:r>
            <w:proofErr w:type="spellStart"/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priemyselnoprávnej</w:t>
            </w:r>
            <w:proofErr w:type="spellEnd"/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ochrany tak, aby boli </w:t>
            </w:r>
            <w:r w:rsidR="004F589D" w:rsidRPr="00B4130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ednoznačne sta</w:t>
            </w:r>
            <w:r w:rsidR="004F589D" w:rsidRPr="00B4130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vené štandardy, posilnená úroveň právnej istoty zúčastnených subjektov, adresátov právnej normy</w:t>
            </w:r>
            <w:r w:rsidR="003D23DD" w:rsidRPr="00B41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a tiež predvídateľnosť a transparentnosť postupu a rozhodovania ÚPV SR. </w:t>
            </w:r>
          </w:p>
          <w:p w14:paraId="4D123759" w14:textId="77777777" w:rsidR="003D23DD" w:rsidRPr="00B41308" w:rsidRDefault="003D23DD" w:rsidP="001B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6996" w14:textId="4EE23D27" w:rsidR="001B6623" w:rsidRPr="00B41308" w:rsidRDefault="001B6623" w:rsidP="001B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V nadväznosti na podnety vyplývajúce z externého prostredia, zo strany užívateľov systému </w:t>
            </w:r>
            <w:proofErr w:type="spellStart"/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priemyselnoprávnej</w:t>
            </w:r>
            <w:proofErr w:type="spellEnd"/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ochrany, návrh zákona koncipuje v rámci právnej úpravy pravidlá pre priznávanie trov v sporových konaniach vedených pred ÚPV SR.  </w:t>
            </w:r>
          </w:p>
          <w:p w14:paraId="5850E99E" w14:textId="77777777" w:rsidR="003D23DD" w:rsidRPr="00B41308" w:rsidRDefault="003D23DD" w:rsidP="001B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84DE" w14:textId="5781440A" w:rsidR="001B6623" w:rsidRPr="00B41308" w:rsidRDefault="006233D0" w:rsidP="001B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B6623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redkladaným návrhom 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 w:rsidR="001B6623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pristupuje 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="001B6623" w:rsidRPr="00B41308">
              <w:rPr>
                <w:rFonts w:ascii="Times New Roman" w:hAnsi="Times New Roman" w:cs="Times New Roman"/>
                <w:sz w:val="24"/>
                <w:szCs w:val="24"/>
              </w:rPr>
              <w:t>k revízii sadzieb správnych poplatkov v</w:t>
            </w:r>
            <w:r w:rsidR="0075611A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Sadzobníku správnych poplatkov XVI. Časť Priemyselné práva</w:t>
            </w:r>
            <w:r w:rsidR="001B6623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, ktoré boli naposledy revidované </w:t>
            </w:r>
            <w:r w:rsidR="0075611A" w:rsidRPr="00B41308">
              <w:rPr>
                <w:rFonts w:ascii="Times New Roman" w:hAnsi="Times New Roman" w:cs="Times New Roman"/>
                <w:sz w:val="24"/>
                <w:szCs w:val="24"/>
              </w:rPr>
              <w:t>k 1.1.2018,</w:t>
            </w:r>
            <w:r w:rsidR="00AE305C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a udržiavacích poplatkov</w:t>
            </w:r>
            <w:r w:rsidR="0075611A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za udržiavanie platnosti patentu</w:t>
            </w:r>
            <w:r w:rsidR="00AE305C" w:rsidRPr="00B41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611A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európskeho patentu s účinkami pre Slovenskú republiku a</w:t>
            </w:r>
            <w:r w:rsidR="004F3926" w:rsidRPr="00B41308">
              <w:rPr>
                <w:rFonts w:ascii="Times New Roman" w:hAnsi="Times New Roman" w:cs="Times New Roman"/>
                <w:sz w:val="24"/>
                <w:szCs w:val="24"/>
              </w:rPr>
              <w:t> za udržiavanie platnosti dodatkového ochranného osvedčenia,</w:t>
            </w:r>
            <w:r w:rsidR="00AE305C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ktoré neboli</w:t>
            </w:r>
            <w:r w:rsidR="0098196B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11A" w:rsidRPr="00B41308">
              <w:rPr>
                <w:rFonts w:ascii="Times New Roman" w:hAnsi="Times New Roman" w:cs="Times New Roman"/>
                <w:sz w:val="24"/>
                <w:szCs w:val="24"/>
              </w:rPr>
              <w:t>revidované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od roku 2008</w:t>
            </w:r>
            <w:r w:rsidR="001B6623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. Nastavenie správnych poplatkov bude lepšie odzrkadľovať pomer medzi administratívnou náročnosťou úkonov a konaní úradu na jednej strane a benefitmi </w:t>
            </w:r>
            <w:proofErr w:type="spellStart"/>
            <w:r w:rsidR="001B6623" w:rsidRPr="00B41308">
              <w:rPr>
                <w:rFonts w:ascii="Times New Roman" w:hAnsi="Times New Roman" w:cs="Times New Roman"/>
                <w:sz w:val="24"/>
                <w:szCs w:val="24"/>
              </w:rPr>
              <w:t>priemyselnoprávnej</w:t>
            </w:r>
            <w:proofErr w:type="spellEnd"/>
            <w:r w:rsidR="001B6623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ochrany na strane klientov úradu, zároveň sa v rámci sadzieb správnych poplatkov </w:t>
            </w:r>
            <w:r w:rsidR="003D23DD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a udržiavacích poplatkov </w:t>
            </w:r>
            <w:r w:rsidR="001B6623" w:rsidRPr="00B41308">
              <w:rPr>
                <w:rFonts w:ascii="Times New Roman" w:hAnsi="Times New Roman" w:cs="Times New Roman"/>
                <w:sz w:val="24"/>
                <w:szCs w:val="24"/>
              </w:rPr>
              <w:t>pristúpilo k ich zaokrúhľovaniu a zohľadneni</w:t>
            </w:r>
            <w:r w:rsidR="003D23DD" w:rsidRPr="00B4130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B6623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inflačného koeficientu od moment</w:t>
            </w:r>
            <w:r w:rsidR="003D23DD" w:rsidRPr="00B4130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B6623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ich poslednej revízie pri súčasnej reflexii na parametre súvisiaceho trhového a podnikateľského prostredia vo vzťahu k európskym štandardom a nutnosť zachovania konkurencieschopnosti ÚPV SR pri využívaní nástrojov </w:t>
            </w:r>
            <w:proofErr w:type="spellStart"/>
            <w:r w:rsidR="001B6623" w:rsidRPr="00B41308">
              <w:rPr>
                <w:rFonts w:ascii="Times New Roman" w:hAnsi="Times New Roman" w:cs="Times New Roman"/>
                <w:sz w:val="24"/>
                <w:szCs w:val="24"/>
              </w:rPr>
              <w:t>priemyselnoprávnej</w:t>
            </w:r>
            <w:proofErr w:type="spellEnd"/>
            <w:r w:rsidR="001B6623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ochrany v národnom a európskom kontexte.</w:t>
            </w:r>
            <w:r w:rsidR="00173BFB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Pri výpočte predpokladaného dopadu na rozpočet verejnej správy predkladateľ zohľadnil zmeny vo výške zníženej sadzby za elektronické podania (novela zákona </w:t>
            </w:r>
            <w:r w:rsidR="00BD3D67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NR SR </w:t>
            </w:r>
            <w:r w:rsidR="00173BFB" w:rsidRPr="00B41308">
              <w:rPr>
                <w:rFonts w:ascii="Times New Roman" w:hAnsi="Times New Roman" w:cs="Times New Roman"/>
                <w:sz w:val="24"/>
                <w:szCs w:val="24"/>
              </w:rPr>
              <w:t>č. 145/1995 Z. z. platná od 1.4.2024)</w:t>
            </w:r>
            <w:r w:rsidR="002E2314" w:rsidRPr="00B41308">
              <w:rPr>
                <w:rFonts w:ascii="Times New Roman" w:hAnsi="Times New Roman" w:cs="Times New Roman"/>
                <w:sz w:val="24"/>
                <w:szCs w:val="24"/>
              </w:rPr>
              <w:t>, vychádzal z interných štatistických údajov o početnosti jednotlivých úkonov/konaní vedených pred ÚPV SR ako aj miery využívania elektronického spôsobu podávania žiadostí zo strany občanov/podnikateľov.</w:t>
            </w:r>
          </w:p>
          <w:p w14:paraId="4EE8995A" w14:textId="77777777" w:rsidR="003D23DD" w:rsidRPr="00B41308" w:rsidRDefault="003D23DD" w:rsidP="001B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D2FA3" w14:textId="3C4C9975" w:rsidR="001B6623" w:rsidRPr="00B41308" w:rsidRDefault="001B6623" w:rsidP="001B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Predkladateľom uvedené </w:t>
            </w:r>
            <w:r w:rsidR="006233D0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odhadované 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zvýšenie príjmov rozpočtu verejnej správy v dôsledku zmeny sadzby správnych a udržiavacích poplatkov vychádza z porovnania údajov za predchádzajúce kalendárne roky</w:t>
            </w:r>
            <w:r w:rsidR="00CC1FDA" w:rsidRPr="00B41308">
              <w:rPr>
                <w:rFonts w:ascii="Times New Roman" w:hAnsi="Times New Roman" w:cs="Times New Roman"/>
                <w:sz w:val="24"/>
                <w:szCs w:val="24"/>
              </w:rPr>
              <w:t>. Je v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šak potrebné </w:t>
            </w:r>
            <w:r w:rsidR="00CC1FDA" w:rsidRPr="00B41308">
              <w:rPr>
                <w:rFonts w:ascii="Times New Roman" w:hAnsi="Times New Roman" w:cs="Times New Roman"/>
                <w:sz w:val="24"/>
                <w:szCs w:val="24"/>
              </w:rPr>
              <w:t>zdôrazniť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, že samotné zvýšenie sadzby automaticky negarantuje lineárne zvýšenie vybraného správneho či udržiavacieho poplatku.</w:t>
            </w:r>
            <w:r w:rsidR="00CC1FDA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Faktický dopad na zvýšenie príjmov rozpočtu verejnej správy bude podmienený samotnou početnosťou realizovaných úkonov zo strany dotknutých subjektov a formy realizácie úkonov spojených s povinnosťou úhrady správneho poplatku</w:t>
            </w:r>
            <w:r w:rsidR="001C7928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(listinne/elektronicky)</w:t>
            </w:r>
            <w:r w:rsidR="00CC1FDA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FDA" w:rsidRPr="00B41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Uvedené skutočnosti</w:t>
            </w:r>
            <w:r w:rsidR="001C7928" w:rsidRPr="00B41308">
              <w:rPr>
                <w:rFonts w:ascii="Times New Roman" w:hAnsi="Times New Roman" w:cs="Times New Roman"/>
                <w:sz w:val="24"/>
                <w:szCs w:val="24"/>
              </w:rPr>
              <w:t>, ktoré môže predpokladať v tejto fáze len predpokladať,</w:t>
            </w:r>
            <w:r w:rsidR="00CC1FDA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budú mať v sledovanom období (v rokoch 2025 až 2028) zásadný vplyv</w:t>
            </w:r>
            <w:r w:rsidR="001C7928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na samotný dopad na rozpočet verejnej správy.  </w:t>
            </w:r>
            <w:r w:rsidR="00CC1FDA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13944C7" w14:textId="77777777" w:rsidR="001B6623" w:rsidRPr="00B41308" w:rsidRDefault="001B6623" w:rsidP="001B6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D10417C" w14:textId="0616DEBE" w:rsidR="001B6623" w:rsidRPr="00B41308" w:rsidRDefault="001B6623" w:rsidP="001B6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Návrh bude implementovať Úrad priemyselného vlastníctva SR a služby sa budú poskytovať</w:t>
            </w:r>
            <w:r w:rsidR="004F3926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celonárodne,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klientom </w:t>
            </w:r>
            <w:r w:rsidR="004F3926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nielen zo 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Slovenskej republiky</w:t>
            </w:r>
            <w:r w:rsidR="004F3926"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ale aj zahraničným klientom</w:t>
            </w: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 xml:space="preserve"> keďže ÚPV SR je ústredným orgánom štátnej správy pre oblasť priemyselného vlastníctva (§ 32 kompetenčného zákona).</w:t>
            </w:r>
          </w:p>
          <w:p w14:paraId="5066688E" w14:textId="77777777" w:rsidR="001B6623" w:rsidRPr="00B41308" w:rsidRDefault="001B6623" w:rsidP="00A6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7F9DD" w14:textId="773DE9D2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..................................................................................................................................................</w:t>
      </w:r>
    </w:p>
    <w:p w14:paraId="57197943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4DE16D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51CDBD28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DE87F6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B41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6012DFCD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4F20A9D7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33208C4D" w14:textId="076AFCBC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A65D26" w:rsidRPr="00B4130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B4130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02B32EBB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2F147DB9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27E81E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258CE0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6C9A646F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BE836" w14:textId="7E9494A7" w:rsidR="007D5748" w:rsidRPr="00B4130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2517D36A" w14:textId="1E165005" w:rsidR="00692CDB" w:rsidRPr="00B41308" w:rsidRDefault="00692CDB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A5B75B" w14:textId="3E47325F" w:rsidR="00692CDB" w:rsidRPr="00B41308" w:rsidRDefault="00692CDB" w:rsidP="003D2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Objem jednotlivých aktivít, tak na strane </w:t>
      </w:r>
      <w:r w:rsidR="004F392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ÚPV SR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na strane klientov, v oblasti priemyselného vlastníctva je založený najmä na počte podaných prihlášok v hlavných predmetoch priemyselných práv (patenty, úžitkové vzory, dizajny</w:t>
      </w:r>
      <w:r w:rsidR="0028673E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 ochranné známky</w:t>
      </w:r>
      <w:r w:rsidR="0028673E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dodatkové ochranné osvedčenia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Trend </w:t>
      </w:r>
      <w:r w:rsidR="005F2DBD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podávania prihlášok 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považujeme dlhodobo za ustálený, pričom nie je možné </w:t>
      </w:r>
      <w:r w:rsidR="004F392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vylúčiť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prípadné externé vplyvy</w:t>
      </w:r>
      <w:r w:rsidR="00494FFD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F2134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č. 2a uvádza početnosť nových prihlášok v členení podľa </w:t>
      </w:r>
      <w:r w:rsidR="00453A47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všetkých</w:t>
      </w:r>
      <w:r w:rsidR="00F2134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predmetov priemyselného vlastníctva, pričom na účely stanovenia predpokladaného vývoja aktivít v roku </w:t>
      </w:r>
      <w:r w:rsidR="00AA2E1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účinnosti predkladaného návrhu a v nasledujúcich roko</w:t>
      </w:r>
      <w:r w:rsidR="00316CE8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r w:rsidR="00AA2E1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predkladateľ vychádzal z priemerného počtu nových podaní za posledných päť rokov </w:t>
      </w:r>
      <w:r w:rsidR="00453A47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vzťahu k predmetom priemyselného vlastníctva, ktoré sú dotknuté predkladaným návrhom zákona </w:t>
      </w:r>
      <w:r w:rsidR="00AA2E1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pri zohľadnení predbežných trendov v roku 2024</w:t>
      </w:r>
      <w:r w:rsidR="003D23DD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(viď Tabuľka č.</w:t>
      </w:r>
      <w:r w:rsidR="009833B1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D23DD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2b)</w:t>
      </w:r>
      <w:r w:rsidR="00494FFD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. V tabuľke č. 2c je uvedený prehľad zapísaných priemyselných práv v členení podľa predmeto</w:t>
      </w:r>
      <w:r w:rsidR="000F3EE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94FFD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priemyselného vlastníctva. </w:t>
      </w:r>
    </w:p>
    <w:p w14:paraId="287E10E2" w14:textId="111A0318" w:rsidR="00E5520A" w:rsidRPr="00B41308" w:rsidRDefault="00692CDB" w:rsidP="00692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2</w:t>
      </w:r>
      <w:r w:rsidR="00F21346"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</w:p>
    <w:tbl>
      <w:tblPr>
        <w:tblStyle w:val="Mriekatabuky"/>
        <w:tblW w:w="9018" w:type="dxa"/>
        <w:tblLook w:val="04A0" w:firstRow="1" w:lastRow="0" w:firstColumn="1" w:lastColumn="0" w:noHBand="0" w:noVBand="1"/>
      </w:tblPr>
      <w:tblGrid>
        <w:gridCol w:w="2241"/>
        <w:gridCol w:w="1150"/>
        <w:gridCol w:w="1151"/>
        <w:gridCol w:w="1152"/>
        <w:gridCol w:w="1152"/>
        <w:gridCol w:w="1152"/>
        <w:gridCol w:w="1020"/>
      </w:tblGrid>
      <w:tr w:rsidR="00E5520A" w:rsidRPr="00B41308" w14:paraId="20C91918" w14:textId="77777777" w:rsidTr="00494FFD">
        <w:trPr>
          <w:trHeight w:val="394"/>
        </w:trPr>
        <w:tc>
          <w:tcPr>
            <w:tcW w:w="2241" w:type="dxa"/>
            <w:shd w:val="clear" w:color="auto" w:fill="B8CCE4" w:themeFill="accent1" w:themeFillTint="66"/>
          </w:tcPr>
          <w:p w14:paraId="3AC1DB81" w14:textId="4A5CFB91" w:rsidR="00E5520A" w:rsidRPr="00B41308" w:rsidRDefault="00E5520A" w:rsidP="003132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1308">
              <w:rPr>
                <w:rFonts w:ascii="Times New Roman" w:hAnsi="Times New Roman" w:cs="Times New Roman"/>
                <w:b/>
              </w:rPr>
              <w:t>Počet nových podaní podľa predmetov priemyselného vlastníctva</w:t>
            </w:r>
            <w:r w:rsidR="0028673E" w:rsidRPr="00B4130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150" w:type="dxa"/>
            <w:shd w:val="clear" w:color="auto" w:fill="B8CCE4" w:themeFill="accent1" w:themeFillTint="66"/>
          </w:tcPr>
          <w:p w14:paraId="3A0EBFBA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2DE1092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C2E8E3F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4130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51" w:type="dxa"/>
            <w:shd w:val="clear" w:color="auto" w:fill="B8CCE4" w:themeFill="accent1" w:themeFillTint="66"/>
          </w:tcPr>
          <w:p w14:paraId="21140598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82751B1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775B2FE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4130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52" w:type="dxa"/>
            <w:shd w:val="clear" w:color="auto" w:fill="B8CCE4" w:themeFill="accent1" w:themeFillTint="66"/>
          </w:tcPr>
          <w:p w14:paraId="39607CE3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5A3D64C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61068A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41308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152" w:type="dxa"/>
            <w:shd w:val="clear" w:color="auto" w:fill="B8CCE4" w:themeFill="accent1" w:themeFillTint="66"/>
          </w:tcPr>
          <w:p w14:paraId="5A44A94F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72018FD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56B5ADB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4130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52" w:type="dxa"/>
            <w:shd w:val="clear" w:color="auto" w:fill="B8CCE4" w:themeFill="accent1" w:themeFillTint="66"/>
          </w:tcPr>
          <w:p w14:paraId="42895F32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B15E0A0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1571D57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4130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20" w:type="dxa"/>
            <w:shd w:val="clear" w:color="auto" w:fill="B8CCE4" w:themeFill="accent1" w:themeFillTint="66"/>
          </w:tcPr>
          <w:p w14:paraId="060D4376" w14:textId="77777777" w:rsidR="00E5520A" w:rsidRPr="00B41308" w:rsidRDefault="00E5520A" w:rsidP="003132F1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45E1C9D4" w14:textId="77777777" w:rsidR="00E5520A" w:rsidRPr="00B41308" w:rsidRDefault="00E5520A" w:rsidP="003132F1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0208A5B1" w14:textId="77777777" w:rsidR="00E5520A" w:rsidRPr="00B41308" w:rsidRDefault="00E5520A" w:rsidP="003132F1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</w:rPr>
            </w:pPr>
            <w:r w:rsidRPr="00B41308">
              <w:rPr>
                <w:rFonts w:ascii="Times New Roman" w:hAnsi="Times New Roman" w:cs="Times New Roman"/>
                <w:b/>
                <w:bCs/>
              </w:rPr>
              <w:t>priemer</w:t>
            </w:r>
          </w:p>
        </w:tc>
      </w:tr>
      <w:tr w:rsidR="00E5520A" w:rsidRPr="00B41308" w14:paraId="65142AB5" w14:textId="77777777" w:rsidTr="00494FFD">
        <w:trPr>
          <w:trHeight w:val="183"/>
        </w:trPr>
        <w:tc>
          <w:tcPr>
            <w:tcW w:w="2241" w:type="dxa"/>
          </w:tcPr>
          <w:p w14:paraId="5DD4847D" w14:textId="77777777" w:rsidR="00E5520A" w:rsidRPr="00B41308" w:rsidRDefault="00E5520A" w:rsidP="003132F1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41308">
              <w:rPr>
                <w:rFonts w:ascii="Times New Roman" w:hAnsi="Times New Roman" w:cs="Times New Roman"/>
                <w:b/>
              </w:rPr>
              <w:t>Ochranné známky</w:t>
            </w:r>
          </w:p>
        </w:tc>
        <w:tc>
          <w:tcPr>
            <w:tcW w:w="1150" w:type="dxa"/>
          </w:tcPr>
          <w:p w14:paraId="3CEB86ED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2878</w:t>
            </w:r>
          </w:p>
        </w:tc>
        <w:tc>
          <w:tcPr>
            <w:tcW w:w="1151" w:type="dxa"/>
          </w:tcPr>
          <w:p w14:paraId="32A411EF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2987</w:t>
            </w:r>
          </w:p>
        </w:tc>
        <w:tc>
          <w:tcPr>
            <w:tcW w:w="1152" w:type="dxa"/>
          </w:tcPr>
          <w:p w14:paraId="5B50BD83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3287</w:t>
            </w:r>
          </w:p>
        </w:tc>
        <w:tc>
          <w:tcPr>
            <w:tcW w:w="1152" w:type="dxa"/>
          </w:tcPr>
          <w:p w14:paraId="43833391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2492</w:t>
            </w:r>
          </w:p>
        </w:tc>
        <w:tc>
          <w:tcPr>
            <w:tcW w:w="1152" w:type="dxa"/>
          </w:tcPr>
          <w:p w14:paraId="1B5E0783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2724</w:t>
            </w:r>
          </w:p>
        </w:tc>
        <w:tc>
          <w:tcPr>
            <w:tcW w:w="1020" w:type="dxa"/>
          </w:tcPr>
          <w:p w14:paraId="0152EB29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</w:rPr>
              <w:t>2873,6</w:t>
            </w:r>
          </w:p>
        </w:tc>
      </w:tr>
      <w:tr w:rsidR="00E5520A" w:rsidRPr="00B41308" w14:paraId="4993E2F8" w14:textId="77777777" w:rsidTr="00494FFD">
        <w:trPr>
          <w:trHeight w:val="183"/>
        </w:trPr>
        <w:tc>
          <w:tcPr>
            <w:tcW w:w="2241" w:type="dxa"/>
          </w:tcPr>
          <w:p w14:paraId="51B73F0A" w14:textId="77777777" w:rsidR="00E5520A" w:rsidRPr="00B41308" w:rsidRDefault="00E5520A" w:rsidP="003132F1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41308">
              <w:rPr>
                <w:rFonts w:ascii="Times New Roman" w:hAnsi="Times New Roman" w:cs="Times New Roman"/>
                <w:b/>
              </w:rPr>
              <w:t>Patenty</w:t>
            </w:r>
          </w:p>
        </w:tc>
        <w:tc>
          <w:tcPr>
            <w:tcW w:w="1150" w:type="dxa"/>
          </w:tcPr>
          <w:p w14:paraId="7DFA4D67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234</w:t>
            </w:r>
          </w:p>
        </w:tc>
        <w:tc>
          <w:tcPr>
            <w:tcW w:w="1151" w:type="dxa"/>
          </w:tcPr>
          <w:p w14:paraId="06786268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221</w:t>
            </w:r>
          </w:p>
        </w:tc>
        <w:tc>
          <w:tcPr>
            <w:tcW w:w="1152" w:type="dxa"/>
          </w:tcPr>
          <w:p w14:paraId="5363D82B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159</w:t>
            </w:r>
          </w:p>
        </w:tc>
        <w:tc>
          <w:tcPr>
            <w:tcW w:w="1152" w:type="dxa"/>
          </w:tcPr>
          <w:p w14:paraId="3868BFCA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203</w:t>
            </w:r>
          </w:p>
        </w:tc>
        <w:tc>
          <w:tcPr>
            <w:tcW w:w="1152" w:type="dxa"/>
          </w:tcPr>
          <w:p w14:paraId="25927DE1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256</w:t>
            </w:r>
          </w:p>
        </w:tc>
        <w:tc>
          <w:tcPr>
            <w:tcW w:w="1020" w:type="dxa"/>
          </w:tcPr>
          <w:p w14:paraId="7FF3DDE0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</w:rPr>
              <w:t>214,6</w:t>
            </w:r>
          </w:p>
        </w:tc>
      </w:tr>
      <w:tr w:rsidR="00E5520A" w:rsidRPr="00B41308" w14:paraId="583D2926" w14:textId="77777777" w:rsidTr="00494FFD">
        <w:trPr>
          <w:trHeight w:val="220"/>
        </w:trPr>
        <w:tc>
          <w:tcPr>
            <w:tcW w:w="2241" w:type="dxa"/>
          </w:tcPr>
          <w:p w14:paraId="49772307" w14:textId="77777777" w:rsidR="00E5520A" w:rsidRPr="00B41308" w:rsidRDefault="00E5520A" w:rsidP="003132F1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41308">
              <w:rPr>
                <w:rFonts w:ascii="Times New Roman" w:hAnsi="Times New Roman" w:cs="Times New Roman"/>
                <w:b/>
              </w:rPr>
              <w:t>Dodatkové ochranné osvedčenia</w:t>
            </w:r>
          </w:p>
        </w:tc>
        <w:tc>
          <w:tcPr>
            <w:tcW w:w="1150" w:type="dxa"/>
          </w:tcPr>
          <w:p w14:paraId="7A87A2B3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151" w:type="dxa"/>
          </w:tcPr>
          <w:p w14:paraId="4079A117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152" w:type="dxa"/>
          </w:tcPr>
          <w:p w14:paraId="1525D722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152" w:type="dxa"/>
          </w:tcPr>
          <w:p w14:paraId="67BAFCC7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52" w:type="dxa"/>
          </w:tcPr>
          <w:p w14:paraId="0B805ECC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020" w:type="dxa"/>
          </w:tcPr>
          <w:p w14:paraId="56C17F4A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</w:rPr>
              <w:t>46,8</w:t>
            </w:r>
          </w:p>
        </w:tc>
      </w:tr>
      <w:tr w:rsidR="00E5520A" w:rsidRPr="00B41308" w14:paraId="6F31FDF3" w14:textId="77777777" w:rsidTr="00494FFD">
        <w:trPr>
          <w:trHeight w:val="183"/>
        </w:trPr>
        <w:tc>
          <w:tcPr>
            <w:tcW w:w="2241" w:type="dxa"/>
          </w:tcPr>
          <w:p w14:paraId="3D608CE4" w14:textId="77777777" w:rsidR="00E5520A" w:rsidRPr="00B41308" w:rsidRDefault="00E5520A" w:rsidP="003132F1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41308">
              <w:rPr>
                <w:rFonts w:ascii="Times New Roman" w:hAnsi="Times New Roman" w:cs="Times New Roman"/>
                <w:b/>
              </w:rPr>
              <w:t>Úžitkové vzory</w:t>
            </w:r>
          </w:p>
        </w:tc>
        <w:tc>
          <w:tcPr>
            <w:tcW w:w="1150" w:type="dxa"/>
          </w:tcPr>
          <w:p w14:paraId="3C09EADC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325</w:t>
            </w:r>
          </w:p>
        </w:tc>
        <w:tc>
          <w:tcPr>
            <w:tcW w:w="1151" w:type="dxa"/>
          </w:tcPr>
          <w:p w14:paraId="6383C034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390</w:t>
            </w:r>
          </w:p>
        </w:tc>
        <w:tc>
          <w:tcPr>
            <w:tcW w:w="1152" w:type="dxa"/>
          </w:tcPr>
          <w:p w14:paraId="50717344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297</w:t>
            </w:r>
          </w:p>
        </w:tc>
        <w:tc>
          <w:tcPr>
            <w:tcW w:w="1152" w:type="dxa"/>
          </w:tcPr>
          <w:p w14:paraId="2B5FD285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288</w:t>
            </w:r>
          </w:p>
        </w:tc>
        <w:tc>
          <w:tcPr>
            <w:tcW w:w="1152" w:type="dxa"/>
          </w:tcPr>
          <w:p w14:paraId="161BF17D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343</w:t>
            </w:r>
          </w:p>
        </w:tc>
        <w:tc>
          <w:tcPr>
            <w:tcW w:w="1020" w:type="dxa"/>
          </w:tcPr>
          <w:p w14:paraId="490C1297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</w:rPr>
              <w:t>328,6</w:t>
            </w:r>
          </w:p>
        </w:tc>
      </w:tr>
      <w:tr w:rsidR="00E5520A" w:rsidRPr="00B41308" w14:paraId="78156178" w14:textId="77777777" w:rsidTr="00494FFD">
        <w:trPr>
          <w:trHeight w:val="196"/>
        </w:trPr>
        <w:tc>
          <w:tcPr>
            <w:tcW w:w="2241" w:type="dxa"/>
          </w:tcPr>
          <w:p w14:paraId="6BE83DF9" w14:textId="77777777" w:rsidR="00E5520A" w:rsidRPr="00B41308" w:rsidRDefault="00E5520A" w:rsidP="003132F1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41308">
              <w:rPr>
                <w:rFonts w:ascii="Times New Roman" w:hAnsi="Times New Roman" w:cs="Times New Roman"/>
                <w:b/>
              </w:rPr>
              <w:t>Dizajny</w:t>
            </w:r>
          </w:p>
        </w:tc>
        <w:tc>
          <w:tcPr>
            <w:tcW w:w="1150" w:type="dxa"/>
          </w:tcPr>
          <w:p w14:paraId="479E6C79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1151" w:type="dxa"/>
          </w:tcPr>
          <w:p w14:paraId="23B430E8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145</w:t>
            </w:r>
          </w:p>
        </w:tc>
        <w:tc>
          <w:tcPr>
            <w:tcW w:w="1152" w:type="dxa"/>
          </w:tcPr>
          <w:p w14:paraId="52C4EAAE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113</w:t>
            </w:r>
          </w:p>
        </w:tc>
        <w:tc>
          <w:tcPr>
            <w:tcW w:w="1152" w:type="dxa"/>
          </w:tcPr>
          <w:p w14:paraId="676BEA1A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52" w:type="dxa"/>
          </w:tcPr>
          <w:p w14:paraId="3200DFEE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1020" w:type="dxa"/>
          </w:tcPr>
          <w:p w14:paraId="669B8A4C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</w:rPr>
              <w:t>114</w:t>
            </w:r>
          </w:p>
        </w:tc>
      </w:tr>
      <w:tr w:rsidR="00E5520A" w:rsidRPr="00B41308" w14:paraId="2E240725" w14:textId="77777777" w:rsidTr="00494FFD">
        <w:trPr>
          <w:trHeight w:val="971"/>
        </w:trPr>
        <w:tc>
          <w:tcPr>
            <w:tcW w:w="2241" w:type="dxa"/>
          </w:tcPr>
          <w:p w14:paraId="67492CF5" w14:textId="650CBB3A" w:rsidR="00E5520A" w:rsidRPr="00B41308" w:rsidRDefault="00E5520A" w:rsidP="003132F1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41308">
              <w:rPr>
                <w:rFonts w:ascii="Times New Roman" w:hAnsi="Times New Roman" w:cs="Times New Roman"/>
                <w:b/>
              </w:rPr>
              <w:t xml:space="preserve">Označenia pôvodu výrobkov a zemepisné </w:t>
            </w:r>
            <w:r w:rsidRPr="00B41308">
              <w:rPr>
                <w:rFonts w:ascii="Times New Roman" w:hAnsi="Times New Roman" w:cs="Times New Roman"/>
                <w:b/>
              </w:rPr>
              <w:lastRenderedPageBreak/>
              <w:t>označenia výrobkov</w:t>
            </w:r>
            <w:r w:rsidR="0028673E" w:rsidRPr="00B41308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150" w:type="dxa"/>
          </w:tcPr>
          <w:p w14:paraId="7D4E9049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4A024631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1" w:type="dxa"/>
          </w:tcPr>
          <w:p w14:paraId="544BA170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747D2525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2" w:type="dxa"/>
          </w:tcPr>
          <w:p w14:paraId="0006E605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23B2FEBF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2" w:type="dxa"/>
          </w:tcPr>
          <w:p w14:paraId="24E3B052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4DEFED1D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2" w:type="dxa"/>
          </w:tcPr>
          <w:p w14:paraId="08685BA3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2690377C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20" w:type="dxa"/>
          </w:tcPr>
          <w:p w14:paraId="05AD5D87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</w:p>
          <w:p w14:paraId="66E9B079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</w:rPr>
              <w:t>1,2</w:t>
            </w:r>
          </w:p>
        </w:tc>
      </w:tr>
      <w:tr w:rsidR="00E5520A" w:rsidRPr="00B41308" w14:paraId="2BF5D3EE" w14:textId="77777777" w:rsidTr="00494FFD">
        <w:trPr>
          <w:trHeight w:val="208"/>
        </w:trPr>
        <w:tc>
          <w:tcPr>
            <w:tcW w:w="2241" w:type="dxa"/>
            <w:shd w:val="clear" w:color="auto" w:fill="DBE5F1" w:themeFill="accent1" w:themeFillTint="33"/>
          </w:tcPr>
          <w:p w14:paraId="3732F394" w14:textId="77777777" w:rsidR="00E5520A" w:rsidRPr="00B41308" w:rsidRDefault="00E5520A" w:rsidP="003132F1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41308">
              <w:rPr>
                <w:rFonts w:ascii="Times New Roman" w:hAnsi="Times New Roman" w:cs="Times New Roman"/>
                <w:b/>
              </w:rPr>
              <w:t>Spolu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38B74623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</w:rPr>
              <w:t>5610</w:t>
            </w:r>
          </w:p>
        </w:tc>
        <w:tc>
          <w:tcPr>
            <w:tcW w:w="1151" w:type="dxa"/>
            <w:shd w:val="clear" w:color="auto" w:fill="DBE5F1" w:themeFill="accent1" w:themeFillTint="33"/>
          </w:tcPr>
          <w:p w14:paraId="6A0A9098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</w:rPr>
              <w:t>5822</w:t>
            </w:r>
          </w:p>
        </w:tc>
        <w:tc>
          <w:tcPr>
            <w:tcW w:w="1152" w:type="dxa"/>
            <w:shd w:val="clear" w:color="auto" w:fill="DBE5F1" w:themeFill="accent1" w:themeFillTint="33"/>
          </w:tcPr>
          <w:p w14:paraId="3259F5EE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</w:rPr>
              <w:t>5920</w:t>
            </w:r>
          </w:p>
        </w:tc>
        <w:tc>
          <w:tcPr>
            <w:tcW w:w="1152" w:type="dxa"/>
            <w:shd w:val="clear" w:color="auto" w:fill="DBE5F1" w:themeFill="accent1" w:themeFillTint="33"/>
          </w:tcPr>
          <w:p w14:paraId="403C75B7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</w:rPr>
              <w:t>5159</w:t>
            </w:r>
          </w:p>
        </w:tc>
        <w:tc>
          <w:tcPr>
            <w:tcW w:w="1152" w:type="dxa"/>
            <w:shd w:val="clear" w:color="auto" w:fill="DBE5F1" w:themeFill="accent1" w:themeFillTint="33"/>
          </w:tcPr>
          <w:p w14:paraId="6A7CC78B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41308">
              <w:rPr>
                <w:rFonts w:ascii="Times New Roman" w:hAnsi="Times New Roman" w:cs="Times New Roman"/>
              </w:rPr>
              <w:t>5488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0000613" w14:textId="77777777" w:rsidR="00E5520A" w:rsidRPr="00B41308" w:rsidRDefault="00E5520A" w:rsidP="003132F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B41308">
              <w:rPr>
                <w:rFonts w:ascii="Times New Roman" w:hAnsi="Times New Roman" w:cs="Times New Roman"/>
              </w:rPr>
              <w:t>5599,8</w:t>
            </w:r>
          </w:p>
        </w:tc>
      </w:tr>
    </w:tbl>
    <w:p w14:paraId="3CE821F5" w14:textId="3477987B" w:rsidR="00E5520A" w:rsidRPr="00B41308" w:rsidRDefault="00E5520A" w:rsidP="0028673E">
      <w:pPr>
        <w:tabs>
          <w:tab w:val="left" w:pos="1440"/>
        </w:tabs>
        <w:spacing w:after="120" w:line="240" w:lineRule="auto"/>
        <w:jc w:val="both"/>
        <w:rPr>
          <w:rStyle w:val="Hypertextovprepojenie"/>
          <w:rFonts w:ascii="Times New Roman" w:hAnsi="Times New Roman" w:cs="Times New Roman"/>
          <w:bCs/>
          <w:sz w:val="20"/>
          <w:szCs w:val="20"/>
        </w:rPr>
      </w:pPr>
      <w:r w:rsidRPr="00B41308">
        <w:rPr>
          <w:rFonts w:ascii="Times New Roman" w:hAnsi="Times New Roman" w:cs="Times New Roman"/>
          <w:bCs/>
          <w:sz w:val="20"/>
          <w:szCs w:val="20"/>
        </w:rPr>
        <w:t xml:space="preserve">*Zdroj: </w:t>
      </w:r>
      <w:hyperlink r:id="rId12" w:history="1">
        <w:r w:rsidRPr="00B41308">
          <w:rPr>
            <w:rStyle w:val="Hypertextovprepojenie"/>
            <w:rFonts w:ascii="Times New Roman" w:hAnsi="Times New Roman" w:cs="Times New Roman"/>
            <w:bCs/>
            <w:sz w:val="20"/>
            <w:szCs w:val="20"/>
          </w:rPr>
          <w:t>Výročné správy ÚPV SR za rok 2019 - 2023</w:t>
        </w:r>
      </w:hyperlink>
    </w:p>
    <w:p w14:paraId="6B217C8D" w14:textId="40D4963A" w:rsidR="0028673E" w:rsidRPr="00B41308" w:rsidRDefault="0028673E" w:rsidP="0028673E">
      <w:pPr>
        <w:tabs>
          <w:tab w:val="left" w:pos="1440"/>
        </w:tabs>
        <w:spacing w:after="120" w:line="240" w:lineRule="auto"/>
        <w:jc w:val="both"/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</w:pPr>
      <w:r w:rsidRPr="00B41308"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  <w:t xml:space="preserve">** Údaje o počte označení pôvodu výrobkov a zemepisných označení výrobkov slúžia len na účely celkového prehľadu, novelizácia uvedených predmetov priemyselného práva bude predmetom samostatného legislatívneho procesu </w:t>
      </w:r>
    </w:p>
    <w:p w14:paraId="58CB9668" w14:textId="54C61E9B" w:rsidR="00692CDB" w:rsidRPr="00B41308" w:rsidRDefault="00494FFD" w:rsidP="00D70F3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41308"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  <w:tab/>
      </w:r>
      <w:r w:rsidRPr="00B41308"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  <w:tab/>
      </w:r>
      <w:r w:rsidRPr="00B41308"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  <w:tab/>
      </w:r>
      <w:r w:rsidRPr="00B41308"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  <w:tab/>
      </w:r>
      <w:r w:rsidRPr="00B41308"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  <w:tab/>
      </w:r>
      <w:r w:rsidRPr="00B41308"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  <w:tab/>
      </w:r>
      <w:r w:rsidRPr="00B41308"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  <w:tab/>
      </w:r>
      <w:r w:rsidRPr="00B41308"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  <w:tab/>
      </w:r>
      <w:r w:rsidRPr="00B41308"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  <w:tab/>
      </w:r>
      <w:r w:rsidRPr="00B41308"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  <w:tab/>
        <w:t xml:space="preserve"> </w:t>
      </w:r>
      <w:r w:rsidR="00F21346"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2b</w:t>
      </w:r>
      <w:r w:rsidR="00692CDB"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1165"/>
        <w:gridCol w:w="986"/>
        <w:gridCol w:w="986"/>
        <w:gridCol w:w="1076"/>
        <w:gridCol w:w="987"/>
      </w:tblGrid>
      <w:tr w:rsidR="00692CDB" w:rsidRPr="00B41308" w14:paraId="66B3EDD6" w14:textId="77777777" w:rsidTr="000F3EE6">
        <w:trPr>
          <w:cantSplit/>
          <w:trHeight w:val="49"/>
        </w:trPr>
        <w:tc>
          <w:tcPr>
            <w:tcW w:w="3968" w:type="dxa"/>
            <w:vMerge w:val="restart"/>
            <w:shd w:val="clear" w:color="auto" w:fill="BFBFBF" w:themeFill="background1" w:themeFillShade="BF"/>
            <w:vAlign w:val="center"/>
          </w:tcPr>
          <w:p w14:paraId="15560A52" w14:textId="77777777" w:rsidR="00692CDB" w:rsidRPr="00B41308" w:rsidRDefault="00692CDB" w:rsidP="0031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Objem aktivít</w:t>
            </w:r>
          </w:p>
        </w:tc>
        <w:tc>
          <w:tcPr>
            <w:tcW w:w="5200" w:type="dxa"/>
            <w:gridSpan w:val="5"/>
            <w:shd w:val="clear" w:color="auto" w:fill="BFBFBF" w:themeFill="background1" w:themeFillShade="BF"/>
          </w:tcPr>
          <w:p w14:paraId="20D6ACE7" w14:textId="77777777" w:rsidR="00692CDB" w:rsidRPr="00B41308" w:rsidRDefault="00692CDB" w:rsidP="0031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Odhadované objemy</w:t>
            </w:r>
          </w:p>
        </w:tc>
      </w:tr>
      <w:tr w:rsidR="00692CDB" w:rsidRPr="00B41308" w14:paraId="1B61FD9A" w14:textId="77777777" w:rsidTr="000F3EE6">
        <w:trPr>
          <w:cantSplit/>
          <w:trHeight w:val="49"/>
        </w:trPr>
        <w:tc>
          <w:tcPr>
            <w:tcW w:w="3968" w:type="dxa"/>
            <w:vMerge/>
            <w:shd w:val="clear" w:color="auto" w:fill="BFBFBF" w:themeFill="background1" w:themeFillShade="BF"/>
          </w:tcPr>
          <w:p w14:paraId="1FB8155E" w14:textId="77777777" w:rsidR="00692CDB" w:rsidRPr="00B41308" w:rsidRDefault="00692CDB" w:rsidP="0031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165" w:type="dxa"/>
            <w:shd w:val="clear" w:color="auto" w:fill="BFBFBF" w:themeFill="background1" w:themeFillShade="BF"/>
          </w:tcPr>
          <w:p w14:paraId="74187CD4" w14:textId="0DE82D4C" w:rsidR="00692CDB" w:rsidRPr="00B41308" w:rsidRDefault="00692CDB" w:rsidP="0031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r. 201</w:t>
            </w:r>
            <w:r w:rsidR="00A41130"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9.2023</w:t>
            </w:r>
            <w:r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* 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6A79CE5E" w14:textId="453A1FC3" w:rsidR="00692CDB" w:rsidRPr="00B41308" w:rsidRDefault="00692CDB" w:rsidP="0031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 20</w:t>
            </w:r>
            <w:r w:rsidR="00A41130"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25</w:t>
            </w:r>
            <w:r w:rsidR="00F21346"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**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5DEEE801" w14:textId="77777777" w:rsidR="00692CDB" w:rsidRPr="00B41308" w:rsidRDefault="00692CDB" w:rsidP="0031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 + 1</w:t>
            </w: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14:paraId="314751DF" w14:textId="77777777" w:rsidR="00692CDB" w:rsidRPr="00B41308" w:rsidRDefault="00692CDB" w:rsidP="0031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 + 2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181C93E2" w14:textId="77777777" w:rsidR="00692CDB" w:rsidRPr="00B41308" w:rsidRDefault="00692CDB" w:rsidP="0031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 + 3</w:t>
            </w:r>
          </w:p>
        </w:tc>
      </w:tr>
      <w:tr w:rsidR="0028673E" w:rsidRPr="00B41308" w14:paraId="204AFAB5" w14:textId="77777777" w:rsidTr="000F3EE6">
        <w:trPr>
          <w:trHeight w:val="49"/>
        </w:trPr>
        <w:tc>
          <w:tcPr>
            <w:tcW w:w="3968" w:type="dxa"/>
          </w:tcPr>
          <w:p w14:paraId="723B1BD7" w14:textId="6A72B104" w:rsidR="0028673E" w:rsidRPr="00B41308" w:rsidRDefault="0028673E" w:rsidP="002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</w:rPr>
              <w:t>Počet prihlášok ochranných známok</w:t>
            </w:r>
          </w:p>
        </w:tc>
        <w:tc>
          <w:tcPr>
            <w:tcW w:w="1165" w:type="dxa"/>
          </w:tcPr>
          <w:p w14:paraId="60A7FF70" w14:textId="4CFDD8CB" w:rsidR="0028673E" w:rsidRPr="00B41308" w:rsidRDefault="0028673E" w:rsidP="002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2874</w:t>
            </w:r>
          </w:p>
        </w:tc>
        <w:tc>
          <w:tcPr>
            <w:tcW w:w="986" w:type="dxa"/>
          </w:tcPr>
          <w:p w14:paraId="27FF611A" w14:textId="4172D304" w:rsidR="0028673E" w:rsidRPr="00B41308" w:rsidRDefault="0028673E" w:rsidP="002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986" w:type="dxa"/>
          </w:tcPr>
          <w:p w14:paraId="0B3CEE20" w14:textId="6D16102D" w:rsidR="0028673E" w:rsidRPr="00B41308" w:rsidRDefault="0028673E" w:rsidP="002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308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076" w:type="dxa"/>
          </w:tcPr>
          <w:p w14:paraId="3B8806A2" w14:textId="02777262" w:rsidR="0028673E" w:rsidRPr="00B41308" w:rsidRDefault="0028673E" w:rsidP="002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308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986" w:type="dxa"/>
          </w:tcPr>
          <w:p w14:paraId="6C7359DA" w14:textId="3B6BB999" w:rsidR="0028673E" w:rsidRPr="00B41308" w:rsidRDefault="0028673E" w:rsidP="002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308">
              <w:rPr>
                <w:rFonts w:ascii="Times New Roman" w:hAnsi="Times New Roman" w:cs="Times New Roman"/>
              </w:rPr>
              <w:t>2800</w:t>
            </w:r>
          </w:p>
        </w:tc>
      </w:tr>
      <w:tr w:rsidR="00F21346" w:rsidRPr="00B41308" w14:paraId="77C97F64" w14:textId="77777777" w:rsidTr="000F3EE6">
        <w:trPr>
          <w:trHeight w:val="49"/>
        </w:trPr>
        <w:tc>
          <w:tcPr>
            <w:tcW w:w="3968" w:type="dxa"/>
          </w:tcPr>
          <w:p w14:paraId="194AAEC6" w14:textId="77777777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prihlášok patentov</w:t>
            </w:r>
          </w:p>
        </w:tc>
        <w:tc>
          <w:tcPr>
            <w:tcW w:w="1165" w:type="dxa"/>
          </w:tcPr>
          <w:p w14:paraId="611FB3C0" w14:textId="410B636A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215</w:t>
            </w:r>
          </w:p>
        </w:tc>
        <w:tc>
          <w:tcPr>
            <w:tcW w:w="986" w:type="dxa"/>
          </w:tcPr>
          <w:p w14:paraId="183FB414" w14:textId="1266642F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220</w:t>
            </w:r>
          </w:p>
        </w:tc>
        <w:tc>
          <w:tcPr>
            <w:tcW w:w="986" w:type="dxa"/>
          </w:tcPr>
          <w:p w14:paraId="5EEC293F" w14:textId="00A5D7BC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76" w:type="dxa"/>
          </w:tcPr>
          <w:p w14:paraId="24F748C1" w14:textId="592E9290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86" w:type="dxa"/>
          </w:tcPr>
          <w:p w14:paraId="3DAED90C" w14:textId="58A7679E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220</w:t>
            </w:r>
          </w:p>
        </w:tc>
      </w:tr>
      <w:tr w:rsidR="00F21346" w:rsidRPr="00B41308" w14:paraId="6E52DBB3" w14:textId="77777777" w:rsidTr="000F3EE6">
        <w:trPr>
          <w:trHeight w:val="49"/>
        </w:trPr>
        <w:tc>
          <w:tcPr>
            <w:tcW w:w="3968" w:type="dxa"/>
          </w:tcPr>
          <w:p w14:paraId="7CB205EE" w14:textId="51EA0F0F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Dodatkové ochranné osvedčenia</w:t>
            </w:r>
          </w:p>
        </w:tc>
        <w:tc>
          <w:tcPr>
            <w:tcW w:w="1165" w:type="dxa"/>
          </w:tcPr>
          <w:p w14:paraId="549A6615" w14:textId="07D627B4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47</w:t>
            </w:r>
          </w:p>
        </w:tc>
        <w:tc>
          <w:tcPr>
            <w:tcW w:w="986" w:type="dxa"/>
          </w:tcPr>
          <w:p w14:paraId="424B1FC0" w14:textId="40E78735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48</w:t>
            </w:r>
          </w:p>
        </w:tc>
        <w:tc>
          <w:tcPr>
            <w:tcW w:w="986" w:type="dxa"/>
          </w:tcPr>
          <w:p w14:paraId="570DE6B6" w14:textId="7551E916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6" w:type="dxa"/>
          </w:tcPr>
          <w:p w14:paraId="4B58A56A" w14:textId="6AB97574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6" w:type="dxa"/>
          </w:tcPr>
          <w:p w14:paraId="22CEB06C" w14:textId="293F0D37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48</w:t>
            </w:r>
          </w:p>
        </w:tc>
      </w:tr>
      <w:tr w:rsidR="00F21346" w:rsidRPr="00B41308" w14:paraId="1B365F19" w14:textId="77777777" w:rsidTr="000F3EE6">
        <w:trPr>
          <w:trHeight w:val="49"/>
        </w:trPr>
        <w:tc>
          <w:tcPr>
            <w:tcW w:w="3968" w:type="dxa"/>
          </w:tcPr>
          <w:p w14:paraId="08291DF6" w14:textId="77777777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prihlášok úžitkových vzorov</w:t>
            </w:r>
          </w:p>
        </w:tc>
        <w:tc>
          <w:tcPr>
            <w:tcW w:w="1165" w:type="dxa"/>
          </w:tcPr>
          <w:p w14:paraId="2C6F18F2" w14:textId="6B223980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328</w:t>
            </w:r>
          </w:p>
        </w:tc>
        <w:tc>
          <w:tcPr>
            <w:tcW w:w="986" w:type="dxa"/>
          </w:tcPr>
          <w:p w14:paraId="3D1CC6B1" w14:textId="6046CE79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310</w:t>
            </w:r>
          </w:p>
        </w:tc>
        <w:tc>
          <w:tcPr>
            <w:tcW w:w="986" w:type="dxa"/>
          </w:tcPr>
          <w:p w14:paraId="13FF58C8" w14:textId="48270DAD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76" w:type="dxa"/>
          </w:tcPr>
          <w:p w14:paraId="45FDBA63" w14:textId="755ACA6E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86" w:type="dxa"/>
          </w:tcPr>
          <w:p w14:paraId="31E4379D" w14:textId="309FB069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310</w:t>
            </w:r>
          </w:p>
        </w:tc>
      </w:tr>
      <w:tr w:rsidR="00F21346" w:rsidRPr="00B41308" w14:paraId="4761E279" w14:textId="77777777" w:rsidTr="000F3EE6">
        <w:trPr>
          <w:trHeight w:val="49"/>
        </w:trPr>
        <w:tc>
          <w:tcPr>
            <w:tcW w:w="3968" w:type="dxa"/>
          </w:tcPr>
          <w:p w14:paraId="0FEB0C7D" w14:textId="77777777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prihlášok dizajnov</w:t>
            </w:r>
          </w:p>
        </w:tc>
        <w:tc>
          <w:tcPr>
            <w:tcW w:w="1165" w:type="dxa"/>
          </w:tcPr>
          <w:p w14:paraId="474AD90C" w14:textId="0E06A240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114</w:t>
            </w:r>
          </w:p>
        </w:tc>
        <w:tc>
          <w:tcPr>
            <w:tcW w:w="986" w:type="dxa"/>
          </w:tcPr>
          <w:p w14:paraId="1D757FB2" w14:textId="71AAEAE8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100</w:t>
            </w:r>
          </w:p>
        </w:tc>
        <w:tc>
          <w:tcPr>
            <w:tcW w:w="986" w:type="dxa"/>
          </w:tcPr>
          <w:p w14:paraId="3FB09D71" w14:textId="69FCDC6C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6" w:type="dxa"/>
          </w:tcPr>
          <w:p w14:paraId="7594C05B" w14:textId="32D8CE41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6" w:type="dxa"/>
          </w:tcPr>
          <w:p w14:paraId="66A447C3" w14:textId="10805A36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100</w:t>
            </w:r>
          </w:p>
        </w:tc>
      </w:tr>
      <w:tr w:rsidR="00F21346" w:rsidRPr="00B41308" w14:paraId="621E8CB3" w14:textId="77777777" w:rsidTr="000F3EE6">
        <w:trPr>
          <w:trHeight w:val="49"/>
        </w:trPr>
        <w:tc>
          <w:tcPr>
            <w:tcW w:w="3968" w:type="dxa"/>
          </w:tcPr>
          <w:p w14:paraId="0B840022" w14:textId="2426B819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</w:rPr>
              <w:t>Počet prihlášok označení pôvodu výrobkov a zemepisných označení výrobkov</w:t>
            </w:r>
          </w:p>
        </w:tc>
        <w:tc>
          <w:tcPr>
            <w:tcW w:w="1165" w:type="dxa"/>
          </w:tcPr>
          <w:p w14:paraId="6205C9E1" w14:textId="7C715FC2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986" w:type="dxa"/>
          </w:tcPr>
          <w:p w14:paraId="131E990E" w14:textId="14D950C3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986" w:type="dxa"/>
          </w:tcPr>
          <w:p w14:paraId="17E2592C" w14:textId="3A1DAF63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</w:tcPr>
          <w:p w14:paraId="6183B178" w14:textId="1B86C060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</w:tcPr>
          <w:p w14:paraId="143C232F" w14:textId="2106E319" w:rsidR="00F21346" w:rsidRPr="00B41308" w:rsidRDefault="00F21346" w:rsidP="00F2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hAnsi="Times New Roman" w:cs="Times New Roman"/>
              </w:rPr>
              <w:t>1</w:t>
            </w:r>
          </w:p>
        </w:tc>
      </w:tr>
    </w:tbl>
    <w:p w14:paraId="22740111" w14:textId="61E163FD" w:rsidR="00692CDB" w:rsidRPr="00B41308" w:rsidRDefault="00692CDB" w:rsidP="00F2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* </w:t>
      </w:r>
      <w:r w:rsidR="00A41130"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Priemerné údaje za posledných 5 rokov po zaokrúhlení uvedené aj vo </w:t>
      </w:r>
      <w:hyperlink r:id="rId13" w:history="1">
        <w:r w:rsidR="00A41130" w:rsidRPr="00B41308"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sk-SK"/>
          </w:rPr>
          <w:t>výročných správach ÚPV SR</w:t>
        </w:r>
      </w:hyperlink>
    </w:p>
    <w:p w14:paraId="1EC5CD2F" w14:textId="5D620C56" w:rsidR="00F21346" w:rsidRPr="00B41308" w:rsidRDefault="00F21346" w:rsidP="00F2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>**</w:t>
      </w:r>
      <w:r w:rsidR="004F3926"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 dátumu vypracovania analýzy </w:t>
      </w:r>
      <w:r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>nie sú k dispozícii oficiálne štatistické údaje</w:t>
      </w:r>
      <w:r w:rsidR="004F3926"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za rok 2024</w:t>
      </w:r>
    </w:p>
    <w:p w14:paraId="23D98924" w14:textId="4F911319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48C04D" w14:textId="77777777" w:rsidR="00D70F30" w:rsidRPr="00B41308" w:rsidRDefault="00D70F30" w:rsidP="00EB2658">
      <w:pPr>
        <w:tabs>
          <w:tab w:val="left" w:pos="1440"/>
        </w:tabs>
        <w:spacing w:after="0" w:line="240" w:lineRule="auto"/>
        <w:jc w:val="right"/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</w:pPr>
      <w:r w:rsidRPr="00B41308">
        <w:rPr>
          <w:rStyle w:val="Hypertextovprepojenie"/>
          <w:rFonts w:ascii="Times New Roman" w:hAnsi="Times New Roman" w:cs="Times New Roman"/>
          <w:bCs/>
          <w:color w:val="000000" w:themeColor="text1"/>
          <w:sz w:val="20"/>
          <w:szCs w:val="20"/>
          <w:u w:val="none"/>
        </w:rPr>
        <w:t>Tabuľka č. 2c</w:t>
      </w:r>
    </w:p>
    <w:tbl>
      <w:tblPr>
        <w:tblW w:w="9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375"/>
        <w:gridCol w:w="1159"/>
        <w:gridCol w:w="1159"/>
        <w:gridCol w:w="1159"/>
        <w:gridCol w:w="1489"/>
      </w:tblGrid>
      <w:tr w:rsidR="00DB3706" w:rsidRPr="00B41308" w14:paraId="16C653BF" w14:textId="77777777" w:rsidTr="00DB3706">
        <w:trPr>
          <w:trHeight w:val="509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70621DD" w14:textId="599F6986" w:rsidR="00DB3706" w:rsidRPr="00B41308" w:rsidRDefault="00DB3706" w:rsidP="0031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zapísaných priemyselných práv podľa predmetov priemyselného vlastníctva*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14DF798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2019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7207A07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2020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3F64978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2021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A6D3BC9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2022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B9B7AE3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2023</w:t>
            </w:r>
          </w:p>
        </w:tc>
      </w:tr>
      <w:tr w:rsidR="00DB3706" w:rsidRPr="00B41308" w14:paraId="3A338BDA" w14:textId="77777777" w:rsidTr="00DB3706">
        <w:trPr>
          <w:trHeight w:val="509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794D6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5B666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34D09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F0DEA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593F6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A28EC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B3706" w:rsidRPr="00B41308" w14:paraId="13DCB575" w14:textId="77777777" w:rsidTr="00DB3706">
        <w:trPr>
          <w:trHeight w:val="509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907A1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698BC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E37B1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B6182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89AC3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5D8DA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B3706" w:rsidRPr="00B41308" w14:paraId="6375FB9C" w14:textId="77777777" w:rsidTr="00DB3706">
        <w:trPr>
          <w:trHeight w:val="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FC62" w14:textId="77777777" w:rsidR="00DB3706" w:rsidRPr="00B41308" w:rsidRDefault="00DB3706" w:rsidP="0031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Ochranné známky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FBE5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2106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2DD3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1947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C2E2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2183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19AA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2351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6620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2048</w:t>
            </w:r>
          </w:p>
        </w:tc>
      </w:tr>
      <w:tr w:rsidR="00DB3706" w:rsidRPr="00B41308" w14:paraId="2633FEDB" w14:textId="77777777" w:rsidTr="00DB3706">
        <w:trPr>
          <w:trHeight w:val="9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277E6" w14:textId="77777777" w:rsidR="00DB3706" w:rsidRPr="00B41308" w:rsidRDefault="00DB3706" w:rsidP="0031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Patenty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7F6E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86BC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CA18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1AE80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0551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119</w:t>
            </w:r>
          </w:p>
        </w:tc>
      </w:tr>
      <w:tr w:rsidR="00DB3706" w:rsidRPr="00B41308" w14:paraId="1512DFD7" w14:textId="77777777" w:rsidTr="00DB3706">
        <w:trPr>
          <w:trHeight w:val="9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CD49" w14:textId="77777777" w:rsidR="00DB3706" w:rsidRPr="00B41308" w:rsidRDefault="00DB3706" w:rsidP="0031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Úžitkové vzory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42610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267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04A9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272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A0DC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355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ED1E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262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05F88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254</w:t>
            </w:r>
          </w:p>
        </w:tc>
      </w:tr>
      <w:tr w:rsidR="00DB3706" w:rsidRPr="00B41308" w14:paraId="5F19C434" w14:textId="77777777" w:rsidTr="00DB3706">
        <w:trPr>
          <w:trHeight w:val="9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FB06" w14:textId="77777777" w:rsidR="00DB3706" w:rsidRPr="00B41308" w:rsidRDefault="00DB3706" w:rsidP="0031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Dizajny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C656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89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8AB6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4E2B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1C7AC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FBA9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83</w:t>
            </w:r>
          </w:p>
        </w:tc>
      </w:tr>
      <w:tr w:rsidR="00DB3706" w:rsidRPr="00B41308" w14:paraId="5DA8AA82" w14:textId="77777777" w:rsidTr="00DB3706">
        <w:trPr>
          <w:trHeight w:val="509"/>
        </w:trPr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F87F" w14:textId="77777777" w:rsidR="00DB3706" w:rsidRPr="00B41308" w:rsidRDefault="00DB3706" w:rsidP="00DB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Označenia pôvodu výrobkov a zemepisné označenia výrobkov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218C5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2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287E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250C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4E47A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2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DC8C0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2</w:t>
            </w:r>
          </w:p>
        </w:tc>
      </w:tr>
      <w:tr w:rsidR="00DB3706" w:rsidRPr="00B41308" w14:paraId="4CCB08CF" w14:textId="77777777" w:rsidTr="00DB3706">
        <w:trPr>
          <w:trHeight w:val="509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225AE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C3FA1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1DEE8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10E79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50788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EC281" w14:textId="77777777" w:rsidR="00DB3706" w:rsidRPr="00B41308" w:rsidRDefault="00DB3706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B3706" w:rsidRPr="00B41308" w14:paraId="63CD64C3" w14:textId="77777777" w:rsidTr="00DB3706">
        <w:trPr>
          <w:trHeight w:val="3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1DBFB3" w14:textId="77777777" w:rsidR="00DB3706" w:rsidRPr="00B41308" w:rsidRDefault="00DB3706" w:rsidP="0031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4FE8FB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lang w:eastAsia="sk-SK"/>
              </w:rPr>
              <w:t>2532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A9AC71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lang w:eastAsia="sk-SK"/>
              </w:rPr>
              <w:t>2393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0493AED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lang w:eastAsia="sk-SK"/>
              </w:rPr>
              <w:t>2741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46661B3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lang w:eastAsia="sk-SK"/>
              </w:rPr>
              <w:t>2795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6BEF46E" w14:textId="77777777" w:rsidR="00DB3706" w:rsidRPr="00B41308" w:rsidRDefault="00DB3706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lang w:eastAsia="sk-SK"/>
              </w:rPr>
              <w:t>2506</w:t>
            </w:r>
          </w:p>
        </w:tc>
      </w:tr>
    </w:tbl>
    <w:p w14:paraId="43105956" w14:textId="77777777" w:rsidR="00D70F30" w:rsidRPr="00B41308" w:rsidRDefault="00D70F30" w:rsidP="00D70F30">
      <w:pPr>
        <w:tabs>
          <w:tab w:val="left" w:pos="1440"/>
        </w:tabs>
        <w:spacing w:after="120" w:line="240" w:lineRule="auto"/>
        <w:jc w:val="both"/>
        <w:rPr>
          <w:rStyle w:val="Hypertextovprepojenie"/>
          <w:rFonts w:ascii="Times New Roman" w:hAnsi="Times New Roman" w:cs="Times New Roman"/>
          <w:bCs/>
          <w:sz w:val="20"/>
          <w:szCs w:val="20"/>
        </w:rPr>
      </w:pPr>
      <w:r w:rsidRPr="00B41308">
        <w:rPr>
          <w:rFonts w:ascii="Times New Roman" w:hAnsi="Times New Roman" w:cs="Times New Roman"/>
          <w:bCs/>
          <w:sz w:val="20"/>
          <w:szCs w:val="20"/>
        </w:rPr>
        <w:t xml:space="preserve">*Zdroj: </w:t>
      </w:r>
      <w:hyperlink r:id="rId14" w:history="1">
        <w:r w:rsidRPr="00B41308">
          <w:rPr>
            <w:rStyle w:val="Hypertextovprepojenie"/>
            <w:rFonts w:ascii="Times New Roman" w:hAnsi="Times New Roman" w:cs="Times New Roman"/>
            <w:bCs/>
            <w:sz w:val="20"/>
            <w:szCs w:val="20"/>
          </w:rPr>
          <w:t>Výročné správy ÚPV SR za rok 2019 - 2023</w:t>
        </w:r>
      </w:hyperlink>
    </w:p>
    <w:p w14:paraId="0B968A6A" w14:textId="77777777" w:rsidR="00D70F30" w:rsidRPr="00B41308" w:rsidRDefault="00D70F30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5B3E0D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396828E7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F5F7E3" w14:textId="77777777" w:rsidR="007D5748" w:rsidRPr="00B4130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5633B4BA" w14:textId="7095701B" w:rsidR="007D5748" w:rsidRPr="00B4130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FAB199" w14:textId="322A2DA6" w:rsidR="00FC3972" w:rsidRPr="00B41308" w:rsidRDefault="00FC397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14:paraId="17261159" w14:textId="77777777" w:rsidR="00692CDB" w:rsidRPr="00B41308" w:rsidRDefault="00692CDB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FD58AC" w14:textId="77777777" w:rsidR="001E6976" w:rsidRPr="00B41308" w:rsidRDefault="001E6976" w:rsidP="001E6976">
      <w:pPr>
        <w:spacing w:after="0" w:line="240" w:lineRule="auto"/>
        <w:rPr>
          <w:rFonts w:ascii="Times New Roman" w:eastAsia="Times New Roman" w:hAnsi="Times New Roman" w:cs="Verdana"/>
          <w:b/>
          <w:bCs/>
          <w:i/>
          <w:iCs/>
          <w:color w:val="000000" w:themeColor="text1"/>
          <w:sz w:val="24"/>
          <w:szCs w:val="24"/>
        </w:rPr>
      </w:pPr>
      <w:r w:rsidRPr="00B41308">
        <w:rPr>
          <w:rFonts w:ascii="Times New Roman" w:eastAsia="Times New Roman" w:hAnsi="Times New Roman" w:cs="Verdana"/>
          <w:b/>
          <w:bCs/>
          <w:i/>
          <w:iCs/>
          <w:color w:val="000000" w:themeColor="text1"/>
          <w:sz w:val="24"/>
          <w:szCs w:val="24"/>
        </w:rPr>
        <w:t>Výpočet vplyvu na príjmy</w:t>
      </w:r>
    </w:p>
    <w:p w14:paraId="744F06FF" w14:textId="77777777" w:rsidR="00692CDB" w:rsidRPr="00B41308" w:rsidRDefault="00692CDB" w:rsidP="004F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53FFDA" w14:textId="5ED905B8" w:rsidR="003F183A" w:rsidRPr="00B41308" w:rsidRDefault="00692CDB" w:rsidP="004F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Za rok 20</w:t>
      </w:r>
      <w:r w:rsidR="00C90475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23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Úradom priemyselného vlastníctva SR v rámci konania o jednotlivých predmetoch priemyselného vlastníctva </w:t>
      </w:r>
      <w:r w:rsidR="00C90475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zaokrúhlení 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celkovo vybratých správnych poplatkov v sume </w:t>
      </w:r>
      <w:r w:rsidR="00C90475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769 000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€. </w:t>
      </w:r>
      <w:r w:rsidR="003F183A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bolo v roku 2023 zo strany ÚPV SR vybraných udržiavacích poplatkov celkovo v sume </w:t>
      </w:r>
      <w:r w:rsidR="003F183A" w:rsidRPr="00B413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5 582</w:t>
      </w:r>
      <w:r w:rsidR="003D23DD" w:rsidRPr="00B413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3F183A" w:rsidRPr="00B413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475</w:t>
      </w:r>
      <w:r w:rsidR="003D23DD" w:rsidRPr="00B413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F183A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€, z čoho po odvedení prislúchajúcej sumy Európskemu patentovému úradu bol príjem ÚPV SR z udržiavacích poplatkov za rok 2023 celkovo v sume </w:t>
      </w:r>
      <w:r w:rsidR="003F183A" w:rsidRPr="00B413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2 929 123 </w:t>
      </w:r>
      <w:r w:rsidR="003F183A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  <w:r w:rsidR="003F183A" w:rsidRPr="00B413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Sumárny príjem ÚPV SR za správne a udržiavacie poplatky za rok 2023 predstavoval sumu  3 698 123 </w:t>
      </w:r>
      <w:r w:rsidR="003F183A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  <w:r w:rsidR="00893C5C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(pozn. podrobnejšie štatistické údaje sú súčasťou Tabuľky č. 4 v Analýze vplyvov na podnikateľské prostredie)</w:t>
      </w:r>
      <w:r w:rsidR="003F183A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6BD5B6E" w14:textId="77777777" w:rsidR="004F3926" w:rsidRPr="00B41308" w:rsidRDefault="004F3926" w:rsidP="00981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85BB3EA" w14:textId="7B6964CA" w:rsidR="00893C5C" w:rsidRPr="00B41308" w:rsidRDefault="00893C5C" w:rsidP="004F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Pri správnych poplatkoch a udržiavacích poplatkoch, u ktorých sa mení sadzba alebo pri novozavedených poplatkoch sa vychádzalo z predpokladaného počtu požadovaných úkonov v nasledujúcich rokoch na základe doterajšieho vývoja. Ako je zrejmé z časti 2.2.3 budúci trend podávania prihlášok k predmetom priemyselného vlastníctva možno považovať za ustálený.</w:t>
      </w:r>
    </w:p>
    <w:p w14:paraId="154C88E1" w14:textId="77777777" w:rsidR="003D23DD" w:rsidRPr="00B41308" w:rsidRDefault="003D23DD" w:rsidP="0089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F44DA9" w14:textId="0D727A32" w:rsidR="00893C5C" w:rsidRPr="00B41308" w:rsidRDefault="00893C5C" w:rsidP="0089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súvislosti s vypustením inštitútu kaucie, ktor</w:t>
      </w:r>
      <w:r w:rsidR="004F392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predstavoval priamy príjem na strane ÚPV SR</w:t>
      </w:r>
      <w:r w:rsidR="007F695D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vychádzalo z aktuálne stanovenej výšky kaucie v rámci právnej úpravy k niektorým predmetom priemyselného vlastníctva.</w:t>
      </w:r>
    </w:p>
    <w:p w14:paraId="031C6F1F" w14:textId="77777777" w:rsidR="00893C5C" w:rsidRPr="00B41308" w:rsidRDefault="00893C5C" w:rsidP="0089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1CA9E7" w14:textId="358E8CD9" w:rsidR="001702B8" w:rsidRPr="00B41308" w:rsidRDefault="00893C5C" w:rsidP="0089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Zavedenie náhrad trov sporových konaní vedených pred ÚPV SR do právnej úpravy nezakladá žiadne nároky na príjmovej ako ani výdavkovej strane </w:t>
      </w:r>
      <w:r w:rsidR="006F7845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rozpočtu verejnej správy. Paušálne priznávan</w:t>
      </w:r>
      <w:r w:rsidR="007F695D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="006F7845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náhrady trov vrátane refundácie príslušného správneho poplatku bude mať vplyv na podnikateľské prostredie, ktoré predkladateľ, tak ako vyplýva aj z Analýzy vplyvov na podnikateľské prostredie, s ohľadom na vzájomnú kompenzáciu vyvolaných vplyvov v rámci podnikateľského prostredia</w:t>
      </w:r>
      <w:r w:rsidR="007F695D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F7845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vyhodnotil ako nemenný.   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14:paraId="38BE314E" w14:textId="77777777" w:rsidR="00D71DCB" w:rsidRPr="00B41308" w:rsidRDefault="00D71DCB" w:rsidP="0089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69C05D" w14:textId="2665658F" w:rsidR="001702B8" w:rsidRPr="00B41308" w:rsidRDefault="001702B8" w:rsidP="00170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Pri poplatkoch, ktoré sa navrhujú vypustiť, sa pri výpočte dopadu na rozpočet verejnej správy vychádzalo zo sumy vybratých správnych poplatko</w:t>
      </w:r>
      <w:r w:rsidR="00D13EF9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dané úkony v roku 2023.</w:t>
      </w:r>
      <w:r w:rsidR="000C183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súvislosti so zrušením inštitútu kaucie (bližšie popísané v rámci bodu 3.1.3</w:t>
      </w:r>
      <w:r w:rsidR="007D2E2E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, P. č. 2</w:t>
      </w:r>
      <w:r w:rsidR="000C183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Tabuľky č.</w:t>
      </w:r>
      <w:r w:rsidR="00872E83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C183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</w:t>
      </w:r>
      <w:r w:rsidR="00872E83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0C1832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Analýze vplyvov na podnikateľské prostredie) sa na základe priemeru dopadu zrušenia tohto inštitútu za posledných 5 sledovaných rokov očakáva zníženie príjmov na strane ÚPV SR v predpokladanej výške 300 €.   </w:t>
      </w:r>
    </w:p>
    <w:p w14:paraId="50057492" w14:textId="77777777" w:rsidR="001702B8" w:rsidRPr="00B41308" w:rsidRDefault="001702B8" w:rsidP="00170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55D522" w14:textId="23CCBAD2" w:rsidR="001702B8" w:rsidRPr="00B41308" w:rsidRDefault="001702B8" w:rsidP="001702B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základe uvedených výpočtov sa predpokladá celkové zvýšenie príjmo</w:t>
      </w:r>
      <w:r w:rsidR="00D13EF9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základe výberu zvýšených správnych</w:t>
      </w:r>
      <w:r w:rsidR="004F3926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poplatkov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udržiavacích poplatko</w:t>
      </w:r>
      <w:r w:rsidR="00D13EF9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oproti predchádzajúcemu obdobiu v odhadovanej výške  </w:t>
      </w:r>
      <w:r w:rsidR="001C7928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="00504E3C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90 227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€</w:t>
      </w:r>
      <w:r w:rsidR="00D71DCB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ročne</w:t>
      </w:r>
      <w:r w:rsidR="002F090A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(odhad na príjmy ÚPV SR spolu – viď Tabuľka č. 2</w:t>
      </w:r>
      <w:r w:rsidR="004F4802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="002F090A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Sadzby správnych poplatkov, ktoré sa na základe predloženého návrhu nemenia, boli zohľadnené len v rámci sumy vybratých správnych poplatkov za predchádzajúce obdobie, t. j. neboli predmetom výpočtu priameho dopad</w:t>
      </w:r>
      <w:r w:rsidR="00D13EF9"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príjmy/výdavky rozpočtu verejnej správy v nadväznosti na úpravu v rozsahu predloženého návrhu zákona. </w:t>
      </w:r>
    </w:p>
    <w:p w14:paraId="426E367E" w14:textId="27AD767F" w:rsidR="00D71DCB" w:rsidRPr="00B41308" w:rsidRDefault="00D71DCB" w:rsidP="00D71DCB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2d</w:t>
      </w:r>
    </w:p>
    <w:tbl>
      <w:tblPr>
        <w:tblW w:w="91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2094"/>
        <w:gridCol w:w="1811"/>
        <w:gridCol w:w="3510"/>
      </w:tblGrid>
      <w:tr w:rsidR="00D71DCB" w:rsidRPr="00B41308" w14:paraId="7A7D7170" w14:textId="77777777" w:rsidTr="00D71DCB">
        <w:trPr>
          <w:trHeight w:val="587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734F" w14:textId="199FE9B5" w:rsidR="00D71DCB" w:rsidRPr="00B41308" w:rsidRDefault="00D71DCB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Odhad dopadu </w:t>
            </w:r>
            <w:r w:rsidR="0085264E"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zvýšených sadzieb SP a UP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65DB" w14:textId="77777777" w:rsidR="00D71DCB" w:rsidRPr="00B41308" w:rsidRDefault="00D71DCB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Odhad vplyvu na rozpočet </w:t>
            </w:r>
          </w:p>
          <w:p w14:paraId="33A65954" w14:textId="77777777" w:rsidR="00D71DCB" w:rsidRPr="00B41308" w:rsidRDefault="00D71DCB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verejnej správy v € 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0FBDAC08" w14:textId="77777777" w:rsidR="00D71DCB" w:rsidRPr="00B41308" w:rsidRDefault="00D71DCB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Odhad vplyvu na rozpočet verejnej správy spolu v € po zaokrúhlení</w:t>
            </w:r>
          </w:p>
        </w:tc>
      </w:tr>
      <w:tr w:rsidR="00D71DCB" w:rsidRPr="00B41308" w14:paraId="73E899F1" w14:textId="77777777" w:rsidTr="00D71DCB">
        <w:trPr>
          <w:trHeight w:val="23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E148" w14:textId="77777777" w:rsidR="00D71DCB" w:rsidRPr="00B41308" w:rsidRDefault="00D71DCB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49EA" w14:textId="77777777" w:rsidR="00D71DCB" w:rsidRPr="00B41308" w:rsidRDefault="00D71DCB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navýšené sadzby SP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09023" w14:textId="77777777" w:rsidR="00D71DCB" w:rsidRPr="00B41308" w:rsidRDefault="00D71DCB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navýšené sadzby UP</w:t>
            </w:r>
          </w:p>
        </w:tc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1691EA" w14:textId="77777777" w:rsidR="00D71DCB" w:rsidRPr="00B41308" w:rsidRDefault="00D71DCB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71DCB" w:rsidRPr="00B41308" w14:paraId="3B79D6B0" w14:textId="77777777" w:rsidTr="00D71DCB">
        <w:trPr>
          <w:trHeight w:val="19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ADE2" w14:textId="77777777" w:rsidR="00D71DCB" w:rsidRPr="00B41308" w:rsidRDefault="00D71DCB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9058" w14:textId="77777777" w:rsidR="00D71DCB" w:rsidRPr="00B41308" w:rsidRDefault="00D71DCB" w:rsidP="00313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100 059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4043" w14:textId="69CD7E29" w:rsidR="00D71DCB" w:rsidRPr="00B41308" w:rsidRDefault="00D71DCB" w:rsidP="00313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  <w:r w:rsidR="00504E3C"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95 054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14:paraId="2C14F7F9" w14:textId="1029F1BF" w:rsidR="00D71DCB" w:rsidRPr="00B41308" w:rsidRDefault="00D71DCB" w:rsidP="00313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</w:t>
            </w:r>
            <w:r w:rsidR="00504E3C"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95</w:t>
            </w: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504E3C"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113</w:t>
            </w:r>
          </w:p>
        </w:tc>
      </w:tr>
      <w:tr w:rsidR="00D71DCB" w:rsidRPr="00B41308" w14:paraId="2C7360DA" w14:textId="77777777" w:rsidTr="00D71DCB">
        <w:trPr>
          <w:trHeight w:val="20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EB00" w14:textId="77777777" w:rsidR="00D71DCB" w:rsidRPr="00B41308" w:rsidRDefault="00D71DCB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2026 a </w:t>
            </w:r>
            <w:proofErr w:type="spellStart"/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nasl</w:t>
            </w:r>
            <w:proofErr w:type="spellEnd"/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450E" w14:textId="77777777" w:rsidR="00D71DCB" w:rsidRPr="00B41308" w:rsidRDefault="00D71DCB" w:rsidP="00313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200 118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ECB2" w14:textId="25DAA781" w:rsidR="00D71DCB" w:rsidRPr="00B41308" w:rsidRDefault="00D71DCB" w:rsidP="00313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</w:t>
            </w:r>
            <w:r w:rsidR="00504E3C"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90 109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14:paraId="0E7B54DD" w14:textId="7058A801" w:rsidR="00D71DCB" w:rsidRPr="00B41308" w:rsidRDefault="00D71DCB" w:rsidP="00313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</w:t>
            </w:r>
            <w:r w:rsidR="00504E3C" w:rsidRPr="00B4130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90 227</w:t>
            </w:r>
          </w:p>
        </w:tc>
      </w:tr>
    </w:tbl>
    <w:p w14:paraId="59A9BA60" w14:textId="49D5847D" w:rsidR="00D71DCB" w:rsidRPr="00B41308" w:rsidRDefault="00D71DCB" w:rsidP="00D71DC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Zdroj: Odhad realizovaný na základe interných štatistických údajov predkladateľa (vstupné údaje vychádzajú z pomocných výpočtov uvedených v tabuľkách Excel – správne poplatky_ vplyvy a udržiavacie </w:t>
      </w:r>
      <w:proofErr w:type="spellStart"/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poplatky_vplyvy</w:t>
      </w:r>
      <w:proofErr w:type="spellEnd"/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)</w:t>
      </w:r>
    </w:p>
    <w:p w14:paraId="7CA65053" w14:textId="13648946" w:rsidR="00D71DCB" w:rsidRPr="00B41308" w:rsidRDefault="00D71DCB" w:rsidP="001702B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73703A2" w14:textId="77777777" w:rsidR="001702B8" w:rsidRPr="00B41308" w:rsidRDefault="001702B8" w:rsidP="001702B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Ako základňu na výpočet dopadu na rozpočet verejnej správy nebolo možné brať do úvahy rok 2024 ako rok iniciovania legislatívneho procesu k návrhu zákona.</w:t>
      </w:r>
    </w:p>
    <w:p w14:paraId="74935236" w14:textId="77777777" w:rsidR="001702B8" w:rsidRPr="00B41308" w:rsidRDefault="001702B8" w:rsidP="001702B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52C5E531" w14:textId="29B1056E" w:rsidR="001702B8" w:rsidRPr="00B41308" w:rsidRDefault="001702B8" w:rsidP="001702B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1308">
        <w:rPr>
          <w:rFonts w:ascii="Times New Roman" w:hAnsi="Times New Roman" w:cs="Times New Roman"/>
          <w:sz w:val="24"/>
          <w:szCs w:val="24"/>
        </w:rPr>
        <w:t xml:space="preserve">Detailná analýza jednotlivých správnych poplatkov a udržiavacích poplatkov vrátane odhadu dopadu na podnikateľské prostredie </w:t>
      </w:r>
      <w:r w:rsidR="008F0EDA" w:rsidRPr="00B41308">
        <w:rPr>
          <w:rFonts w:ascii="Times New Roman" w:hAnsi="Times New Roman" w:cs="Times New Roman"/>
          <w:sz w:val="24"/>
          <w:szCs w:val="24"/>
        </w:rPr>
        <w:t xml:space="preserve"> ako aj rozpočet verejnej správy </w:t>
      </w:r>
      <w:r w:rsidRPr="00B41308">
        <w:rPr>
          <w:rFonts w:ascii="Times New Roman" w:hAnsi="Times New Roman" w:cs="Times New Roman"/>
          <w:sz w:val="24"/>
          <w:szCs w:val="24"/>
        </w:rPr>
        <w:t xml:space="preserve">je predmetom samostatných príloh </w:t>
      </w:r>
      <w:r w:rsidR="00FF6790" w:rsidRPr="00B41308">
        <w:rPr>
          <w:rFonts w:ascii="Times New Roman" w:hAnsi="Times New Roman" w:cs="Times New Roman"/>
          <w:sz w:val="24"/>
          <w:szCs w:val="24"/>
        </w:rPr>
        <w:t xml:space="preserve">(Tabuľky </w:t>
      </w:r>
      <w:proofErr w:type="spellStart"/>
      <w:r w:rsidR="00FF6790" w:rsidRPr="00B4130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FF6790" w:rsidRPr="00B41308">
        <w:rPr>
          <w:rFonts w:ascii="Times New Roman" w:hAnsi="Times New Roman" w:cs="Times New Roman"/>
          <w:sz w:val="24"/>
          <w:szCs w:val="24"/>
        </w:rPr>
        <w:t xml:space="preserve"> – správn</w:t>
      </w:r>
      <w:r w:rsidR="00D13EF9" w:rsidRPr="00B41308">
        <w:rPr>
          <w:rFonts w:ascii="Times New Roman" w:hAnsi="Times New Roman" w:cs="Times New Roman"/>
          <w:sz w:val="24"/>
          <w:szCs w:val="24"/>
        </w:rPr>
        <w:t>e</w:t>
      </w:r>
      <w:r w:rsidR="00FF6790" w:rsidRPr="00B4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790" w:rsidRPr="00B41308">
        <w:rPr>
          <w:rFonts w:ascii="Times New Roman" w:hAnsi="Times New Roman" w:cs="Times New Roman"/>
          <w:sz w:val="24"/>
          <w:szCs w:val="24"/>
        </w:rPr>
        <w:t>poplatky_vplyvy</w:t>
      </w:r>
      <w:proofErr w:type="spellEnd"/>
      <w:r w:rsidR="00FF6790" w:rsidRPr="00B41308">
        <w:rPr>
          <w:rFonts w:ascii="Times New Roman" w:hAnsi="Times New Roman" w:cs="Times New Roman"/>
          <w:sz w:val="24"/>
          <w:szCs w:val="24"/>
        </w:rPr>
        <w:t xml:space="preserve"> a udržiavacie </w:t>
      </w:r>
      <w:proofErr w:type="spellStart"/>
      <w:r w:rsidR="00FF6790" w:rsidRPr="00B41308">
        <w:rPr>
          <w:rFonts w:ascii="Times New Roman" w:hAnsi="Times New Roman" w:cs="Times New Roman"/>
          <w:sz w:val="24"/>
          <w:szCs w:val="24"/>
        </w:rPr>
        <w:t>poplatky_vpl</w:t>
      </w:r>
      <w:r w:rsidR="00D13EF9" w:rsidRPr="00B41308">
        <w:rPr>
          <w:rFonts w:ascii="Times New Roman" w:hAnsi="Times New Roman" w:cs="Times New Roman"/>
          <w:sz w:val="24"/>
          <w:szCs w:val="24"/>
        </w:rPr>
        <w:t>y</w:t>
      </w:r>
      <w:r w:rsidR="00FF6790" w:rsidRPr="00B41308">
        <w:rPr>
          <w:rFonts w:ascii="Times New Roman" w:hAnsi="Times New Roman" w:cs="Times New Roman"/>
          <w:sz w:val="24"/>
          <w:szCs w:val="24"/>
        </w:rPr>
        <w:t>vy</w:t>
      </w:r>
      <w:proofErr w:type="spellEnd"/>
      <w:r w:rsidR="00FF6790" w:rsidRPr="00B41308">
        <w:rPr>
          <w:rFonts w:ascii="Times New Roman" w:hAnsi="Times New Roman" w:cs="Times New Roman"/>
          <w:sz w:val="24"/>
          <w:szCs w:val="24"/>
        </w:rPr>
        <w:t>)</w:t>
      </w: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40042F6F" w14:textId="26D5918F" w:rsidR="00893C5C" w:rsidRPr="00B41308" w:rsidRDefault="00893C5C" w:rsidP="0089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C73A90" w14:textId="77777777" w:rsidR="00692CDB" w:rsidRPr="00B41308" w:rsidRDefault="00692CDB" w:rsidP="00692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BD1C1C" w14:textId="085BB5F2" w:rsidR="007F695D" w:rsidRPr="00B41308" w:rsidRDefault="007F695D" w:rsidP="007F695D">
      <w:pPr>
        <w:spacing w:after="0" w:line="240" w:lineRule="auto"/>
        <w:rPr>
          <w:rFonts w:ascii="Times New Roman" w:eastAsia="Times New Roman" w:hAnsi="Times New Roman" w:cs="Verdana"/>
          <w:b/>
          <w:bCs/>
          <w:i/>
          <w:iCs/>
          <w:color w:val="000000" w:themeColor="text1"/>
          <w:sz w:val="24"/>
          <w:szCs w:val="24"/>
        </w:rPr>
      </w:pPr>
      <w:r w:rsidRPr="00B41308">
        <w:rPr>
          <w:rFonts w:ascii="Times New Roman" w:eastAsia="Times New Roman" w:hAnsi="Times New Roman" w:cs="Verdana"/>
          <w:b/>
          <w:bCs/>
          <w:i/>
          <w:iCs/>
          <w:color w:val="000000" w:themeColor="text1"/>
          <w:sz w:val="24"/>
          <w:szCs w:val="24"/>
        </w:rPr>
        <w:t>Výpočet vplyvu na výdavky</w:t>
      </w:r>
    </w:p>
    <w:p w14:paraId="415FAD00" w14:textId="77777777" w:rsidR="007F695D" w:rsidRPr="00B41308" w:rsidRDefault="007F695D" w:rsidP="007F695D">
      <w:pPr>
        <w:spacing w:after="0" w:line="240" w:lineRule="auto"/>
        <w:rPr>
          <w:rFonts w:ascii="Times New Roman" w:eastAsia="Times New Roman" w:hAnsi="Times New Roman" w:cs="Verdana"/>
          <w:b/>
          <w:bCs/>
          <w:i/>
          <w:iCs/>
          <w:color w:val="000000" w:themeColor="text1"/>
          <w:sz w:val="24"/>
          <w:szCs w:val="24"/>
        </w:rPr>
      </w:pPr>
    </w:p>
    <w:p w14:paraId="106BEC8F" w14:textId="54CED481" w:rsidR="00504E3C" w:rsidRPr="00B41308" w:rsidRDefault="00504E3C" w:rsidP="00504E3C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308">
        <w:rPr>
          <w:rFonts w:ascii="Times New Roman" w:hAnsi="Times New Roman" w:cs="Times New Roman"/>
          <w:bCs/>
          <w:sz w:val="24"/>
          <w:szCs w:val="24"/>
        </w:rPr>
        <w:t xml:space="preserve">Zapojenie ÚPV SR (predkladateľa) do </w:t>
      </w:r>
      <w:r w:rsidR="008561E2" w:rsidRPr="00B41308">
        <w:rPr>
          <w:rFonts w:ascii="Times New Roman" w:hAnsi="Times New Roman" w:cs="Times New Roman"/>
          <w:bCs/>
          <w:sz w:val="24"/>
          <w:szCs w:val="24"/>
        </w:rPr>
        <w:t xml:space="preserve">centrálneho </w:t>
      </w:r>
      <w:r w:rsidRPr="00B41308">
        <w:rPr>
          <w:rFonts w:ascii="Times New Roman" w:hAnsi="Times New Roman" w:cs="Times New Roman"/>
          <w:bCs/>
          <w:sz w:val="24"/>
          <w:szCs w:val="24"/>
        </w:rPr>
        <w:t xml:space="preserve">systému </w:t>
      </w:r>
      <w:r w:rsidR="008561E2" w:rsidRPr="00B41308">
        <w:rPr>
          <w:rFonts w:ascii="Times New Roman" w:hAnsi="Times New Roman" w:cs="Times New Roman"/>
          <w:bCs/>
          <w:sz w:val="24"/>
          <w:szCs w:val="24"/>
        </w:rPr>
        <w:t xml:space="preserve">evidencie poplatkov </w:t>
      </w:r>
      <w:r w:rsidRPr="00B41308">
        <w:rPr>
          <w:rFonts w:ascii="Times New Roman" w:hAnsi="Times New Roman" w:cs="Times New Roman"/>
          <w:bCs/>
          <w:sz w:val="24"/>
          <w:szCs w:val="24"/>
        </w:rPr>
        <w:t xml:space="preserve">Štátnej pokladnice </w:t>
      </w:r>
      <w:r w:rsidR="008561E2" w:rsidRPr="00B41308">
        <w:rPr>
          <w:rFonts w:ascii="Times New Roman" w:hAnsi="Times New Roman" w:cs="Times New Roman"/>
          <w:bCs/>
          <w:sz w:val="24"/>
          <w:szCs w:val="24"/>
        </w:rPr>
        <w:t>(„</w:t>
      </w:r>
      <w:r w:rsidRPr="00B41308">
        <w:rPr>
          <w:rFonts w:ascii="Times New Roman" w:hAnsi="Times New Roman" w:cs="Times New Roman"/>
          <w:bCs/>
          <w:sz w:val="24"/>
          <w:szCs w:val="24"/>
        </w:rPr>
        <w:t>Úhrady</w:t>
      </w:r>
      <w:r w:rsidR="008561E2" w:rsidRPr="00B41308">
        <w:rPr>
          <w:rFonts w:ascii="Times New Roman" w:hAnsi="Times New Roman" w:cs="Times New Roman"/>
          <w:bCs/>
          <w:sz w:val="24"/>
          <w:szCs w:val="24"/>
        </w:rPr>
        <w:t>“)</w:t>
      </w:r>
      <w:r w:rsidRPr="00B41308">
        <w:rPr>
          <w:rFonts w:ascii="Times New Roman" w:hAnsi="Times New Roman" w:cs="Times New Roman"/>
          <w:bCs/>
          <w:sz w:val="24"/>
          <w:szCs w:val="24"/>
        </w:rPr>
        <w:t xml:space="preserve"> vyvolá potrebu úpravy agendového systému ÚPV SR, </w:t>
      </w:r>
      <w:r w:rsidR="00C60B32" w:rsidRPr="00B41308">
        <w:rPr>
          <w:rFonts w:ascii="Times New Roman" w:hAnsi="Times New Roman" w:cs="Times New Roman"/>
          <w:bCs/>
          <w:sz w:val="24"/>
          <w:szCs w:val="24"/>
        </w:rPr>
        <w:t xml:space="preserve">ako aj </w:t>
      </w:r>
      <w:r w:rsidRPr="00B41308">
        <w:rPr>
          <w:rFonts w:ascii="Times New Roman" w:hAnsi="Times New Roman" w:cs="Times New Roman"/>
          <w:bCs/>
          <w:sz w:val="24"/>
          <w:szCs w:val="24"/>
        </w:rPr>
        <w:t>zmenu procesov spracovania správnych poplatkov za úkony a konania pred ÚPV SR</w:t>
      </w:r>
      <w:r w:rsidR="00C60B32" w:rsidRPr="00B41308">
        <w:rPr>
          <w:rFonts w:ascii="Times New Roman" w:hAnsi="Times New Roman" w:cs="Times New Roman"/>
          <w:bCs/>
          <w:sz w:val="24"/>
          <w:szCs w:val="24"/>
        </w:rPr>
        <w:t>. Výška identifikovaných výdavkov na strane ÚPV SR vychádza z internej analýzy súvisiacich nárokovaných</w:t>
      </w:r>
      <w:r w:rsidRPr="00B413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B32" w:rsidRPr="00B41308">
        <w:rPr>
          <w:rFonts w:ascii="Times New Roman" w:hAnsi="Times New Roman" w:cs="Times New Roman"/>
          <w:bCs/>
          <w:sz w:val="24"/>
          <w:szCs w:val="24"/>
        </w:rPr>
        <w:t>zmien v internom agendovom systéme ÚPV SR</w:t>
      </w:r>
      <w:r w:rsidR="001928FC" w:rsidRPr="00B413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60B32" w:rsidRPr="00B41308">
        <w:rPr>
          <w:rFonts w:ascii="Times New Roman" w:hAnsi="Times New Roman" w:cs="Times New Roman"/>
          <w:bCs/>
          <w:sz w:val="24"/>
          <w:szCs w:val="24"/>
        </w:rPr>
        <w:t xml:space="preserve">Identifikácia služieb  ÚPV SR dotknutých zapojením do </w:t>
      </w:r>
      <w:r w:rsidR="008561E2" w:rsidRPr="00B41308">
        <w:rPr>
          <w:rFonts w:ascii="Times New Roman" w:hAnsi="Times New Roman" w:cs="Times New Roman"/>
          <w:bCs/>
          <w:sz w:val="24"/>
          <w:szCs w:val="24"/>
        </w:rPr>
        <w:t xml:space="preserve">centrálneho </w:t>
      </w:r>
      <w:r w:rsidR="00C60B32" w:rsidRPr="00B41308">
        <w:rPr>
          <w:rFonts w:ascii="Times New Roman" w:hAnsi="Times New Roman" w:cs="Times New Roman"/>
          <w:bCs/>
          <w:sz w:val="24"/>
          <w:szCs w:val="24"/>
        </w:rPr>
        <w:t xml:space="preserve">systému </w:t>
      </w:r>
      <w:r w:rsidR="008561E2" w:rsidRPr="00B41308">
        <w:rPr>
          <w:rFonts w:ascii="Times New Roman" w:hAnsi="Times New Roman" w:cs="Times New Roman"/>
          <w:bCs/>
          <w:sz w:val="24"/>
          <w:szCs w:val="24"/>
        </w:rPr>
        <w:t xml:space="preserve">evidencie poplatkov </w:t>
      </w:r>
      <w:r w:rsidR="00974349" w:rsidRPr="00B41308">
        <w:rPr>
          <w:rFonts w:ascii="Times New Roman" w:hAnsi="Times New Roman" w:cs="Times New Roman"/>
          <w:bCs/>
          <w:sz w:val="24"/>
          <w:szCs w:val="24"/>
        </w:rPr>
        <w:t xml:space="preserve">Štátnej pokladnice </w:t>
      </w:r>
      <w:r w:rsidR="008561E2" w:rsidRPr="00B41308">
        <w:rPr>
          <w:rFonts w:ascii="Times New Roman" w:hAnsi="Times New Roman" w:cs="Times New Roman"/>
          <w:bCs/>
          <w:sz w:val="24"/>
          <w:szCs w:val="24"/>
        </w:rPr>
        <w:t>(„</w:t>
      </w:r>
      <w:r w:rsidR="00C60B32" w:rsidRPr="00B41308">
        <w:rPr>
          <w:rFonts w:ascii="Times New Roman" w:hAnsi="Times New Roman" w:cs="Times New Roman"/>
          <w:bCs/>
          <w:sz w:val="24"/>
          <w:szCs w:val="24"/>
        </w:rPr>
        <w:t>Úhrady</w:t>
      </w:r>
      <w:r w:rsidR="008561E2" w:rsidRPr="00B41308">
        <w:rPr>
          <w:rFonts w:ascii="Times New Roman" w:hAnsi="Times New Roman" w:cs="Times New Roman"/>
          <w:bCs/>
          <w:sz w:val="24"/>
          <w:szCs w:val="24"/>
        </w:rPr>
        <w:t>“)</w:t>
      </w:r>
      <w:r w:rsidR="00C60B32" w:rsidRPr="00B41308">
        <w:rPr>
          <w:rFonts w:ascii="Times New Roman" w:hAnsi="Times New Roman" w:cs="Times New Roman"/>
          <w:bCs/>
          <w:sz w:val="24"/>
          <w:szCs w:val="24"/>
        </w:rPr>
        <w:t xml:space="preserve"> je špecifikovaná v Analýze vplyvov na informatizáciu. </w:t>
      </w:r>
    </w:p>
    <w:p w14:paraId="06EB8729" w14:textId="77777777" w:rsidR="00C60B32" w:rsidRPr="00B41308" w:rsidRDefault="00C60B32" w:rsidP="00504E3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E7019A2" w14:textId="1341CFCD" w:rsidR="000F3EE6" w:rsidRPr="00B41308" w:rsidRDefault="006F7845" w:rsidP="000F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súčasť dopadu na rozpočet verejnej správy predkladateľ </w:t>
      </w:r>
      <w:r w:rsidR="00E4581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analyzoval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</w:t>
      </w:r>
      <w:r w:rsidR="009E595C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možný dopad vo forme 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úspor</w:t>
      </w:r>
      <w:r w:rsidR="009E595C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strane výdavkov v nadväznosti na novelizáciu právnych predpisov, ktoré sú predmetom predloženého návrhu v dôsledku zvýšenej</w:t>
      </w:r>
      <w:r w:rsidR="009E595C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miery </w:t>
      </w: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elektronizácie poskytovaných služieb zo strany ÚPV SR. </w:t>
      </w:r>
      <w:r w:rsidR="005E240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 vplyv však nie je možné jednoznačne kvantifikovať (nie je možné jednoznačne odhadnúť</w:t>
      </w:r>
      <w:r w:rsidR="00951A2D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početnosť vyhotovovaných oznámení, keďže niektoré z nich sú zasielané len na základe žiadosti a zároveň napriek navrhovanému elektronickému zasielaniu listín (osvedčenia o zápise, osvedčenia o práve prednosti) je pot</w:t>
      </w:r>
      <w:r w:rsidR="0076232E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rebné zohľadniť skupinu subjektov, ktoré nemajú zriadenú elektronickú schránku, a teda </w:t>
      </w:r>
      <w:r w:rsidR="000F3EE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 verejnej moci s nimi nemôže komunikovať prostredníctvom modulu elektronického doručovania.</w:t>
      </w:r>
      <w:r w:rsidR="00E4581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Zároveň predkladateľ očakáva, že s ohľadom na doterajšiu dlhodobú prax vydávania osvedčení o zápise ochrannej známky do registra (uvedené osvedčenia predstavujú najpočetnejšie vydávaný doklad o zápise práva priemyselného vlastníctva do registra) ako aj ďalších dokladov (napr. patentová listina</w:t>
      </w:r>
      <w:r w:rsidR="00D6105B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, osvedčenie o zápise úžitkového vzoru do registra</w:t>
      </w:r>
      <w:r w:rsidR="00E4581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D6105B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napriek zvýšenej elektronizácii možné predpokladať pretrvávajúci dopyt po listinnej forme vydávania predmetného dokladu, čo na strane ÚPV SR môže vyvolať potrebu zabezpečenia zaručenej konverzie predmetných listín</w:t>
      </w:r>
      <w:r w:rsidR="00905FA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(časové nároky spojené so zabezpečením zaručenej konverzie)</w:t>
      </w:r>
      <w:r w:rsidR="00D6105B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pričom v zmysle ustanovenia </w:t>
      </w:r>
      <w:r w:rsidR="00905FA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39 ods. 7 </w:t>
      </w:r>
      <w:r w:rsidR="00D6105B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305/2013 Z. z. o elektronickej podobe výkonu pôsobnosti orgánov verejnej moci a o zmene a doplnení niektorých zákonov (zákon o e-</w:t>
      </w:r>
      <w:proofErr w:type="spellStart"/>
      <w:r w:rsidR="00D6105B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Governmente</w:t>
      </w:r>
      <w:proofErr w:type="spellEnd"/>
      <w:r w:rsidR="00D6105B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905FA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orgán verejnej moci povinný zabezpečiť vykonanie zaručenej konverzie, ak ide o zaručenú konverziu dokumentov, ktoré vznikli z činnosti tohto orgánu verejnej moci, bezodplatne. </w:t>
      </w:r>
      <w:r w:rsidR="00D6105B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5FA4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zohľadnení všetkých uvedených skutočností ÚPV SR neočakáva dopad na výdavky ÚPV SR vo forme úspory. </w:t>
      </w:r>
      <w:r w:rsidR="00D6105B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0F3EE6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6A28DB59" w14:textId="77777777" w:rsidR="00494FFD" w:rsidRPr="00B41308" w:rsidRDefault="00494FFD" w:rsidP="0069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0AF882" w14:textId="2E2E6FAB" w:rsidR="00692CDB" w:rsidRPr="00B41308" w:rsidRDefault="001702B8" w:rsidP="001702B8">
      <w:pPr>
        <w:spacing w:after="0" w:line="240" w:lineRule="auto"/>
        <w:rPr>
          <w:rFonts w:ascii="Times New Roman" w:eastAsia="Times New Roman" w:hAnsi="Times New Roman" w:cs="Verdana"/>
          <w:b/>
          <w:bCs/>
          <w:i/>
          <w:iCs/>
          <w:color w:val="000000" w:themeColor="text1"/>
          <w:sz w:val="24"/>
          <w:szCs w:val="24"/>
        </w:rPr>
      </w:pPr>
      <w:r w:rsidRPr="00B41308">
        <w:rPr>
          <w:rFonts w:ascii="Times New Roman" w:eastAsia="Times New Roman" w:hAnsi="Times New Roman" w:cs="Verdana"/>
          <w:b/>
          <w:bCs/>
          <w:i/>
          <w:iCs/>
          <w:color w:val="000000" w:themeColor="text1"/>
          <w:sz w:val="24"/>
          <w:szCs w:val="24"/>
        </w:rPr>
        <w:t>Posúdenie ďalších potenciálnych výdavkov na strane ÚPV SR</w:t>
      </w:r>
    </w:p>
    <w:p w14:paraId="75EC5DB4" w14:textId="77777777" w:rsidR="00692CDB" w:rsidRPr="00B41308" w:rsidRDefault="00692CDB" w:rsidP="00692C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14:paraId="52A3856F" w14:textId="005BBE77" w:rsidR="00C47383" w:rsidRPr="00B41308" w:rsidRDefault="00692CDB" w:rsidP="00692C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V súvislosti s návrhom zavedenia </w:t>
      </w:r>
      <w:r w:rsidR="004C7709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jedného nového bodu v rámci položky 214</w:t>
      </w:r>
      <w:r w:rsidR="004F3926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Sadzobníka správnych poplatkov</w:t>
      </w:r>
      <w:r w:rsidR="004C7709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(podanie rozkladu proti rozhodnutiu ÚPV SR), zmenou spôsobu výpočtu niektorých položiek </w:t>
      </w:r>
      <w:r w:rsidR="004C7709" w:rsidRPr="00B41308">
        <w:rPr>
          <w:rFonts w:ascii="Calibri" w:eastAsia="Times New Roman" w:hAnsi="Calibri" w:cs="Calibri"/>
          <w:bCs/>
          <w:sz w:val="24"/>
          <w:szCs w:val="20"/>
          <w:lang w:eastAsia="sk-SK"/>
        </w:rPr>
        <w:t>[</w:t>
      </w:r>
      <w:r w:rsidR="004C7709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položka 214 písm. a) a položka 216 písm. d)] a na základe úpravy výšky sadzieb jednotlivých položiek Sadzobníka správnych poplatkov ako aj Sadzobníka udržiavacích poplatkov predkladateľ neidentifikoval výdavky nevyhnutné na úpravy informačných systémov ÚPV SR spočívajúce v realizácií nových vývojových, analytických resp. testovacích prác. </w:t>
      </w:r>
    </w:p>
    <w:p w14:paraId="2EBC73CA" w14:textId="77777777" w:rsidR="00C47383" w:rsidRPr="00B41308" w:rsidRDefault="00C47383" w:rsidP="00692C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5EA4B3C" w14:textId="0B7E07A7" w:rsidR="00692CDB" w:rsidRPr="00B41308" w:rsidRDefault="004C7709" w:rsidP="00692C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Dopad na interný informačný systém v nadväznosti na úpravy jednotlivých sadzieb poplatkov</w:t>
      </w:r>
      <w:r w:rsidR="004734C3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, resp. úpravu šablón rozhodnutí v rámci sporových konaní</w:t>
      </w:r>
      <w:r w:rsidR="001B6623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v nadväznosti na náhradu trov sporových konaní,</w:t>
      </w:r>
      <w:r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zabezpečí predkladateľ v rámci interných administratívnych kapacít a ľudských zdrojov. </w:t>
      </w:r>
      <w:r w:rsidR="00C47383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Z vlastných zdrojov bude rovnako zabezpečené pristúpenie do systému </w:t>
      </w:r>
      <w:hyperlink r:id="rId15" w:history="1">
        <w:r w:rsidR="00C47383" w:rsidRPr="00B41308">
          <w:rPr>
            <w:rStyle w:val="Hypertextovprepojenie"/>
            <w:rFonts w:ascii="Times New Roman" w:eastAsia="Times New Roman" w:hAnsi="Times New Roman" w:cs="Times New Roman"/>
            <w:bCs/>
            <w:sz w:val="24"/>
            <w:szCs w:val="20"/>
            <w:lang w:eastAsia="sk-SK"/>
          </w:rPr>
          <w:t>DAS</w:t>
        </w:r>
      </w:hyperlink>
      <w:r w:rsidR="00C47383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zo strany ÚPV SR ako úradu prvého a</w:t>
      </w:r>
      <w:r w:rsidR="00EC126F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 </w:t>
      </w:r>
      <w:r w:rsidR="00C47383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druhého</w:t>
      </w:r>
      <w:r w:rsidR="00EC126F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podania</w:t>
      </w:r>
      <w:r w:rsidR="00C47383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a úprava šablón rozhodnutí ÚPV SR v nadväznosti na zavedenie náhrad trov sporových konaní. </w:t>
      </w:r>
      <w:r w:rsidR="00FF6790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Bližšie informácie sú súčasťou Analýzy vplyvov na informatizáciu.</w:t>
      </w:r>
    </w:p>
    <w:p w14:paraId="7CF83F85" w14:textId="5AA9D7D0" w:rsidR="004E25C7" w:rsidRPr="00B41308" w:rsidRDefault="004E25C7" w:rsidP="00692C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98EA97F" w14:textId="77777777" w:rsidR="007D5748" w:rsidRPr="00B4130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B41308" w:rsidSect="002B63F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11091C0C" w14:textId="0784E640" w:rsidR="007D5748" w:rsidRPr="00B41308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  <w:r w:rsidR="00A91D93"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/A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B41308" w14:paraId="3AB3C85E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FE28FC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</w:t>
            </w:r>
            <w:r w:rsidR="009A3088"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*</w:t>
            </w: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(v eurách)</w:t>
            </w:r>
          </w:p>
          <w:p w14:paraId="2585A099" w14:textId="39DDEB0E" w:rsidR="009833B1" w:rsidRPr="00B41308" w:rsidRDefault="009833B1" w:rsidP="0098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Úrad priemyselného vlastníctva Slovenskej republiky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ED5D1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0D6A4C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B41308" w14:paraId="2ED910E5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8110" w14:textId="77777777" w:rsidR="003408F5" w:rsidRPr="00B41308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D5FE27" w14:textId="5B78B7F3" w:rsidR="003408F5" w:rsidRPr="00B41308" w:rsidRDefault="00AB0848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  <w:r w:rsidR="00C77DF3"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8418FA" w14:textId="6815A60B" w:rsidR="003408F5" w:rsidRPr="00B41308" w:rsidRDefault="00AB0848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EFD91" w14:textId="56014DEA" w:rsidR="003408F5" w:rsidRPr="00B41308" w:rsidRDefault="00AB0848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12A035" w14:textId="09D392E6" w:rsidR="003408F5" w:rsidRPr="00B41308" w:rsidRDefault="00AB0848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E6C0" w14:textId="77777777" w:rsidR="003408F5" w:rsidRPr="00B41308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B41308" w14:paraId="682B1E72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D0F" w14:textId="77777777" w:rsidR="003408F5" w:rsidRPr="00B41308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2674E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219E4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811B9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CD481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11ABB" w14:textId="77777777" w:rsidR="003408F5" w:rsidRPr="00B41308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E4AEB" w:rsidRPr="00B41308" w14:paraId="566A8499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331" w14:textId="77777777" w:rsidR="008E4AEB" w:rsidRPr="00B41308" w:rsidRDefault="008E4AEB" w:rsidP="008E4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AF3B" w14:textId="230AA96C" w:rsidR="008E4AEB" w:rsidRPr="00B41308" w:rsidRDefault="008E4AEB" w:rsidP="008E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22F99"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95 054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61DF" w14:textId="04AADA10" w:rsidR="008E4AEB" w:rsidRPr="00B41308" w:rsidRDefault="008E4AEB" w:rsidP="008E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22F99"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2F99"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97005" w14:textId="421F474B" w:rsidR="008E4AEB" w:rsidRPr="00B41308" w:rsidRDefault="00822F99" w:rsidP="008E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38A6" w14:textId="003A22EB" w:rsidR="008E4AEB" w:rsidRPr="00B41308" w:rsidRDefault="00822F99" w:rsidP="008E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9010F" w14:textId="77777777" w:rsidR="008E4AEB" w:rsidRPr="00B41308" w:rsidRDefault="008E4AEB" w:rsidP="008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C794D" w:rsidRPr="00B41308" w14:paraId="3DFF5741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F1DB" w14:textId="4135DAC4" w:rsidR="008C794D" w:rsidRPr="00B41308" w:rsidRDefault="008C794D" w:rsidP="008C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221004 -  Ostatné poplatky</w:t>
            </w:r>
            <w:r w:rsidR="00C77DF3"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C5039" w14:textId="4EDEB24A" w:rsidR="008C794D" w:rsidRPr="00B41308" w:rsidRDefault="008C794D" w:rsidP="008C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2</w:t>
            </w:r>
            <w:r w:rsidR="00822F99" w:rsidRPr="00B413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95 054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E89AD" w14:textId="28B91151" w:rsidR="008C794D" w:rsidRPr="00B41308" w:rsidRDefault="008C794D" w:rsidP="008C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5</w:t>
            </w:r>
            <w:r w:rsidR="00822F99" w:rsidRPr="00B413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90</w:t>
            </w:r>
            <w:r w:rsidRPr="00B413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 xml:space="preserve"> </w:t>
            </w:r>
            <w:r w:rsidR="00822F99" w:rsidRPr="00B413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48C23" w14:textId="1B46975B" w:rsidR="008C794D" w:rsidRPr="00B41308" w:rsidRDefault="00822F99" w:rsidP="008C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590 109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0EFD5" w14:textId="0D94C3FD" w:rsidR="008C794D" w:rsidRPr="00B41308" w:rsidRDefault="00822F99" w:rsidP="008C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590 109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DA568" w14:textId="77777777" w:rsidR="008C794D" w:rsidRPr="00B41308" w:rsidRDefault="008C794D" w:rsidP="008C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408F5" w:rsidRPr="00B41308" w14:paraId="4ADEBBCA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DDA" w14:textId="77777777" w:rsidR="003408F5" w:rsidRPr="00B41308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F1018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931C7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75697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1BAA5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212F9" w14:textId="77777777" w:rsidR="003408F5" w:rsidRPr="00B41308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B41308" w14:paraId="5BF7F7F3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0C59" w14:textId="77777777" w:rsidR="003408F5" w:rsidRPr="00B41308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959D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755D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35A5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D202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7731D" w14:textId="77777777" w:rsidR="003408F5" w:rsidRPr="00B41308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B41308" w14:paraId="69126CBD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0C01" w14:textId="77777777" w:rsidR="003408F5" w:rsidRPr="00B41308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5D53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26A0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8A10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5BA9" w14:textId="77777777" w:rsidR="003408F5" w:rsidRPr="00B41308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E1FB0" w14:textId="77777777" w:rsidR="003408F5" w:rsidRPr="00B41308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80937" w:rsidRPr="00B41308" w14:paraId="24E2534F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E28BA5" w14:textId="77777777" w:rsidR="00380937" w:rsidRPr="00B41308" w:rsidRDefault="00380937" w:rsidP="003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13EB85" w14:textId="2D577DEB" w:rsidR="00380937" w:rsidRPr="00B41308" w:rsidRDefault="00380937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22F99"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95 054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3F1819" w14:textId="0494DE1A" w:rsidR="00380937" w:rsidRPr="00B41308" w:rsidRDefault="00822F99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C4C33" w14:textId="67F3E6D9" w:rsidR="00380937" w:rsidRPr="00B41308" w:rsidRDefault="00822F99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54278F" w14:textId="40E0B456" w:rsidR="00380937" w:rsidRPr="00B41308" w:rsidRDefault="00822F99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67E4322" w14:textId="77777777" w:rsidR="00380937" w:rsidRPr="00B41308" w:rsidRDefault="00380937" w:rsidP="0038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9A2BD04" w14:textId="4A1663D9" w:rsidR="007D5748" w:rsidRPr="00B4130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58016315" w14:textId="70FEA852" w:rsidR="00C77DF3" w:rsidRPr="00B41308" w:rsidRDefault="00C77DF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vplyv zvýšených udržiavacích poplatkov znížený o dopad zrušeného inštitútu kaucie</w:t>
      </w:r>
    </w:p>
    <w:p w14:paraId="76EE7B05" w14:textId="4DB0D759" w:rsidR="00AB0848" w:rsidRPr="00B41308" w:rsidRDefault="00C77DF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3</w:t>
      </w:r>
      <w:r w:rsidR="00AB0848"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– predpokladané navýšenie príjmov v roku 2025 primerané krátené s ohľadom na navrhovaný dátum nadobudnutia účinnosti zákona od 1.7.2025  </w:t>
      </w:r>
    </w:p>
    <w:p w14:paraId="133A0897" w14:textId="451DDFB2" w:rsidR="007D5748" w:rsidRPr="00B41308" w:rsidRDefault="009A3088" w:rsidP="009A308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*vplyv na príjmy ÚPV SR (zvýšené sadzby udržiavacích poplatkov)</w:t>
      </w:r>
    </w:p>
    <w:p w14:paraId="01F75EFE" w14:textId="77777777" w:rsidR="009A3088" w:rsidRPr="00B41308" w:rsidRDefault="009A3088" w:rsidP="009A308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4683CEF" w14:textId="77777777" w:rsidR="007D5748" w:rsidRPr="00B4130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1DF65985" w14:textId="77777777" w:rsidR="007D5748" w:rsidRPr="00B4130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6F0AAB2D" w14:textId="77777777" w:rsidR="00A91D93" w:rsidRPr="00B41308" w:rsidRDefault="00A91D93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F6CD214" w14:textId="77777777" w:rsidR="00A91D93" w:rsidRPr="00B41308" w:rsidRDefault="00A91D93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ED4FBBE" w14:textId="0A298C1A" w:rsidR="007D5748" w:rsidRPr="00B4130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1BCA52E3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9A9265D" w14:textId="77777777" w:rsidR="00380937" w:rsidRPr="00B41308" w:rsidRDefault="00A91D93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A4EB15" w14:textId="77777777" w:rsidR="00380937" w:rsidRPr="00B41308" w:rsidRDefault="00380937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E14C6AA" w14:textId="77777777" w:rsidR="00380937" w:rsidRPr="00B41308" w:rsidRDefault="00380937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774D588" w14:textId="77777777" w:rsidR="00380937" w:rsidRPr="00B41308" w:rsidRDefault="00380937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8775621" w14:textId="77777777" w:rsidR="00380937" w:rsidRPr="00B41308" w:rsidRDefault="00380937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3E6A2DB" w14:textId="77777777" w:rsidR="00380937" w:rsidRPr="00B41308" w:rsidRDefault="00380937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AF74FFF" w14:textId="77777777" w:rsidR="00380937" w:rsidRPr="00B41308" w:rsidRDefault="00380937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7184834" w14:textId="223A6508" w:rsidR="00380937" w:rsidRPr="00B41308" w:rsidRDefault="00380937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542A937" w14:textId="59627D7E" w:rsidR="00380937" w:rsidRPr="00B41308" w:rsidRDefault="00380937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27534CC" w14:textId="557750C6" w:rsidR="00380937" w:rsidRPr="00B41308" w:rsidRDefault="00380937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D628D86" w14:textId="28DC4677" w:rsidR="00380937" w:rsidRPr="00B41308" w:rsidRDefault="00380937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5881594" w14:textId="77777777" w:rsidR="00380937" w:rsidRPr="00B41308" w:rsidRDefault="00380937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4C3C6F3" w14:textId="77777777" w:rsidR="00380937" w:rsidRPr="00B41308" w:rsidRDefault="00380937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CC44965" w14:textId="2429F515" w:rsidR="00A91D93" w:rsidRPr="00B41308" w:rsidRDefault="00380937" w:rsidP="00A91D93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="00A91D93"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Tabuľka č. 3/B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A91D93" w:rsidRPr="00B41308" w14:paraId="311B5AB5" w14:textId="77777777" w:rsidTr="003132F1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2A4D2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</w:t>
            </w:r>
            <w:r w:rsidR="009A3088"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*</w:t>
            </w: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(v eurách)</w:t>
            </w:r>
          </w:p>
          <w:p w14:paraId="6140728B" w14:textId="0342755F" w:rsidR="009833B1" w:rsidRPr="00B41308" w:rsidRDefault="009833B1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Kapitola Všeobecná pokladničná správa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729F3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90EE85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91D93" w:rsidRPr="00B41308" w14:paraId="6D0CEB3D" w14:textId="77777777" w:rsidTr="003132F1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9079" w14:textId="77777777" w:rsidR="00A91D93" w:rsidRPr="00B41308" w:rsidRDefault="00A91D93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7A26B5" w14:textId="7E0B6511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  <w:r w:rsidR="00380937"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2BC2CC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DCF7A2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14CE80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FDBB" w14:textId="77777777" w:rsidR="00A91D93" w:rsidRPr="00B41308" w:rsidRDefault="00A91D93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91D93" w:rsidRPr="00B41308" w14:paraId="47E8FE17" w14:textId="77777777" w:rsidTr="003132F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A1D" w14:textId="77777777" w:rsidR="00A91D93" w:rsidRPr="00B41308" w:rsidRDefault="00A91D93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8A431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FB47C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B3DE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015AE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C7960" w14:textId="77777777" w:rsidR="00A91D93" w:rsidRPr="00B41308" w:rsidRDefault="00A91D93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80937" w:rsidRPr="00B41308" w14:paraId="2E5A8EAE" w14:textId="77777777" w:rsidTr="003132F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442" w14:textId="77777777" w:rsidR="00380937" w:rsidRPr="00B41308" w:rsidRDefault="00380937" w:rsidP="003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6C8E4" w14:textId="1DADDAC9" w:rsidR="00380937" w:rsidRPr="00B41308" w:rsidRDefault="00380937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100 059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5C8C5" w14:textId="23632144" w:rsidR="00380937" w:rsidRPr="00B41308" w:rsidRDefault="00380937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200 118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3DD4C" w14:textId="72B2EDBF" w:rsidR="00380937" w:rsidRPr="00B41308" w:rsidRDefault="00380937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200 118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D7B23" w14:textId="1FC1BC82" w:rsidR="00380937" w:rsidRPr="00B41308" w:rsidRDefault="00380937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sz w:val="24"/>
                <w:szCs w:val="24"/>
              </w:rPr>
              <w:t>200 118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9AEFB" w14:textId="77777777" w:rsidR="00380937" w:rsidRPr="00B41308" w:rsidRDefault="00380937" w:rsidP="0038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80937" w:rsidRPr="00B41308" w14:paraId="353383BA" w14:textId="77777777" w:rsidTr="003132F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653B" w14:textId="4F6CBD77" w:rsidR="00380937" w:rsidRPr="00B41308" w:rsidRDefault="00380937" w:rsidP="003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221002 – Správne poplatky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65DE" w14:textId="10A756E6" w:rsidR="00380937" w:rsidRPr="00B41308" w:rsidRDefault="00380937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8E2E5" w14:textId="43FA4380" w:rsidR="00380937" w:rsidRPr="00B41308" w:rsidRDefault="00380937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53EBC" w14:textId="568C2228" w:rsidR="00380937" w:rsidRPr="00B41308" w:rsidRDefault="00380937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4A070" w14:textId="055AAA38" w:rsidR="00380937" w:rsidRPr="00B41308" w:rsidRDefault="00380937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200 118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BE957" w14:textId="77777777" w:rsidR="00380937" w:rsidRPr="00B41308" w:rsidRDefault="00380937" w:rsidP="0038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91D93" w:rsidRPr="00B41308" w14:paraId="2069FE9B" w14:textId="77777777" w:rsidTr="003132F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373D" w14:textId="77777777" w:rsidR="00A91D93" w:rsidRPr="00B41308" w:rsidRDefault="00A91D93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0C946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6390E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79186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68770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6B1A6" w14:textId="77777777" w:rsidR="00A91D93" w:rsidRPr="00B41308" w:rsidRDefault="00A91D93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91D93" w:rsidRPr="00B41308" w14:paraId="0BCD29A5" w14:textId="77777777" w:rsidTr="003132F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6DC" w14:textId="77777777" w:rsidR="00A91D93" w:rsidRPr="00B41308" w:rsidRDefault="00A91D93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5265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9034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1ED8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09ED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9B18C" w14:textId="77777777" w:rsidR="00A91D93" w:rsidRPr="00B41308" w:rsidRDefault="00A91D93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91D93" w:rsidRPr="00B41308" w14:paraId="3827C7F0" w14:textId="77777777" w:rsidTr="003132F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53FD" w14:textId="77777777" w:rsidR="00A91D93" w:rsidRPr="00B41308" w:rsidRDefault="00A91D93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01D3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F197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03F2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4FCD" w14:textId="77777777" w:rsidR="00A91D93" w:rsidRPr="00B41308" w:rsidRDefault="00A91D93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3531A" w14:textId="77777777" w:rsidR="00A91D93" w:rsidRPr="00B41308" w:rsidRDefault="00A91D93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80937" w:rsidRPr="00B41308" w14:paraId="7FD73FEB" w14:textId="77777777" w:rsidTr="003132F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F0DB0F" w14:textId="77777777" w:rsidR="00380937" w:rsidRPr="00B41308" w:rsidRDefault="00380937" w:rsidP="003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08FF0" w14:textId="14676B86" w:rsidR="00380937" w:rsidRPr="00B41308" w:rsidRDefault="00380937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6EBA97" w14:textId="091F6CB9" w:rsidR="00380937" w:rsidRPr="00B41308" w:rsidRDefault="00380937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F8E284" w14:textId="6906D617" w:rsidR="00380937" w:rsidRPr="00B41308" w:rsidRDefault="00380937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168325" w14:textId="09A95A90" w:rsidR="00380937" w:rsidRPr="00B41308" w:rsidRDefault="00380937" w:rsidP="0038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200 118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EB20E31" w14:textId="77777777" w:rsidR="00380937" w:rsidRPr="00B41308" w:rsidRDefault="00380937" w:rsidP="0038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FBC1D91" w14:textId="77777777" w:rsidR="00A91D93" w:rsidRPr="00B41308" w:rsidRDefault="00A91D93" w:rsidP="00A91D9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6DD45CDD" w14:textId="78859592" w:rsidR="00A91D93" w:rsidRPr="00B41308" w:rsidRDefault="00380937" w:rsidP="00A91D9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</w:t>
      </w:r>
      <w:r w:rsidR="00A91D93"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– predpokladané navýšenie príjmov v roku 2025 primerané krátené s ohľadom na navrhovaný dátum nadobudnutia účinnosti zákona od 1.7.2025  </w:t>
      </w:r>
    </w:p>
    <w:p w14:paraId="06FB6A6C" w14:textId="060B6770" w:rsidR="00A91D93" w:rsidRPr="00B41308" w:rsidRDefault="009A3088" w:rsidP="00A91D9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*vplyv na Všeobecnú pokladničnú správu (zvýšené sadzby správnych poplatkov)</w:t>
      </w:r>
    </w:p>
    <w:p w14:paraId="5960BA38" w14:textId="77777777" w:rsidR="009A3088" w:rsidRPr="00B41308" w:rsidRDefault="009A3088" w:rsidP="00A91D9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762E6681" w14:textId="7E8BEF1A" w:rsidR="00A91D93" w:rsidRPr="00B41308" w:rsidRDefault="00A91D93" w:rsidP="00A91D9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6D1F68AF" w14:textId="77777777" w:rsidR="00A91D93" w:rsidRPr="00B41308" w:rsidRDefault="00A91D93" w:rsidP="00A91D9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BDA7E0B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82252F3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7D4FDC8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118C2C3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DF49C43" w14:textId="77777777" w:rsidR="003408F5" w:rsidRPr="00B41308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C1BA610" w14:textId="4103EC74" w:rsidR="003408F5" w:rsidRPr="00B41308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E92E313" w14:textId="741E2DEF" w:rsidR="00380937" w:rsidRPr="00B41308" w:rsidRDefault="0038093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4D52874" w14:textId="407DC315" w:rsidR="00380937" w:rsidRPr="00B41308" w:rsidRDefault="0038093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B1C769" w14:textId="77777777" w:rsidR="00380937" w:rsidRPr="00B41308" w:rsidRDefault="0038093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BE609F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18D7F10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C5077B4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0D2E01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2AA8846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E5E4607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1B17D5E" w14:textId="6B2E8BC2" w:rsidR="007D5748" w:rsidRPr="00B41308" w:rsidRDefault="00B801BA" w:rsidP="00F2073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4/A</w:t>
      </w:r>
      <w:r w:rsidR="009A391A"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FC3972" w:rsidRPr="00B41308" w14:paraId="28927B6B" w14:textId="77777777" w:rsidTr="00F20736">
        <w:trPr>
          <w:cantSplit/>
          <w:trHeight w:val="283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9744D5" w14:textId="77777777" w:rsidR="007D5748" w:rsidRPr="00B41308" w:rsidRDefault="007D5748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  <w:p w14:paraId="01235EB0" w14:textId="0583F382" w:rsidR="00FC3972" w:rsidRPr="00B41308" w:rsidRDefault="00FC3972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Úrad priemyselného vlastníctva Slovenskej republiky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F429C1" w14:textId="77777777" w:rsidR="007D5748" w:rsidRPr="00B41308" w:rsidRDefault="007D5748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2A435" w14:textId="77777777" w:rsidR="007D5748" w:rsidRPr="00B41308" w:rsidRDefault="007D5748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B41308" w14:paraId="190857B7" w14:textId="77777777" w:rsidTr="00F20736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57C82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D64962" w14:textId="5321ABC9" w:rsidR="007D5748" w:rsidRPr="00B41308" w:rsidRDefault="00B77500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CA43B7" w14:textId="420DCC35" w:rsidR="007D5748" w:rsidRPr="00B41308" w:rsidRDefault="00B77500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949AED" w14:textId="04904F8E" w:rsidR="007D5748" w:rsidRPr="00B41308" w:rsidRDefault="00B77500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08289A" w14:textId="04608A15" w:rsidR="007D5748" w:rsidRPr="00B41308" w:rsidRDefault="00B77500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5FC2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77500" w:rsidRPr="00B41308" w14:paraId="547615E1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D0D5" w14:textId="77777777" w:rsidR="00B77500" w:rsidRPr="00B41308" w:rsidRDefault="00B77500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D74EA" w14:textId="13C99D5B" w:rsidR="00B77500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B0075" w14:textId="377E7E25" w:rsidR="00B77500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D8555" w14:textId="45B8BF46" w:rsidR="00B77500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0FF3F" w14:textId="03EA19A7" w:rsidR="00B77500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E6FB" w14:textId="77777777" w:rsidR="00B77500" w:rsidRPr="00B41308" w:rsidRDefault="00B77500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2864E4E5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4BC1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0FDFD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C8258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1CA0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D183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95F96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223E559D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F225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F3DD2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8CF6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93E1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D08C2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5FB81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6ECDEDC5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207" w14:textId="7926E109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="00B77500" w:rsidRPr="00B413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15703" w14:textId="27AD74ED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DA39" w14:textId="7AD710D3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5ECC" w14:textId="327CDA7F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AAC1" w14:textId="5E63B753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F7525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107132CF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CE5" w14:textId="3F3DFF06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="00B77500" w:rsidRPr="00B413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E0A0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80F19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81C09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329A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A13A9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6E85B31B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DEC7" w14:textId="25B93CCB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B41308">
              <w:t xml:space="preserve"> </w:t>
            </w:r>
            <w:r w:rsidR="008D339D"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="00B77500" w:rsidRPr="00B413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5F3F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BD65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D866F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B39C1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34407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B41308" w14:paraId="0E3A0135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8AC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7DAE" w14:textId="73B488FC" w:rsidR="007D5748" w:rsidRPr="00B41308" w:rsidRDefault="009A391A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73 02</w:t>
            </w:r>
            <w:r w:rsidR="00FC3972"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47C30" w14:textId="765D25D7" w:rsidR="007D5748" w:rsidRPr="00B41308" w:rsidRDefault="009A391A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D2091" w14:textId="6E8197EC" w:rsidR="007D5748" w:rsidRPr="00B41308" w:rsidRDefault="009A391A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406D" w14:textId="7CAE2B72" w:rsidR="007D5748" w:rsidRPr="00B41308" w:rsidRDefault="009A391A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F8910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05465DD0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249" w14:textId="3655C0F8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</w:t>
            </w:r>
            <w:r w:rsidR="004C189D"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8 006</w:t>
            </w: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="00B77500" w:rsidRPr="00B413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1</w:t>
            </w:r>
            <w:r w:rsidR="004C189D" w:rsidRPr="00B413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–</w:t>
            </w:r>
            <w:r w:rsidR="004C189D"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rekonštrukcia a modernizácia softvéru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37806" w14:textId="6FF820F5" w:rsidR="007D5748" w:rsidRPr="00B41308" w:rsidRDefault="004C189D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73 02</w:t>
            </w:r>
            <w:r w:rsidR="00FC3972"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0618A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9910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EE1EB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DBC88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216B3C0B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513" w14:textId="08FDE2DE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="00B77500" w:rsidRPr="00B413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82CC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AD7B3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1D726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7C6F1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7C207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68CD979C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000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F6D9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BB2D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66BD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661B" w14:textId="77777777" w:rsidR="007D5748" w:rsidRPr="00B41308" w:rsidRDefault="007D5748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906FB" w14:textId="77777777" w:rsidR="007D5748" w:rsidRPr="00B41308" w:rsidRDefault="007D5748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77500" w:rsidRPr="00B41308" w14:paraId="65C8879B" w14:textId="77777777" w:rsidTr="00F20736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3E2001" w14:textId="77777777" w:rsidR="00B77500" w:rsidRPr="00B41308" w:rsidRDefault="00B77500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5E8229" w14:textId="1D15491F" w:rsidR="00B77500" w:rsidRPr="00B41308" w:rsidRDefault="009A391A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73 02</w:t>
            </w:r>
            <w:r w:rsidR="00FC3972"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4106D" w14:textId="032C9826" w:rsidR="00B77500" w:rsidRPr="00B41308" w:rsidRDefault="000F3EE6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E6DB8B" w14:textId="60D59124" w:rsidR="00B77500" w:rsidRPr="00B41308" w:rsidRDefault="000F3EE6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15B4E" w14:textId="7C2DF9C7" w:rsidR="00B77500" w:rsidRPr="00B41308" w:rsidRDefault="000F3EE6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98AA41" w14:textId="77777777" w:rsidR="00B77500" w:rsidRPr="00B41308" w:rsidRDefault="00B77500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9073939" w14:textId="535ACAE3" w:rsidR="007D5748" w:rsidRPr="00B41308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B77500"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</w:t>
      </w:r>
      <w:r w:rsidR="007D5748"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–  výdavky rozpísať až do položiek platnej ekonomickej klasifikácie</w:t>
      </w:r>
    </w:p>
    <w:p w14:paraId="052B197A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17D01A9" w14:textId="77777777" w:rsidR="007D5748" w:rsidRPr="00B41308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B4130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13B58DE8" w14:textId="77777777" w:rsidR="007D5748" w:rsidRPr="00B41308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711CB22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0AAA6A0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DC728B5" w14:textId="77777777" w:rsidR="00440A16" w:rsidRPr="00B41308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C7186C4" w14:textId="77777777" w:rsidR="00440A16" w:rsidRPr="00B41308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A4BCCF7" w14:textId="77777777" w:rsidR="00440A16" w:rsidRPr="00B41308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9030FAC" w14:textId="77777777" w:rsidR="00440A16" w:rsidRPr="00B41308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57D21B6" w14:textId="77777777" w:rsidR="00440A16" w:rsidRPr="00B41308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C830FFE" w14:textId="77777777" w:rsidR="00440A16" w:rsidRPr="00B41308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B096B0C" w14:textId="77777777" w:rsidR="00440A16" w:rsidRPr="00B41308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35C9B3A" w14:textId="77777777" w:rsidR="00440A16" w:rsidRPr="00B41308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2BBE12D" w14:textId="77777777" w:rsidR="00440A16" w:rsidRPr="00B41308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CBA64C6" w14:textId="58ACAAD3" w:rsidR="00440A16" w:rsidRPr="00B41308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3224AAC" w14:textId="0597A984" w:rsidR="00822F99" w:rsidRPr="00B41308" w:rsidRDefault="00822F99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64ED857" w14:textId="39CE3B9A" w:rsidR="00822F99" w:rsidRPr="00B41308" w:rsidRDefault="00822F99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7D14D0D" w14:textId="7385B7D9" w:rsidR="00822F99" w:rsidRPr="00B41308" w:rsidRDefault="00822F99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6F36792" w14:textId="77777777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</w:p>
    <w:p w14:paraId="1B0E4E46" w14:textId="77777777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BEAEEA6" w14:textId="54A2F650" w:rsidR="00822F99" w:rsidRPr="00B41308" w:rsidRDefault="00822F99" w:rsidP="009A391A">
      <w:pPr>
        <w:tabs>
          <w:tab w:val="num" w:pos="1080"/>
        </w:tabs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Tabuľka č. 4/A 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822F99" w:rsidRPr="00B41308" w14:paraId="1AB62F70" w14:textId="77777777" w:rsidTr="003132F1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91AD3E" w14:textId="77777777" w:rsidR="00822F99" w:rsidRPr="00B41308" w:rsidRDefault="00822F99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  <w:p w14:paraId="6E56DE7E" w14:textId="0D4E06D3" w:rsidR="00FC3972" w:rsidRPr="00B41308" w:rsidRDefault="00FC3972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Ministerstvo financií Slovenskej republiky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A28189" w14:textId="77777777" w:rsidR="00822F99" w:rsidRPr="00B41308" w:rsidRDefault="00822F99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501EB1" w14:textId="77777777" w:rsidR="00822F99" w:rsidRPr="00B41308" w:rsidRDefault="00822F99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22F99" w:rsidRPr="00B41308" w14:paraId="48FB5EA9" w14:textId="77777777" w:rsidTr="003132F1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6ABEF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3EDE44" w14:textId="77777777" w:rsidR="00822F99" w:rsidRPr="00B41308" w:rsidRDefault="00822F99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1CCDD" w14:textId="77777777" w:rsidR="00822F99" w:rsidRPr="00B41308" w:rsidRDefault="00822F99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7D2549" w14:textId="77777777" w:rsidR="00822F99" w:rsidRPr="00B41308" w:rsidRDefault="00822F99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C23AF" w14:textId="77777777" w:rsidR="00822F99" w:rsidRPr="00B41308" w:rsidRDefault="00822F99" w:rsidP="003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B2F6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822F99" w:rsidRPr="00B41308" w14:paraId="0F9A61BE" w14:textId="77777777" w:rsidTr="003132F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452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8F035" w14:textId="0AD042EB" w:rsidR="00822F99" w:rsidRPr="00B41308" w:rsidRDefault="008561E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-73 02</w:t>
            </w:r>
            <w:r w:rsidR="00FC3972"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3E2D1" w14:textId="17AF4BF7" w:rsidR="00822F99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1434B" w14:textId="7E32D6DE" w:rsidR="00822F99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F6624" w14:textId="7C83C17E" w:rsidR="00822F99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E615F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2F99" w:rsidRPr="00B41308" w14:paraId="1F2B1B20" w14:textId="77777777" w:rsidTr="003132F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C9D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1BB6B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FBD2F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96839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03CBA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6ACAC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2F99" w:rsidRPr="00B41308" w14:paraId="79C20E2F" w14:textId="77777777" w:rsidTr="003132F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FE4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D72CA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9DFB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E5D8D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7F358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F3A07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2F99" w:rsidRPr="00B41308" w14:paraId="30BD5EB8" w14:textId="77777777" w:rsidTr="003132F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3A4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94A14" w14:textId="72A3DB67" w:rsidR="00822F99" w:rsidRPr="00B41308" w:rsidRDefault="008561E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-73 02</w:t>
            </w:r>
            <w:r w:rsidR="00FC3972"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BB064" w14:textId="266D6A44" w:rsidR="00822F99" w:rsidRPr="00B41308" w:rsidRDefault="008561E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ABEF9" w14:textId="761A5A26" w:rsidR="00822F99" w:rsidRPr="00B41308" w:rsidRDefault="008561E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D3DB6" w14:textId="36385E6C" w:rsidR="00822F99" w:rsidRPr="00B41308" w:rsidRDefault="008561E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52E48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2F99" w:rsidRPr="00B41308" w14:paraId="1799CE7B" w14:textId="77777777" w:rsidTr="003132F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529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68834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3F25B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56120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012F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64BE2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2F99" w:rsidRPr="00B41308" w14:paraId="5A460DBB" w14:textId="77777777" w:rsidTr="003132F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1310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41308">
              <w:t xml:space="preserve"> </w:t>
            </w: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0023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528D0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BAC32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9E517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65E8D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22F99" w:rsidRPr="00B41308" w14:paraId="58188D8F" w14:textId="77777777" w:rsidTr="003132F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DA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69AA5" w14:textId="1324FACD" w:rsidR="00822F99" w:rsidRPr="00B41308" w:rsidRDefault="00FC3972" w:rsidP="00F20736">
            <w:pPr>
              <w:pStyle w:val="Odsekzoznamu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78C9A" w14:textId="0CB65208" w:rsidR="00822F99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9AF90" w14:textId="4975C24A" w:rsidR="00822F99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E2F6" w14:textId="45AB725D" w:rsidR="00822F99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F9AF5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2F99" w:rsidRPr="00B41308" w14:paraId="2FF7988C" w14:textId="77777777" w:rsidTr="003132F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EA6" w14:textId="675F77C4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</w:t>
            </w:r>
            <w:r w:rsidR="005D20BD"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C5F22" w14:textId="5D4F3FB0" w:rsidR="00822F99" w:rsidRPr="00B41308" w:rsidRDefault="00822F99" w:rsidP="00F20736">
            <w:pPr>
              <w:pStyle w:val="Odsekzoznamu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A5340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8850F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55CE1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8E1B4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2F99" w:rsidRPr="00B41308" w14:paraId="4B1011A8" w14:textId="77777777" w:rsidTr="003132F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AC0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D440F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8EB43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62DD2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8D23D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65F3A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2F99" w:rsidRPr="00B41308" w14:paraId="651BFEAC" w14:textId="77777777" w:rsidTr="003132F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EDA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2C5A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334A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795F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0308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C3BB8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2F99" w:rsidRPr="00B41308" w14:paraId="0D87D5E7" w14:textId="77777777" w:rsidTr="003132F1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05FDFF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EE26F5" w14:textId="444B1DFA" w:rsidR="00822F99" w:rsidRPr="00B41308" w:rsidRDefault="00444BAA" w:rsidP="00F20736">
            <w:pPr>
              <w:pStyle w:val="Odsekzoznamu"/>
              <w:spacing w:after="0" w:line="240" w:lineRule="auto"/>
              <w:ind w:left="6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9A391A"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73 02</w:t>
            </w:r>
            <w:r w:rsidR="00FC3972"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5960A4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D530A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C769D8" w14:textId="77777777" w:rsidR="00822F99" w:rsidRPr="00B41308" w:rsidRDefault="00822F99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2345AAF" w14:textId="77777777" w:rsidR="00822F99" w:rsidRPr="00B41308" w:rsidRDefault="00822F99" w:rsidP="0031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4482240" w14:textId="77777777" w:rsidR="00822F99" w:rsidRPr="00B41308" w:rsidRDefault="00822F99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712BFE2" w14:textId="77777777" w:rsidR="009A391A" w:rsidRPr="00B41308" w:rsidRDefault="009A391A" w:rsidP="009A391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výdavky rozpísať až do položiek platnej ekonomickej klasifikácie</w:t>
      </w:r>
    </w:p>
    <w:p w14:paraId="7557FA7E" w14:textId="77777777" w:rsidR="009A391A" w:rsidRPr="00B41308" w:rsidRDefault="009A391A" w:rsidP="009A391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B31B938" w14:textId="77777777" w:rsidR="009A391A" w:rsidRPr="00B41308" w:rsidRDefault="009A391A" w:rsidP="009A391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4D9B8684" w14:textId="77777777" w:rsidR="009A391A" w:rsidRPr="00B41308" w:rsidRDefault="009A391A" w:rsidP="009A391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73EE080C" w14:textId="0DB7A641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971C2AF" w14:textId="7C46A0D1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C946BAF" w14:textId="24F3F8DC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E9ED30F" w14:textId="6E13B6B2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554B91D" w14:textId="1E4E371F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9A572D5" w14:textId="1B3335AA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69E7DE5" w14:textId="59508A70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1DBD923" w14:textId="6A25BD26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4D645CE" w14:textId="6B40C900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F6BE4AF" w14:textId="5930E5C3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3EB6206" w14:textId="381C6782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4BBAC36" w14:textId="1ECA601F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4D64A32" w14:textId="3BE93E33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CCAFCD9" w14:textId="77777777" w:rsidR="009A391A" w:rsidRPr="00B41308" w:rsidRDefault="009A391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6226EFB" w14:textId="77777777" w:rsidR="00B801BA" w:rsidRPr="00B41308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B41308" w14:paraId="67548FFF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71F58B" w14:textId="77777777" w:rsidR="00440A16" w:rsidRPr="00B41308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  <w:p w14:paraId="52087A0F" w14:textId="77A2D1F5" w:rsidR="00FC3972" w:rsidRPr="00B41308" w:rsidRDefault="00FC3972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Úrad priemyselného vlastníctva Slovenskej republiky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3F7A5A" w14:textId="77777777" w:rsidR="00440A16" w:rsidRPr="00B4130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0458D8F" w14:textId="77777777" w:rsidR="00440A16" w:rsidRPr="00B4130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FC3972" w:rsidRPr="00B41308" w14:paraId="2C0B335E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51CCD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CEC547" w14:textId="10C9CDE6" w:rsidR="00FC3972" w:rsidRPr="00B41308" w:rsidRDefault="00FC3972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7328B6" w14:textId="28ECAE5F" w:rsidR="00FC3972" w:rsidRPr="00B41308" w:rsidRDefault="00FC3972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ED8185" w14:textId="1AEA46BC" w:rsidR="00FC3972" w:rsidRPr="00B41308" w:rsidRDefault="00FC3972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8E9605" w14:textId="28A85411" w:rsidR="00FC3972" w:rsidRPr="00B41308" w:rsidRDefault="00FC3972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B53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FC3972" w:rsidRPr="00B41308" w14:paraId="461D612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C6C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24BD1" w14:textId="02182FEF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36FEF" w14:textId="4E4C05F1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A09F4" w14:textId="558CC1B8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C9F38" w14:textId="13F0A183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50F6C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FC3972" w:rsidRPr="00B41308" w14:paraId="15B7B797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C500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3800A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40754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9F98E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A6D5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828F2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C3972" w:rsidRPr="00B41308" w14:paraId="5E9B294B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015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D8041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E3A84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7D25E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0FA7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B59A8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C3972" w:rsidRPr="00B41308" w14:paraId="49682408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2FC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B1DC3" w14:textId="220DF601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1C618" w14:textId="076C01F9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364D" w14:textId="72551F99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4E890" w14:textId="15010AA4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AA5D1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C3972" w:rsidRPr="00B41308" w14:paraId="374B8B07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055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9F628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54F19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84181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5E063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DE65F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C3972" w:rsidRPr="00B41308" w14:paraId="372A1EC8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4E14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D3A7E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DCD2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95775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CDDF3" w14:textId="77777777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B80D5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C3972" w:rsidRPr="00B41308" w14:paraId="171269AA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A95C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41308">
              <w:rPr>
                <w:color w:val="000000" w:themeColor="text1"/>
              </w:rPr>
              <w:t xml:space="preserve"> </w:t>
            </w: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D0BEF" w14:textId="5CADEBBD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F9DAE" w14:textId="6DE33B52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C51F" w14:textId="4167B133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16D9" w14:textId="4205C778" w:rsidR="00FC3972" w:rsidRPr="00B41308" w:rsidRDefault="00FC3972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446F1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177814" w:rsidRPr="00B41308" w14:paraId="5839DB3A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7A1" w14:textId="77777777" w:rsidR="00177814" w:rsidRPr="00B41308" w:rsidRDefault="00177814" w:rsidP="0017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9029" w14:textId="17398A27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73 026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321D" w14:textId="77777777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44560" w14:textId="77777777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2840" w14:textId="77777777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2F7D1" w14:textId="77777777" w:rsidR="00177814" w:rsidRPr="00B41308" w:rsidRDefault="00177814" w:rsidP="0017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177814" w:rsidRPr="00B41308" w14:paraId="13789154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CB" w14:textId="39CFF423" w:rsidR="00177814" w:rsidRPr="00B41308" w:rsidRDefault="00177814" w:rsidP="0017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</w:t>
            </w:r>
            <w:r w:rsidR="005D20BD"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718 006)</w:t>
            </w:r>
            <w:r w:rsidR="005D20BD"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  <w:r w:rsidR="005D20BD" w:rsidRPr="00B413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–</w:t>
            </w:r>
            <w:r w:rsidR="005D20BD"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rekonštrukcia a modernizácia softvéru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BD9B" w14:textId="5F650C9B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73 026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B9E34" w14:textId="77777777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101E4" w14:textId="77777777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248DE" w14:textId="77777777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23999" w14:textId="77777777" w:rsidR="00177814" w:rsidRPr="00B41308" w:rsidRDefault="00177814" w:rsidP="0017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177814" w:rsidRPr="00B41308" w14:paraId="714D2BCF" w14:textId="77777777" w:rsidTr="00F2073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8D4" w14:textId="77777777" w:rsidR="00177814" w:rsidRPr="00B41308" w:rsidRDefault="00177814" w:rsidP="0017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612B" w14:textId="2410CCF2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B7249" w14:textId="1E5A1D5E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C0ED2" w14:textId="022559F9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15FE3" w14:textId="6DF9491F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859E3" w14:textId="77777777" w:rsidR="00177814" w:rsidRPr="00B41308" w:rsidRDefault="00177814" w:rsidP="0017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177814" w:rsidRPr="00B41308" w14:paraId="5BC76E4E" w14:textId="77777777" w:rsidTr="00F20736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695F1" w14:textId="77777777" w:rsidR="00177814" w:rsidRPr="00B41308" w:rsidRDefault="00177814" w:rsidP="0017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30E34" w14:textId="1575C181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73 026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449798" w14:textId="618D2257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784642" w14:textId="7E6B5172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2C39FA" w14:textId="76208D8E" w:rsidR="00177814" w:rsidRPr="00B41308" w:rsidRDefault="00177814" w:rsidP="00F20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EB90A28" w14:textId="77777777" w:rsidR="00177814" w:rsidRPr="00B41308" w:rsidRDefault="00177814" w:rsidP="0017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0CDF9502" w14:textId="77777777" w:rsidR="003408F5" w:rsidRPr="00B41308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B4130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B4130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78642C10" w14:textId="77777777" w:rsidR="003408F5" w:rsidRPr="00B41308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5FB66D0" w14:textId="77777777" w:rsidR="003408F5" w:rsidRPr="00B41308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08A3FCED" w14:textId="77777777" w:rsidR="003408F5" w:rsidRPr="00B41308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162ACEE4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34FBC8D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50117C9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5FA3418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AAD3E6E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340E744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BF4E55C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D0FC31A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0BC9DA1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EF7F398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948DA58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AED50C9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D4121BB" w14:textId="77777777" w:rsidR="00440A16" w:rsidRPr="00B41308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6B806BB" w14:textId="1F9607E6" w:rsidR="00440A16" w:rsidRPr="00B41308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9B9C6AA" w14:textId="77777777" w:rsidR="00EE268D" w:rsidRPr="00B41308" w:rsidRDefault="00EE268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ECBFDFD" w14:textId="77777777" w:rsidR="00FC3972" w:rsidRPr="00B41308" w:rsidRDefault="00FC3972" w:rsidP="00FC397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2DB80FE" w14:textId="77777777" w:rsidR="00FC3972" w:rsidRPr="00B41308" w:rsidRDefault="00FC3972" w:rsidP="00FC397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9F05EF2" w14:textId="77777777" w:rsidR="00FC3972" w:rsidRPr="00B41308" w:rsidRDefault="00FC3972" w:rsidP="00FC397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FC3972" w:rsidRPr="00B41308" w14:paraId="2B58DD12" w14:textId="77777777" w:rsidTr="005F19A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C969F7" w14:textId="77777777" w:rsidR="00FC3972" w:rsidRPr="00B41308" w:rsidRDefault="00FC3972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  <w:p w14:paraId="1F96A503" w14:textId="34F324F6" w:rsidR="00FC3972" w:rsidRPr="00B41308" w:rsidRDefault="00FC3972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Ministerstvo financií Slovenskej republiky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4527D3" w14:textId="77777777" w:rsidR="00FC3972" w:rsidRPr="00B41308" w:rsidRDefault="00FC3972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15AB4A" w14:textId="77777777" w:rsidR="00FC3972" w:rsidRPr="00B41308" w:rsidRDefault="00FC3972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FC3972" w:rsidRPr="00B41308" w14:paraId="2C33EE91" w14:textId="77777777" w:rsidTr="005F19A6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25D54F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74DC0A" w14:textId="77777777" w:rsidR="00FC3972" w:rsidRPr="00B41308" w:rsidRDefault="00FC3972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2A4925" w14:textId="77777777" w:rsidR="00FC3972" w:rsidRPr="00B41308" w:rsidRDefault="00FC3972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44DE4C" w14:textId="77777777" w:rsidR="00FC3972" w:rsidRPr="00B41308" w:rsidRDefault="00FC3972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10B285" w14:textId="77777777" w:rsidR="00FC3972" w:rsidRPr="00B41308" w:rsidRDefault="00FC3972" w:rsidP="00FC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78E6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FC3972" w:rsidRPr="00B41308" w14:paraId="19F21963" w14:textId="77777777" w:rsidTr="005F19A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070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BE8A2" w14:textId="59E36643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85090" w14:textId="125F713D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7899E" w14:textId="649FB8C3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73C0E" w14:textId="6E0453BD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7ADC5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FC3972" w:rsidRPr="00B41308" w14:paraId="397E1724" w14:textId="77777777" w:rsidTr="005F19A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4FE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05FCB" w14:textId="1726FFCF" w:rsidR="00FC3972" w:rsidRPr="00B41308" w:rsidRDefault="00221FC8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-73 026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7E1C3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CC8B7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CC3E9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49AA9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C3972" w:rsidRPr="00B41308" w14:paraId="0C4F4DA3" w14:textId="77777777" w:rsidTr="005F19A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A070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9B2CC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CE1E0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216D5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2B5A8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FC46C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C3972" w:rsidRPr="00B41308" w14:paraId="315154F9" w14:textId="77777777" w:rsidTr="005F19A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6FE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8F1A1" w14:textId="03D704EA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A81C9" w14:textId="348AEFAB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1BCC2" w14:textId="520C322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335EB" w14:textId="7128B140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8513C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C3972" w:rsidRPr="00B41308" w14:paraId="51A25D03" w14:textId="77777777" w:rsidTr="005F19A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6B2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F404" w14:textId="7C24E21B" w:rsidR="00FC3972" w:rsidRPr="00B41308" w:rsidRDefault="00221FC8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-73 026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836FC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25336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F2D82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1CDD5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C3972" w:rsidRPr="00B41308" w14:paraId="339D2F65" w14:textId="77777777" w:rsidTr="005F19A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6DC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ABFE8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0F607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B6713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1965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11B33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C3972" w:rsidRPr="00B41308" w14:paraId="153956F4" w14:textId="77777777" w:rsidTr="005F19A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148D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41308">
              <w:rPr>
                <w:color w:val="000000" w:themeColor="text1"/>
              </w:rPr>
              <w:t xml:space="preserve"> </w:t>
            </w: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13D6A" w14:textId="3D887CE5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DDD54" w14:textId="106540D1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C6D7" w14:textId="66040AA5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91273" w14:textId="177B9C75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5B8A4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FC3972" w:rsidRPr="00B41308" w14:paraId="3F815456" w14:textId="77777777" w:rsidTr="005F19A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D48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DD74C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97E23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8E48C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4B4EA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D37C4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C3972" w:rsidRPr="00B41308" w14:paraId="0CA6797A" w14:textId="77777777" w:rsidTr="005F19A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4414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98F21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4B2FD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3711F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78A9B" w14:textId="77777777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D15B3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C3972" w:rsidRPr="00B41308" w14:paraId="5356D3E3" w14:textId="77777777" w:rsidTr="005F19A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420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E326B" w14:textId="0BCF8FD4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0F0D7" w14:textId="48148D46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423E5" w14:textId="5EF14D2C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20673" w14:textId="781774E8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E1FCC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FC3972" w:rsidRPr="00B41308" w14:paraId="61BC674C" w14:textId="77777777" w:rsidTr="005F19A6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B9231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F43CC3" w14:textId="3866B6CE" w:rsidR="00FC3972" w:rsidRPr="00B41308" w:rsidRDefault="005F19A6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FC3972"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73 026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BF250" w14:textId="0A0F33F8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1BA8FF" w14:textId="0E594A14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F38D8" w14:textId="28C41D2E" w:rsidR="00FC3972" w:rsidRPr="00B41308" w:rsidRDefault="00FC3972" w:rsidP="00FC3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CA49A33" w14:textId="77777777" w:rsidR="00FC3972" w:rsidRPr="00B41308" w:rsidRDefault="00FC3972" w:rsidP="00FC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13D3C779" w14:textId="77777777" w:rsidR="00FC3972" w:rsidRPr="00B41308" w:rsidRDefault="00FC3972" w:rsidP="00FC397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podpo</w:t>
      </w: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3E981FE9" w14:textId="77777777" w:rsidR="00FC3972" w:rsidRPr="00B41308" w:rsidRDefault="00FC3972" w:rsidP="00FC397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D0CF4E6" w14:textId="77777777" w:rsidR="00FC3972" w:rsidRPr="00B41308" w:rsidRDefault="00FC3972" w:rsidP="00FC397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251C11CB" w14:textId="77777777" w:rsidR="00FC3972" w:rsidRPr="00B41308" w:rsidRDefault="00FC3972" w:rsidP="00FC397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1CE72142" w14:textId="3BB96DDA" w:rsidR="00FC3972" w:rsidRPr="00B41308" w:rsidRDefault="00FC3972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69F394F9" w14:textId="77777777" w:rsidR="007D5748" w:rsidRPr="00B41308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0A716E8" w14:textId="77777777" w:rsidR="007D5748" w:rsidRPr="00B4130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526A52F" w14:textId="77777777" w:rsidR="007D5748" w:rsidRPr="00B4130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14:paraId="169BF34A" w14:textId="77777777" w:rsidR="007D5748" w:rsidRPr="00B41308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B41308" w14:paraId="112BC142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D110FB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8568BE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1008BA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B41308" w14:paraId="5BDCC635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A1B3DA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7D98DA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5D90D4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9E03E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6C9273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B1D38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B41308" w14:paraId="53385443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96D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84332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6C4E2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BE547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779BC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5E9D5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32F9FBA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7DE9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C18E0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34348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90F60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FB734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44439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B41308" w14:paraId="2706326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674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99080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96442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7DEB6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7E8CC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ABD8A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663BBE5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FAC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9B14D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3AC51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74FE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31EBF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F6393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2109714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0100F2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8E1463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B0F6F3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EB213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026F06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06A1738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5160657F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6AE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C0E0D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3F573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BF666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874AE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117F2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3AE10B0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705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88B83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CDB43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4556F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E50B9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BBB65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472B3BB3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BD6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17C9A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61450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F7FD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75DDA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87633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78530075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C34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7205A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0E109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5BC8E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F8CD1" w14:textId="77777777" w:rsidR="007D5748" w:rsidRPr="00B4130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A2A3C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41308" w14:paraId="5664246D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57F58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309BE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098F66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EF992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934C0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97401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B41308" w14:paraId="29CE88A5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5AD6502C" w14:textId="77777777" w:rsidR="007D5748" w:rsidRPr="00B41308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B4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E9B5F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B813A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94F56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551BD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8D7BAE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B41308" w14:paraId="6E36CB7B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735CF1E3" w14:textId="77777777" w:rsidR="007D5748" w:rsidRPr="00B4130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4FB88A66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24B7C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B41308" w14:paraId="274EDF25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91C34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2BCDBC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806CC8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9F312" w14:textId="77777777" w:rsidR="007D5748" w:rsidRPr="00B4130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7D34D9C" w14:textId="77777777" w:rsidR="007D5748" w:rsidRPr="00B413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05511DF" w14:textId="77777777" w:rsidR="002B63FD" w:rsidRPr="00B41308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9B5453" w14:textId="77777777" w:rsidR="002B63FD" w:rsidRPr="00B41308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3FEFCD3" w14:textId="77777777" w:rsidR="002B63FD" w:rsidRPr="00B41308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835EA1E" w14:textId="77777777" w:rsidR="002B63FD" w:rsidRPr="00B41308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76354F8" w14:textId="77777777" w:rsidR="002B63FD" w:rsidRPr="00B41308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8BF804B" w14:textId="77777777" w:rsidR="002B63FD" w:rsidRPr="00B41308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5A97AB0" w14:textId="77777777" w:rsidR="002B63FD" w:rsidRPr="00B41308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D489AD" w14:textId="77777777" w:rsidR="002B63FD" w:rsidRPr="00B41308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1B2A696" w14:textId="77777777" w:rsidR="002B63FD" w:rsidRPr="00B41308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DADA22F" w14:textId="77777777" w:rsidR="002B63FD" w:rsidRPr="00B41308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933A8CE" w14:textId="77777777" w:rsidR="002B63FD" w:rsidRPr="00B41308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14:paraId="4DDFEED5" w14:textId="77777777" w:rsidR="002B63FD" w:rsidRPr="00B41308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22DA2EEF" w14:textId="77777777" w:rsidR="002B63FD" w:rsidRPr="00B41308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73A3A" w14:textId="77777777" w:rsidR="002B63FD" w:rsidRPr="00B41308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72918DC5" w14:textId="77777777" w:rsidR="002B63FD" w:rsidRPr="00B41308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F8C270" w14:textId="77777777" w:rsidR="002B63FD" w:rsidRPr="00B41308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64836E6" w14:textId="77777777" w:rsidR="00943733" w:rsidRPr="00B41308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130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B41308" w14:paraId="3E38EBBF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7B6F0B30" w14:textId="77777777" w:rsidR="002B63FD" w:rsidRPr="00B41308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6E0D3762" w14:textId="77777777" w:rsidR="002B63FD" w:rsidRPr="00B41308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0C1289B0" w14:textId="77777777" w:rsidR="002B63FD" w:rsidRPr="00B41308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B41308" w14:paraId="26DDE6EE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28B8CAD1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544971E4" w14:textId="77777777" w:rsidR="002B63FD" w:rsidRPr="00B41308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0A319FD" w14:textId="77777777" w:rsidR="002B63FD" w:rsidRPr="00B41308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C28B070" w14:textId="77777777" w:rsidR="002B63FD" w:rsidRPr="00B41308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0059500" w14:textId="77777777" w:rsidR="002B63FD" w:rsidRPr="00B41308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131F272" w14:textId="77777777" w:rsidR="002B63FD" w:rsidRPr="00B41308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542EEA43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B41308" w14:paraId="28BAA189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29F10317" w14:textId="77777777" w:rsidR="002B63FD" w:rsidRPr="00B41308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1E105FE6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53BCC86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22225F2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31672BB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4F3C4427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560F6C4D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B41308" w14:paraId="602FD57A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1AD3DD43" w14:textId="77777777" w:rsidR="002B63FD" w:rsidRPr="00B41308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4CDC1AAC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2F80F54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170D0FF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100EAB6B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1DD2E730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3EFBE292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B41308" w14:paraId="4BDDAC4F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261D8C61" w14:textId="77777777" w:rsidR="002B63FD" w:rsidRPr="00B41308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569F1DA9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141AD9E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FAE5C57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1F195C8F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B00A375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528B7A3F" w14:textId="77777777" w:rsidR="002B63FD" w:rsidRPr="00B41308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2284258" w14:textId="77777777" w:rsidR="002B63FD" w:rsidRPr="00B41308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85F62C" w14:textId="77777777" w:rsidR="002B63FD" w:rsidRPr="00B41308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B41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0741C56A" w14:textId="77777777" w:rsidR="002B63FD" w:rsidRPr="00B41308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6C2101BD" w14:textId="04E3C24D" w:rsidR="002B63FD" w:rsidRPr="002A43EB" w:rsidRDefault="002B63FD" w:rsidP="002A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2A43E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zavedenia všetkých opatrení súčas</w:t>
      </w:r>
      <w:r w:rsidR="009A391A" w:rsidRPr="00B41308">
        <w:rPr>
          <w:rFonts w:ascii="Times New Roman" w:eastAsia="Times New Roman" w:hAnsi="Times New Roman" w:cs="Times New Roman"/>
          <w:sz w:val="24"/>
          <w:szCs w:val="24"/>
          <w:lang w:eastAsia="sk-SK"/>
        </w:rPr>
        <w:t>ne.</w:t>
      </w:r>
    </w:p>
    <w:p w14:paraId="0A7E4CD5" w14:textId="77777777" w:rsidR="00CB3623" w:rsidRPr="00A738C0" w:rsidRDefault="00CB3623" w:rsidP="002A43EB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D9C3" w14:textId="77777777" w:rsidR="009D6795" w:rsidRDefault="009D6795">
      <w:pPr>
        <w:spacing w:after="0" w:line="240" w:lineRule="auto"/>
      </w:pPr>
      <w:r>
        <w:separator/>
      </w:r>
    </w:p>
  </w:endnote>
  <w:endnote w:type="continuationSeparator" w:id="0">
    <w:p w14:paraId="0ABD4C79" w14:textId="77777777" w:rsidR="009D6795" w:rsidRDefault="009D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3E14" w14:textId="77777777" w:rsidR="006D5A95" w:rsidRDefault="006D5A9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7D0C35AA" w14:textId="77777777" w:rsidR="006D5A95" w:rsidRDefault="006D5A9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6A9C" w14:textId="11FF6FCA" w:rsidR="006D5A95" w:rsidRDefault="006D5A9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833B1">
      <w:rPr>
        <w:noProof/>
      </w:rPr>
      <w:t>2</w:t>
    </w:r>
    <w:r>
      <w:fldChar w:fldCharType="end"/>
    </w:r>
  </w:p>
  <w:p w14:paraId="7922CEDD" w14:textId="77777777" w:rsidR="006D5A95" w:rsidRDefault="006D5A95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71F1" w14:textId="77777777" w:rsidR="006D5A95" w:rsidRDefault="006D5A9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36290691" w14:textId="77777777" w:rsidR="006D5A95" w:rsidRDefault="006D5A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A902" w14:textId="77777777" w:rsidR="009D6795" w:rsidRDefault="009D6795">
      <w:pPr>
        <w:spacing w:after="0" w:line="240" w:lineRule="auto"/>
      </w:pPr>
      <w:r>
        <w:separator/>
      </w:r>
    </w:p>
  </w:footnote>
  <w:footnote w:type="continuationSeparator" w:id="0">
    <w:p w14:paraId="250337E5" w14:textId="77777777" w:rsidR="009D6795" w:rsidRDefault="009D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F35D" w14:textId="77777777" w:rsidR="006D5A95" w:rsidRDefault="006D5A95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44492036" w14:textId="77777777" w:rsidR="006D5A95" w:rsidRPr="00EB59C8" w:rsidRDefault="006D5A95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C3C3" w14:textId="59D907BF" w:rsidR="006D5A95" w:rsidRPr="0024067A" w:rsidRDefault="006D5A95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9E04" w14:textId="77777777" w:rsidR="006D5A95" w:rsidRPr="000A15AE" w:rsidRDefault="006D5A95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9F9"/>
    <w:multiLevelType w:val="hybridMultilevel"/>
    <w:tmpl w:val="0EF87B0E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D3612"/>
    <w:multiLevelType w:val="hybridMultilevel"/>
    <w:tmpl w:val="EAFA0BF6"/>
    <w:lvl w:ilvl="0" w:tplc="59CC4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36EA0"/>
    <w:multiLevelType w:val="hybridMultilevel"/>
    <w:tmpl w:val="D598B30E"/>
    <w:lvl w:ilvl="0" w:tplc="E1EA5980">
      <w:start w:val="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07948"/>
    <w:multiLevelType w:val="hybridMultilevel"/>
    <w:tmpl w:val="758CF552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1256B"/>
    <w:rsid w:val="00021DFF"/>
    <w:rsid w:val="00024E31"/>
    <w:rsid w:val="00035EB6"/>
    <w:rsid w:val="00057135"/>
    <w:rsid w:val="00061F8F"/>
    <w:rsid w:val="00087A66"/>
    <w:rsid w:val="000B509B"/>
    <w:rsid w:val="000C1832"/>
    <w:rsid w:val="000C3459"/>
    <w:rsid w:val="000E605A"/>
    <w:rsid w:val="000F00DA"/>
    <w:rsid w:val="000F1B43"/>
    <w:rsid w:val="000F3EE6"/>
    <w:rsid w:val="001049F8"/>
    <w:rsid w:val="001127A8"/>
    <w:rsid w:val="00116F99"/>
    <w:rsid w:val="0013259B"/>
    <w:rsid w:val="0016787F"/>
    <w:rsid w:val="001702B8"/>
    <w:rsid w:val="00170D2B"/>
    <w:rsid w:val="001715ED"/>
    <w:rsid w:val="00173BFB"/>
    <w:rsid w:val="00176A54"/>
    <w:rsid w:val="00177814"/>
    <w:rsid w:val="00191CC5"/>
    <w:rsid w:val="001928FC"/>
    <w:rsid w:val="001A2764"/>
    <w:rsid w:val="001B6623"/>
    <w:rsid w:val="001C721D"/>
    <w:rsid w:val="001C7928"/>
    <w:rsid w:val="001E6976"/>
    <w:rsid w:val="001F5D86"/>
    <w:rsid w:val="001F624A"/>
    <w:rsid w:val="00200898"/>
    <w:rsid w:val="00212894"/>
    <w:rsid w:val="002135D4"/>
    <w:rsid w:val="0021470D"/>
    <w:rsid w:val="002177DB"/>
    <w:rsid w:val="00221FC8"/>
    <w:rsid w:val="002309F4"/>
    <w:rsid w:val="00265BF5"/>
    <w:rsid w:val="00281079"/>
    <w:rsid w:val="0028673E"/>
    <w:rsid w:val="00291B3E"/>
    <w:rsid w:val="002A43EB"/>
    <w:rsid w:val="002B5AD4"/>
    <w:rsid w:val="002B63FD"/>
    <w:rsid w:val="002C7923"/>
    <w:rsid w:val="002E2314"/>
    <w:rsid w:val="002F090A"/>
    <w:rsid w:val="003132F1"/>
    <w:rsid w:val="00316CE8"/>
    <w:rsid w:val="00317B90"/>
    <w:rsid w:val="003408F5"/>
    <w:rsid w:val="00347DF7"/>
    <w:rsid w:val="00380937"/>
    <w:rsid w:val="003B1F7C"/>
    <w:rsid w:val="003B7684"/>
    <w:rsid w:val="003C5D33"/>
    <w:rsid w:val="003D23DD"/>
    <w:rsid w:val="003F183A"/>
    <w:rsid w:val="003F35B7"/>
    <w:rsid w:val="003F3CAF"/>
    <w:rsid w:val="0041734D"/>
    <w:rsid w:val="0042480F"/>
    <w:rsid w:val="00426709"/>
    <w:rsid w:val="00440A16"/>
    <w:rsid w:val="00444BAA"/>
    <w:rsid w:val="00446310"/>
    <w:rsid w:val="00447C49"/>
    <w:rsid w:val="00453808"/>
    <w:rsid w:val="00453A47"/>
    <w:rsid w:val="004734C3"/>
    <w:rsid w:val="00474F11"/>
    <w:rsid w:val="00487203"/>
    <w:rsid w:val="00494FFD"/>
    <w:rsid w:val="0049631C"/>
    <w:rsid w:val="004A4209"/>
    <w:rsid w:val="004B10DA"/>
    <w:rsid w:val="004C189D"/>
    <w:rsid w:val="004C7709"/>
    <w:rsid w:val="004D169C"/>
    <w:rsid w:val="004E0A8F"/>
    <w:rsid w:val="004E25C7"/>
    <w:rsid w:val="004E5E76"/>
    <w:rsid w:val="004F3926"/>
    <w:rsid w:val="004F4802"/>
    <w:rsid w:val="004F589D"/>
    <w:rsid w:val="005005EC"/>
    <w:rsid w:val="00504E3C"/>
    <w:rsid w:val="00522167"/>
    <w:rsid w:val="005307FC"/>
    <w:rsid w:val="00553992"/>
    <w:rsid w:val="005707C0"/>
    <w:rsid w:val="00592E96"/>
    <w:rsid w:val="005A6812"/>
    <w:rsid w:val="005B051A"/>
    <w:rsid w:val="005C1A2B"/>
    <w:rsid w:val="005D20BD"/>
    <w:rsid w:val="005E2406"/>
    <w:rsid w:val="005E3699"/>
    <w:rsid w:val="005F19A6"/>
    <w:rsid w:val="005F2ACA"/>
    <w:rsid w:val="005F2DBD"/>
    <w:rsid w:val="006065F4"/>
    <w:rsid w:val="006233D0"/>
    <w:rsid w:val="00663F07"/>
    <w:rsid w:val="00685790"/>
    <w:rsid w:val="00692CDB"/>
    <w:rsid w:val="006A2947"/>
    <w:rsid w:val="006B523F"/>
    <w:rsid w:val="006D5A95"/>
    <w:rsid w:val="006F7845"/>
    <w:rsid w:val="007246BD"/>
    <w:rsid w:val="00725A9B"/>
    <w:rsid w:val="00727689"/>
    <w:rsid w:val="0075611A"/>
    <w:rsid w:val="0076232E"/>
    <w:rsid w:val="0077530D"/>
    <w:rsid w:val="00782B91"/>
    <w:rsid w:val="00785085"/>
    <w:rsid w:val="007A724E"/>
    <w:rsid w:val="007B7470"/>
    <w:rsid w:val="007D2E2E"/>
    <w:rsid w:val="007D5748"/>
    <w:rsid w:val="007F695D"/>
    <w:rsid w:val="0081033D"/>
    <w:rsid w:val="008205B7"/>
    <w:rsid w:val="00822F99"/>
    <w:rsid w:val="00832AB3"/>
    <w:rsid w:val="00832D80"/>
    <w:rsid w:val="00844953"/>
    <w:rsid w:val="0085264E"/>
    <w:rsid w:val="008561E2"/>
    <w:rsid w:val="00872E83"/>
    <w:rsid w:val="00893B20"/>
    <w:rsid w:val="00893B76"/>
    <w:rsid w:val="00893C5C"/>
    <w:rsid w:val="008964FE"/>
    <w:rsid w:val="00897BE7"/>
    <w:rsid w:val="008A4227"/>
    <w:rsid w:val="008A5F66"/>
    <w:rsid w:val="008C794D"/>
    <w:rsid w:val="008D339D"/>
    <w:rsid w:val="008E2736"/>
    <w:rsid w:val="008E4AEB"/>
    <w:rsid w:val="008F0EDA"/>
    <w:rsid w:val="00905FA4"/>
    <w:rsid w:val="00930F49"/>
    <w:rsid w:val="0093236D"/>
    <w:rsid w:val="00943733"/>
    <w:rsid w:val="00945A2A"/>
    <w:rsid w:val="00951A2D"/>
    <w:rsid w:val="009706B7"/>
    <w:rsid w:val="00974349"/>
    <w:rsid w:val="0098196B"/>
    <w:rsid w:val="009833B1"/>
    <w:rsid w:val="009A3088"/>
    <w:rsid w:val="009A391A"/>
    <w:rsid w:val="009B0CE9"/>
    <w:rsid w:val="009D6795"/>
    <w:rsid w:val="009E595C"/>
    <w:rsid w:val="00A41130"/>
    <w:rsid w:val="00A4586C"/>
    <w:rsid w:val="00A65D26"/>
    <w:rsid w:val="00A72E75"/>
    <w:rsid w:val="00A738C0"/>
    <w:rsid w:val="00A8120E"/>
    <w:rsid w:val="00A82EFF"/>
    <w:rsid w:val="00A91D93"/>
    <w:rsid w:val="00AA2E16"/>
    <w:rsid w:val="00AB0848"/>
    <w:rsid w:val="00AB5919"/>
    <w:rsid w:val="00AB68B3"/>
    <w:rsid w:val="00AE305C"/>
    <w:rsid w:val="00AF1E6C"/>
    <w:rsid w:val="00B0150A"/>
    <w:rsid w:val="00B075D8"/>
    <w:rsid w:val="00B15B33"/>
    <w:rsid w:val="00B35FA7"/>
    <w:rsid w:val="00B41308"/>
    <w:rsid w:val="00B5535C"/>
    <w:rsid w:val="00B60670"/>
    <w:rsid w:val="00B77500"/>
    <w:rsid w:val="00B801BA"/>
    <w:rsid w:val="00B92F23"/>
    <w:rsid w:val="00BB3104"/>
    <w:rsid w:val="00BC5EA3"/>
    <w:rsid w:val="00BD3D67"/>
    <w:rsid w:val="00C01B8B"/>
    <w:rsid w:val="00C15212"/>
    <w:rsid w:val="00C15D88"/>
    <w:rsid w:val="00C16C1B"/>
    <w:rsid w:val="00C455E9"/>
    <w:rsid w:val="00C47383"/>
    <w:rsid w:val="00C51FD4"/>
    <w:rsid w:val="00C553A7"/>
    <w:rsid w:val="00C60B32"/>
    <w:rsid w:val="00C611AD"/>
    <w:rsid w:val="00C64BDB"/>
    <w:rsid w:val="00C653D7"/>
    <w:rsid w:val="00C768FA"/>
    <w:rsid w:val="00C77DF3"/>
    <w:rsid w:val="00C8174F"/>
    <w:rsid w:val="00C90475"/>
    <w:rsid w:val="00CA18F2"/>
    <w:rsid w:val="00CB04E9"/>
    <w:rsid w:val="00CB3623"/>
    <w:rsid w:val="00CB3A47"/>
    <w:rsid w:val="00CC0E46"/>
    <w:rsid w:val="00CC1FDA"/>
    <w:rsid w:val="00CE299A"/>
    <w:rsid w:val="00CE359E"/>
    <w:rsid w:val="00CF2C35"/>
    <w:rsid w:val="00D13EF9"/>
    <w:rsid w:val="00D200BE"/>
    <w:rsid w:val="00D3228B"/>
    <w:rsid w:val="00D6105B"/>
    <w:rsid w:val="00D638F5"/>
    <w:rsid w:val="00D70F30"/>
    <w:rsid w:val="00D71DCB"/>
    <w:rsid w:val="00D7236A"/>
    <w:rsid w:val="00D85029"/>
    <w:rsid w:val="00D90560"/>
    <w:rsid w:val="00D9171A"/>
    <w:rsid w:val="00D922E5"/>
    <w:rsid w:val="00DB06CA"/>
    <w:rsid w:val="00DB3706"/>
    <w:rsid w:val="00DE04C5"/>
    <w:rsid w:val="00DE5BF1"/>
    <w:rsid w:val="00E07CE9"/>
    <w:rsid w:val="00E45816"/>
    <w:rsid w:val="00E4770B"/>
    <w:rsid w:val="00E50A92"/>
    <w:rsid w:val="00E5520A"/>
    <w:rsid w:val="00E963A3"/>
    <w:rsid w:val="00EA1E90"/>
    <w:rsid w:val="00EB2658"/>
    <w:rsid w:val="00EC0AB8"/>
    <w:rsid w:val="00EC126F"/>
    <w:rsid w:val="00ED2B29"/>
    <w:rsid w:val="00EE0CA3"/>
    <w:rsid w:val="00EE268D"/>
    <w:rsid w:val="00EE28EB"/>
    <w:rsid w:val="00F03306"/>
    <w:rsid w:val="00F15EEB"/>
    <w:rsid w:val="00F20736"/>
    <w:rsid w:val="00F20986"/>
    <w:rsid w:val="00F21346"/>
    <w:rsid w:val="00F2530E"/>
    <w:rsid w:val="00F348E6"/>
    <w:rsid w:val="00F40136"/>
    <w:rsid w:val="00F66F08"/>
    <w:rsid w:val="00F73509"/>
    <w:rsid w:val="00F82DD8"/>
    <w:rsid w:val="00FB4A4A"/>
    <w:rsid w:val="00FC3972"/>
    <w:rsid w:val="00FE2CFE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B44A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92CDB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4113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347DF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F1E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1E6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1E6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1E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1E6C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13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dprop.gov.sk/o-urade/materialy-suvisiace-s-cinnostou-uradu/vyrocne-spravy-a-v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indprop.gov.sk/o-urade/materialy-suvisiace-s-cinnostou-uradu/vyrocne-spravy-a-v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ipo.int/web/da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dprop.gov.sk/o-urade/materialy-suvisiace-s-cinnostou-uradu/vyrocne-spravy-a-v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9DA06-AC80-4119-A0BB-C3B1ADD584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JUDr. Júlia Rusková</cp:lastModifiedBy>
  <cp:revision>6</cp:revision>
  <cp:lastPrinted>2024-12-03T11:35:00Z</cp:lastPrinted>
  <dcterms:created xsi:type="dcterms:W3CDTF">2024-12-03T14:13:00Z</dcterms:created>
  <dcterms:modified xsi:type="dcterms:W3CDTF">2024-12-04T13:54:00Z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