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D18E" w14:textId="50758082" w:rsidR="00010D3E" w:rsidRPr="007950D9" w:rsidRDefault="006E0C7D" w:rsidP="004A3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D9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14:paraId="46CFCB1A" w14:textId="29B469BA" w:rsidR="00D25C58" w:rsidRPr="007950D9" w:rsidRDefault="00D25C58" w:rsidP="004A3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8DE1D" w14:textId="77777777" w:rsidR="004B27E3" w:rsidRPr="007950D9" w:rsidRDefault="004B27E3" w:rsidP="004A3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58D76" w14:textId="284DE726" w:rsidR="006E0C7D" w:rsidRPr="007950D9" w:rsidRDefault="006E0C7D" w:rsidP="004A3C5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0D9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14:paraId="4FA958E6" w14:textId="77777777" w:rsidR="006867E2" w:rsidRPr="007950D9" w:rsidRDefault="006867E2" w:rsidP="006867E2">
      <w:pPr>
        <w:pStyle w:val="Odsekzoznamu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A6972" w14:textId="6C5BE0B3" w:rsidR="006E0C7D" w:rsidRPr="007950D9" w:rsidRDefault="006A1D0D" w:rsidP="004A3C5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6E0C7D" w:rsidRPr="007950D9">
        <w:rPr>
          <w:rFonts w:ascii="Times New Roman" w:hAnsi="Times New Roman" w:cs="Times New Roman"/>
          <w:sz w:val="24"/>
          <w:szCs w:val="24"/>
        </w:rPr>
        <w:t xml:space="preserve">ávrh zákona, ktorým sa mení a dopĺňa zákon </w:t>
      </w:r>
      <w:r w:rsidR="006E0C7D" w:rsidRPr="007950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E0C7D" w:rsidRPr="007950D9">
        <w:rPr>
          <w:rFonts w:ascii="Times New Roman" w:eastAsia="Calibri" w:hAnsi="Times New Roman" w:cs="Times New Roman"/>
          <w:sz w:val="24"/>
          <w:szCs w:val="24"/>
        </w:rPr>
        <w:t>435/2001 Z. z. o patentoch, dodatkových ochranných osvedčeniach a o zmene a doplnení niektorých zákonov (patentový zákon) v znení neskorších predpisov a</w:t>
      </w:r>
      <w:r w:rsidR="00B25803" w:rsidRPr="007950D9">
        <w:rPr>
          <w:rFonts w:ascii="Times New Roman" w:eastAsia="Calibri" w:hAnsi="Times New Roman" w:cs="Times New Roman"/>
          <w:sz w:val="24"/>
          <w:szCs w:val="24"/>
        </w:rPr>
        <w:t> ktorým sa menia a dopĺňajú</w:t>
      </w:r>
      <w:r w:rsidR="006E0C7D" w:rsidRPr="007950D9">
        <w:rPr>
          <w:rFonts w:ascii="Times New Roman" w:eastAsia="Calibri" w:hAnsi="Times New Roman" w:cs="Times New Roman"/>
          <w:sz w:val="24"/>
          <w:szCs w:val="24"/>
        </w:rPr>
        <w:t xml:space="preserve"> niektor</w:t>
      </w:r>
      <w:r w:rsidR="00B25803" w:rsidRPr="007950D9">
        <w:rPr>
          <w:rFonts w:ascii="Times New Roman" w:eastAsia="Calibri" w:hAnsi="Times New Roman" w:cs="Times New Roman"/>
          <w:sz w:val="24"/>
          <w:szCs w:val="24"/>
        </w:rPr>
        <w:t>é</w:t>
      </w:r>
      <w:r w:rsidR="006E0C7D" w:rsidRPr="007950D9">
        <w:rPr>
          <w:rFonts w:ascii="Times New Roman" w:eastAsia="Calibri" w:hAnsi="Times New Roman" w:cs="Times New Roman"/>
          <w:sz w:val="24"/>
          <w:szCs w:val="24"/>
        </w:rPr>
        <w:t xml:space="preserve"> zákon</w:t>
      </w:r>
      <w:r w:rsidR="00B25803" w:rsidRPr="007950D9">
        <w:rPr>
          <w:rFonts w:ascii="Times New Roman" w:eastAsia="Calibri" w:hAnsi="Times New Roman" w:cs="Times New Roman"/>
          <w:sz w:val="24"/>
          <w:szCs w:val="24"/>
        </w:rPr>
        <w:t>y</w:t>
      </w:r>
      <w:r w:rsidR="00194CE0" w:rsidRPr="007950D9">
        <w:rPr>
          <w:rFonts w:ascii="Times New Roman" w:eastAsia="Calibri" w:hAnsi="Times New Roman" w:cs="Times New Roman"/>
          <w:sz w:val="24"/>
          <w:szCs w:val="24"/>
        </w:rPr>
        <w:t>,</w:t>
      </w:r>
      <w:r w:rsidR="006E0C7D" w:rsidRPr="007950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predkladá </w:t>
      </w:r>
      <w:r w:rsidR="006E0C7D" w:rsidRPr="007950D9">
        <w:rPr>
          <w:rStyle w:val="Zstupntext"/>
          <w:color w:val="auto"/>
          <w:sz w:val="24"/>
          <w:szCs w:val="24"/>
        </w:rPr>
        <w:t xml:space="preserve">na základe Plánu legislatívnych úloh vlády Slovenskej republiky na rok 2024. </w:t>
      </w:r>
    </w:p>
    <w:p w14:paraId="5AACA857" w14:textId="2CC305D2" w:rsidR="006E0C7D" w:rsidRPr="007950D9" w:rsidRDefault="006E0C7D" w:rsidP="004A3C58">
      <w:pPr>
        <w:spacing w:after="0" w:line="240" w:lineRule="auto"/>
        <w:jc w:val="both"/>
        <w:rPr>
          <w:rStyle w:val="Zstupntext"/>
          <w:color w:val="auto"/>
          <w:sz w:val="24"/>
          <w:szCs w:val="24"/>
        </w:rPr>
      </w:pPr>
    </w:p>
    <w:p w14:paraId="50C31890" w14:textId="61372B1B" w:rsidR="006E0C7D" w:rsidRPr="007950D9" w:rsidRDefault="006E0C7D" w:rsidP="004A3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D9">
        <w:rPr>
          <w:rStyle w:val="Zstupntext"/>
          <w:color w:val="auto"/>
          <w:sz w:val="24"/>
          <w:szCs w:val="24"/>
        </w:rPr>
        <w:t>Návrhom bud</w:t>
      </w:r>
      <w:r w:rsidR="00B76745" w:rsidRPr="007950D9">
        <w:rPr>
          <w:rStyle w:val="Zstupntext"/>
          <w:color w:val="auto"/>
          <w:sz w:val="24"/>
          <w:szCs w:val="24"/>
        </w:rPr>
        <w:t>e novelizovaných päť</w:t>
      </w:r>
      <w:r w:rsidRPr="007950D9">
        <w:rPr>
          <w:rStyle w:val="Zstupntext"/>
          <w:color w:val="auto"/>
          <w:sz w:val="24"/>
          <w:szCs w:val="24"/>
        </w:rPr>
        <w:t xml:space="preserve"> zákon</w:t>
      </w:r>
      <w:r w:rsidR="00B76745" w:rsidRPr="007950D9">
        <w:rPr>
          <w:rStyle w:val="Zstupntext"/>
          <w:color w:val="auto"/>
          <w:sz w:val="24"/>
          <w:szCs w:val="24"/>
        </w:rPr>
        <w:t>ov v</w:t>
      </w:r>
      <w:r w:rsidRPr="007950D9">
        <w:rPr>
          <w:rStyle w:val="Zstupntext"/>
          <w:color w:val="auto"/>
          <w:sz w:val="24"/>
          <w:szCs w:val="24"/>
        </w:rPr>
        <w:t xml:space="preserve"> gescii ÚPV SR</w:t>
      </w:r>
    </w:p>
    <w:p w14:paraId="699344DD" w14:textId="77777777" w:rsidR="004A3C58" w:rsidRPr="007950D9" w:rsidRDefault="006E0C7D" w:rsidP="004A3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zákon č. 435/2001 Z. z. o patentoch, dodatkových ochranných osvedčeniach a o zmene a doplnení niektorých zákonov (patentový zákon) v znení neskorších predpisov</w:t>
      </w:r>
    </w:p>
    <w:p w14:paraId="49C783B7" w14:textId="77777777" w:rsidR="004A3C58" w:rsidRPr="007950D9" w:rsidRDefault="006E0C7D" w:rsidP="004A3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zákon č. 444/2002 Z. z. o dizajnoch v znení neskorších predpisov</w:t>
      </w:r>
    </w:p>
    <w:p w14:paraId="084B7F72" w14:textId="77777777" w:rsidR="004A3C58" w:rsidRPr="007950D9" w:rsidRDefault="006E0C7D" w:rsidP="004A3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zákon č. 517/2007 Z. z. o úžitkových vzoroch a o zmene a doplnení niektorých zákonov v znení neskorších predpisov</w:t>
      </w:r>
    </w:p>
    <w:p w14:paraId="1002B0A6" w14:textId="46C7DB7A" w:rsidR="004A3C58" w:rsidRPr="007950D9" w:rsidRDefault="006E0C7D" w:rsidP="004A3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zákon č. 495/2008 Z. z. </w:t>
      </w:r>
      <w:r w:rsidRPr="007950D9">
        <w:rPr>
          <w:rFonts w:ascii="Times New Roman" w:hAnsi="Times New Roman" w:cs="Times New Roman"/>
          <w:sz w:val="24"/>
          <w:szCs w:val="24"/>
        </w:rPr>
        <w:t>o poplatku za udržiavanie platnosti patentu, o poplatku za udržiavanie platnosti európskeho patentu s účinkami pre Slovenskú republiku a o poplatku za udržiavanie platnosti dodatkového ochranného osvedčenia na liečivá a výrobky na ochranu rastlín a o zmene a doplnení niektorých zákonov</w:t>
      </w:r>
      <w:r w:rsidR="005419F3" w:rsidRPr="007950D9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1541AC68" w14:textId="08649B8E" w:rsidR="004A3C58" w:rsidRPr="007950D9" w:rsidRDefault="006E0C7D" w:rsidP="004A3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zákon č. 506/2009 Z. z. o ochranných známkach v znení neskorších predpisov</w:t>
      </w:r>
    </w:p>
    <w:p w14:paraId="17704E5D" w14:textId="18F9ECC1" w:rsidR="006E0C7D" w:rsidRPr="007950D9" w:rsidRDefault="004A3C58" w:rsidP="004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a </w:t>
      </w:r>
      <w:r w:rsidR="006E0C7D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zákon NR SR č. 145/1995 Z. z. o správnych poplatkoch v znení neskorších predpisov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46FC5B5D" w14:textId="5A49E1EA" w:rsidR="004A3C58" w:rsidRPr="007950D9" w:rsidRDefault="004A3C58" w:rsidP="004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1FFE6064" w14:textId="292703FA" w:rsidR="00333ABB" w:rsidRPr="007950D9" w:rsidRDefault="004A3C58" w:rsidP="004A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Cieľom novelizácie zákonov v gescii ÚPV SR upravujúcich jednotlivé predmety priemyselno</w:t>
      </w:r>
      <w:r w:rsidR="004B27E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-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právnej ochrany</w:t>
      </w:r>
      <w:r w:rsidR="000D065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(novelizačné články I</w:t>
      </w:r>
      <w:r w:rsidR="0007277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="00B2580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I</w:t>
      </w:r>
      <w:r w:rsidR="0007277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II, I</w:t>
      </w:r>
      <w:r w:rsidR="00B2580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V</w:t>
      </w:r>
      <w:r w:rsidR="0007277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 V</w:t>
      </w:r>
      <w:r w:rsidR="00B2580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I</w:t>
      </w:r>
      <w:r w:rsidR="000D065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je zavedenie právnej úpravy náhrady trov konania, ktoré vznikajú účastníkom sporových konaní pred ÚPV SR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; </w:t>
      </w:r>
      <w:r w:rsidR="00FE56F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tento cieľ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E56F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vychádza 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aj </w:t>
      </w:r>
      <w:r w:rsidR="00FE56F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 Národnej stratégi</w:t>
      </w:r>
      <w:r w:rsidR="00FE56F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e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duševného vlastníctva schválenej uznesením vlády Slovenskej republiky č. 295 </w:t>
      </w:r>
      <w:r w:rsidR="00FE56F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dňa</w:t>
      </w:r>
      <w:r w:rsidR="00B76745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 21. júna 2023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r w:rsidRPr="007950D9">
        <w:rPr>
          <w:rFonts w:ascii="Times New Roman" w:hAnsi="Times New Roman" w:cs="Times New Roman"/>
          <w:sz w:val="24"/>
          <w:szCs w:val="24"/>
        </w:rPr>
        <w:t xml:space="preserve"> </w:t>
      </w:r>
      <w:r w:rsidRPr="007950D9">
        <w:rPr>
          <w:rFonts w:ascii="Times New Roman" w:hAnsi="Times New Roman" w:cs="Times New Roman"/>
          <w:color w:val="000000"/>
          <w:sz w:val="24"/>
          <w:szCs w:val="24"/>
        </w:rPr>
        <w:t xml:space="preserve">Sekundárnym cieľom </w:t>
      </w:r>
      <w:r w:rsidR="00FE56F3" w:rsidRPr="007950D9">
        <w:rPr>
          <w:rFonts w:ascii="Times New Roman" w:hAnsi="Times New Roman" w:cs="Times New Roman"/>
          <w:color w:val="000000"/>
          <w:sz w:val="24"/>
          <w:szCs w:val="24"/>
        </w:rPr>
        <w:t>novelizácie</w:t>
      </w:r>
      <w:r w:rsidRPr="007950D9">
        <w:rPr>
          <w:rFonts w:ascii="Times New Roman" w:hAnsi="Times New Roman" w:cs="Times New Roman"/>
          <w:color w:val="000000"/>
          <w:sz w:val="24"/>
          <w:szCs w:val="24"/>
        </w:rPr>
        <w:t xml:space="preserve"> sú 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zmeny právnej úpravy, ktorých potreba vyplynula z poznatkov získaných z aplikačnej praxe</w:t>
      </w:r>
      <w:r w:rsidR="006C419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ako aj implementácia </w:t>
      </w:r>
      <w:r w:rsidR="00333ABB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spoločných postupov, ktoré vznikli</w:t>
      </w:r>
      <w:r w:rsidR="00333ABB" w:rsidRPr="007950D9">
        <w:rPr>
          <w:rFonts w:ascii="Times New Roman" w:hAnsi="Times New Roman" w:cs="Times New Roman"/>
          <w:sz w:val="24"/>
          <w:szCs w:val="24"/>
        </w:rPr>
        <w:t xml:space="preserve"> v rámci </w:t>
      </w:r>
      <w:hyperlink r:id="rId8" w:history="1">
        <w:r w:rsidR="00333ABB" w:rsidRPr="007950D9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projektu konvergencie postupov </w:t>
        </w:r>
      </w:hyperlink>
      <w:r w:rsidR="00333ABB" w:rsidRPr="007950D9">
        <w:rPr>
          <w:rFonts w:ascii="Times New Roman" w:hAnsi="Times New Roman" w:cs="Times New Roman"/>
          <w:sz w:val="24"/>
          <w:szCs w:val="24"/>
        </w:rPr>
        <w:t>zmluvných štátov Európskej patentovej organizácie (ďalej len „zmluvný štát EPO“), medzi ktoré patrí aj Slovenská republika. Konkrétne ide</w:t>
      </w:r>
      <w:r w:rsidR="00BD71C3" w:rsidRPr="007950D9">
        <w:rPr>
          <w:rFonts w:ascii="Times New Roman" w:hAnsi="Times New Roman" w:cs="Times New Roman"/>
          <w:sz w:val="24"/>
          <w:szCs w:val="24"/>
        </w:rPr>
        <w:t xml:space="preserve"> o</w:t>
      </w:r>
      <w:r w:rsidR="00333ABB" w:rsidRPr="007950D9">
        <w:rPr>
          <w:rFonts w:ascii="Times New Roman" w:hAnsi="Times New Roman" w:cs="Times New Roman"/>
          <w:sz w:val="24"/>
          <w:szCs w:val="24"/>
        </w:rPr>
        <w:t xml:space="preserve"> Spoločný postup týkajúci sa priznania práva prednosti a Spoločný postup týkajúci sa vydávania a akceptovania elektronických dokladov o práve prednosti.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333ABB" w:rsidRPr="007950D9">
        <w:rPr>
          <w:rFonts w:ascii="Times New Roman" w:hAnsi="Times New Roman" w:cs="Times New Roman"/>
          <w:sz w:val="24"/>
          <w:szCs w:val="24"/>
        </w:rPr>
        <w:t>Implementácia spoločných postupov síce nie je pre zmluvné štáty EPO povinná, avšak tieto predstavujú tzv. dobrú prax a sú vysokou pridanou hodnotou pre používateľov patentového systému v Európe a sú implementované takmer vo všetkých zmluvných štátoch EPO</w:t>
      </w:r>
      <w:r w:rsidR="00333ABB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14:paraId="0FA7DC10" w14:textId="35B21686" w:rsidR="004A3C58" w:rsidRPr="007950D9" w:rsidRDefault="004A3C58" w:rsidP="004A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0C16DBD0" w14:textId="4E58C70C" w:rsidR="004A3C58" w:rsidRPr="007950D9" w:rsidRDefault="004A3C58" w:rsidP="004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Novelizáciou zákona č. 495/2008 Z. z. </w:t>
      </w:r>
      <w:r w:rsidRPr="007950D9">
        <w:rPr>
          <w:rFonts w:ascii="Times New Roman" w:hAnsi="Times New Roman" w:cs="Times New Roman"/>
          <w:sz w:val="24"/>
          <w:szCs w:val="24"/>
        </w:rPr>
        <w:t>o poplatku za udržiavanie platnosti patentu, o poplatku za udržiavanie platnosti európskeho patentu s účinkami pre Slovenskú republiku a o poplatku za udržiavanie platnosti dodatkového ochranného osvedčenia na liečivá a výrobky na ochranu rastlín a o zmene a doplnení niektorých zákonov</w:t>
      </w:r>
      <w:r w:rsidR="000D0650" w:rsidRPr="007950D9">
        <w:rPr>
          <w:rFonts w:ascii="Times New Roman" w:hAnsi="Times New Roman" w:cs="Times New Roman"/>
          <w:sz w:val="24"/>
          <w:szCs w:val="24"/>
        </w:rPr>
        <w:t xml:space="preserve"> (novelizačný článok V)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 zákona NR SR č. 145/1995 Z. z. o správnych poplatkoch v znení neskorších predpisov </w:t>
      </w:r>
      <w:r w:rsidR="000D065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(novelizačný článok </w:t>
      </w:r>
      <w:r w:rsidR="00B25803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I</w:t>
      </w:r>
      <w:r w:rsidR="000D0650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I) 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sa pristúpi k revízii sadzieb</w:t>
      </w:r>
      <w:r w:rsidR="00D8734C"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udržiavacích poplatkov a k revízii sadzieb</w:t>
      </w: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správnych poplatkov zahrnutých v Sadzobníku správnych poplatkov v časti XVI. Priemyselné práva.</w:t>
      </w:r>
    </w:p>
    <w:p w14:paraId="2650863E" w14:textId="7A3AC3C0" w:rsidR="00A73F60" w:rsidRPr="007950D9" w:rsidRDefault="00A73F60" w:rsidP="004A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6934C7BF" w14:textId="7D1B3C9A" w:rsidR="00A73F60" w:rsidRPr="007950D9" w:rsidRDefault="00B76745" w:rsidP="00A73F60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  <w:r w:rsidRPr="007950D9">
        <w:rPr>
          <w:rFonts w:ascii="Times New Roman" w:hAnsi="Times New Roman"/>
          <w:sz w:val="24"/>
          <w:szCs w:val="24"/>
        </w:rPr>
        <w:t>Č</w:t>
      </w:r>
      <w:r w:rsidR="00A73F60" w:rsidRPr="007950D9">
        <w:rPr>
          <w:rFonts w:ascii="Times New Roman" w:hAnsi="Times New Roman"/>
          <w:sz w:val="24"/>
          <w:szCs w:val="24"/>
        </w:rPr>
        <w:t>asť XVI. Sadzobníka správnych poplatkov Priemyselné práva nebola dotknutá článkom IV. zákona č. 530/2023 Z. z., ktorým sa menia a dopĺňajú niektoré zákony v súvislosti so zlepšením stavu verejných financií</w:t>
      </w:r>
      <w:r w:rsidRPr="007950D9">
        <w:rPr>
          <w:rFonts w:ascii="Times New Roman" w:hAnsi="Times New Roman"/>
          <w:sz w:val="24"/>
          <w:szCs w:val="24"/>
        </w:rPr>
        <w:t>.</w:t>
      </w:r>
      <w:r w:rsidR="00A73F60" w:rsidRPr="007950D9">
        <w:rPr>
          <w:rFonts w:ascii="Times New Roman" w:hAnsi="Times New Roman"/>
          <w:sz w:val="24"/>
          <w:szCs w:val="24"/>
        </w:rPr>
        <w:t xml:space="preserve"> </w:t>
      </w:r>
      <w:r w:rsidRPr="007950D9">
        <w:rPr>
          <w:rFonts w:ascii="Times New Roman" w:hAnsi="Times New Roman"/>
          <w:sz w:val="24"/>
          <w:szCs w:val="24"/>
        </w:rPr>
        <w:t>Z</w:t>
      </w:r>
      <w:r w:rsidR="00A73F60" w:rsidRPr="007950D9">
        <w:rPr>
          <w:rFonts w:ascii="Times New Roman" w:hAnsi="Times New Roman"/>
          <w:sz w:val="24"/>
          <w:szCs w:val="24"/>
        </w:rPr>
        <w:t xml:space="preserve">meny Sadzobníka správnych poplatkov v časti XVI. Priemyselné práva sú navrhnuté na rovnakých princípoch, aké boli uplatnené v súvislosti s článkom IV. </w:t>
      </w:r>
      <w:r w:rsidR="00A73F60" w:rsidRPr="007950D9">
        <w:rPr>
          <w:rFonts w:ascii="Times New Roman" w:hAnsi="Times New Roman"/>
          <w:sz w:val="24"/>
          <w:szCs w:val="24"/>
        </w:rPr>
        <w:lastRenderedPageBreak/>
        <w:t xml:space="preserve">zákona č. 530/2023 Z. z. </w:t>
      </w:r>
      <w:r w:rsidR="001B369C" w:rsidRPr="007950D9">
        <w:rPr>
          <w:rFonts w:ascii="Times New Roman" w:hAnsi="Times New Roman"/>
          <w:sz w:val="24"/>
          <w:szCs w:val="24"/>
        </w:rPr>
        <w:t>[zohľadnenie</w:t>
      </w:r>
      <w:r w:rsidR="00A73F60" w:rsidRPr="007950D9">
        <w:rPr>
          <w:rFonts w:ascii="Times New Roman" w:hAnsi="Times New Roman"/>
          <w:sz w:val="24"/>
          <w:szCs w:val="24"/>
        </w:rPr>
        <w:t xml:space="preserve"> inflácie</w:t>
      </w:r>
      <w:r w:rsidR="001B369C" w:rsidRPr="007950D9">
        <w:rPr>
          <w:rFonts w:ascii="Times New Roman" w:hAnsi="Times New Roman"/>
          <w:sz w:val="24"/>
          <w:szCs w:val="24"/>
        </w:rPr>
        <w:t xml:space="preserve"> od poslednej zmeny správnych poplatkov v časti XVI. Sadzobníka správnych poplatkov (</w:t>
      </w:r>
      <w:r w:rsidR="00FE56F3" w:rsidRPr="007950D9">
        <w:rPr>
          <w:rFonts w:ascii="Times New Roman" w:hAnsi="Times New Roman"/>
          <w:sz w:val="24"/>
          <w:szCs w:val="24"/>
        </w:rPr>
        <w:t xml:space="preserve">t. j. od </w:t>
      </w:r>
      <w:r w:rsidR="001B369C" w:rsidRPr="007950D9">
        <w:rPr>
          <w:rFonts w:ascii="Times New Roman" w:hAnsi="Times New Roman"/>
          <w:sz w:val="24"/>
          <w:szCs w:val="24"/>
        </w:rPr>
        <w:t>1.</w:t>
      </w:r>
      <w:r w:rsidR="00D25C58" w:rsidRPr="007950D9">
        <w:rPr>
          <w:rFonts w:ascii="Times New Roman" w:hAnsi="Times New Roman"/>
          <w:sz w:val="24"/>
          <w:szCs w:val="24"/>
        </w:rPr>
        <w:t xml:space="preserve"> januára </w:t>
      </w:r>
      <w:r w:rsidR="001B369C" w:rsidRPr="007950D9">
        <w:rPr>
          <w:rFonts w:ascii="Times New Roman" w:hAnsi="Times New Roman"/>
          <w:sz w:val="24"/>
          <w:szCs w:val="24"/>
        </w:rPr>
        <w:t>2018</w:t>
      </w:r>
      <w:r w:rsidR="007950D9" w:rsidRPr="007950D9">
        <w:rPr>
          <w:rFonts w:ascii="Times New Roman" w:hAnsi="Times New Roman"/>
          <w:sz w:val="24"/>
          <w:szCs w:val="24"/>
        </w:rPr>
        <w:t>; inflačný koeficient 32,84 %</w:t>
      </w:r>
      <w:r w:rsidR="001B369C" w:rsidRPr="007950D9">
        <w:rPr>
          <w:rFonts w:ascii="Times New Roman" w:hAnsi="Times New Roman"/>
          <w:sz w:val="24"/>
          <w:szCs w:val="24"/>
        </w:rPr>
        <w:t>); zaokrúhľovanie sadzieb na desiatky eur</w:t>
      </w:r>
      <w:r w:rsidR="00072770" w:rsidRPr="007950D9">
        <w:rPr>
          <w:rFonts w:ascii="Times New Roman" w:hAnsi="Times New Roman"/>
          <w:sz w:val="24"/>
          <w:szCs w:val="24"/>
        </w:rPr>
        <w:t>]</w:t>
      </w:r>
      <w:r w:rsidR="001B369C" w:rsidRPr="007950D9">
        <w:rPr>
          <w:rFonts w:ascii="Times New Roman" w:hAnsi="Times New Roman"/>
          <w:sz w:val="24"/>
          <w:szCs w:val="24"/>
        </w:rPr>
        <w:t xml:space="preserve">. Súčasne </w:t>
      </w:r>
      <w:r w:rsidR="00FE56F3" w:rsidRPr="007950D9">
        <w:rPr>
          <w:rFonts w:ascii="Times New Roman" w:hAnsi="Times New Roman"/>
          <w:sz w:val="24"/>
          <w:szCs w:val="24"/>
        </w:rPr>
        <w:t>bolo</w:t>
      </w:r>
      <w:r w:rsidR="001B369C" w:rsidRPr="007950D9">
        <w:rPr>
          <w:rFonts w:ascii="Times New Roman" w:hAnsi="Times New Roman"/>
          <w:sz w:val="24"/>
          <w:szCs w:val="24"/>
        </w:rPr>
        <w:t xml:space="preserve"> však potrebné </w:t>
      </w:r>
      <w:r w:rsidR="00FE56F3" w:rsidRPr="007950D9">
        <w:rPr>
          <w:rFonts w:ascii="Times New Roman" w:hAnsi="Times New Roman"/>
          <w:sz w:val="24"/>
          <w:szCs w:val="24"/>
        </w:rPr>
        <w:t>zo</w:t>
      </w:r>
      <w:r w:rsidR="00A73F60" w:rsidRPr="007950D9">
        <w:rPr>
          <w:rFonts w:ascii="Times New Roman" w:hAnsi="Times New Roman"/>
          <w:sz w:val="24"/>
          <w:szCs w:val="24"/>
        </w:rPr>
        <w:t>brať do úvahy konkurencieschopnosť národných systémov ochranných známok a dizajnov voči systémom ochrannej známky EÚ a dizajnu EÚ</w:t>
      </w:r>
      <w:r w:rsidR="001B369C" w:rsidRPr="007950D9">
        <w:rPr>
          <w:rFonts w:ascii="Times New Roman" w:hAnsi="Times New Roman"/>
          <w:sz w:val="24"/>
          <w:szCs w:val="24"/>
        </w:rPr>
        <w:t xml:space="preserve">, preto </w:t>
      </w:r>
      <w:r w:rsidR="00A73F60" w:rsidRPr="007950D9">
        <w:rPr>
          <w:rFonts w:ascii="Times New Roman" w:hAnsi="Times New Roman"/>
          <w:sz w:val="24"/>
          <w:szCs w:val="24"/>
        </w:rPr>
        <w:t>poplatky za podanie prihlášky ochrannej známky, za obnovu zápisu ochrannej známky, za podanie prihlášky dizajnu a za predĺženie platnosti dizajnu</w:t>
      </w:r>
      <w:r w:rsidR="001B369C" w:rsidRPr="007950D9">
        <w:rPr>
          <w:rFonts w:ascii="Times New Roman" w:hAnsi="Times New Roman"/>
          <w:sz w:val="24"/>
          <w:szCs w:val="24"/>
        </w:rPr>
        <w:t xml:space="preserve"> </w:t>
      </w:r>
      <w:r w:rsidR="00FE56F3" w:rsidRPr="007950D9">
        <w:rPr>
          <w:rFonts w:ascii="Times New Roman" w:hAnsi="Times New Roman"/>
          <w:sz w:val="24"/>
          <w:szCs w:val="24"/>
        </w:rPr>
        <w:t>sú</w:t>
      </w:r>
      <w:r w:rsidR="001B369C" w:rsidRPr="007950D9">
        <w:rPr>
          <w:rFonts w:ascii="Times New Roman" w:hAnsi="Times New Roman"/>
          <w:sz w:val="24"/>
          <w:szCs w:val="24"/>
        </w:rPr>
        <w:t xml:space="preserve"> upravované minimálne</w:t>
      </w:r>
      <w:r w:rsidR="00A73F60" w:rsidRPr="007950D9">
        <w:rPr>
          <w:rFonts w:ascii="Times New Roman" w:hAnsi="Times New Roman"/>
          <w:sz w:val="24"/>
          <w:szCs w:val="24"/>
        </w:rPr>
        <w:t xml:space="preserve">. </w:t>
      </w:r>
      <w:r w:rsidRPr="007950D9">
        <w:rPr>
          <w:rFonts w:ascii="Times New Roman" w:hAnsi="Times New Roman"/>
          <w:sz w:val="24"/>
          <w:szCs w:val="24"/>
        </w:rPr>
        <w:t>Naopak, vo vzťahu k niektorým správnym poplatkom sa navrhuje zvýšenie sadzby nad mieru inflačného koeficientu</w:t>
      </w:r>
      <w:r w:rsidR="00FE56F3" w:rsidRPr="007950D9">
        <w:rPr>
          <w:rFonts w:ascii="Times New Roman" w:hAnsi="Times New Roman"/>
          <w:sz w:val="24"/>
          <w:szCs w:val="24"/>
        </w:rPr>
        <w:t>, a to</w:t>
      </w:r>
      <w:r w:rsidRPr="007950D9">
        <w:rPr>
          <w:rFonts w:ascii="Times New Roman" w:hAnsi="Times New Roman"/>
          <w:sz w:val="24"/>
          <w:szCs w:val="24"/>
        </w:rPr>
        <w:t xml:space="preserve"> z dôvodu neprimerane nízko nastavenej sadzby príslušného správneho poplatku, ktorý aktuálne nezohľadňuje prácnosť súvisiacu s daným úkonom ako ani hodnotu, ktorá na základe realizácie daného úkonu vzniká na strane žiadateľa ako poplatníka, prípadne nezodpovedá európskemu štandardu spojenému s realizáciou príslušného úkonu zo strany porovnateľných úradov priemyselného vlastníctva pri zohľadnení osobitostí trhového prostredia.</w:t>
      </w:r>
    </w:p>
    <w:p w14:paraId="4D8AF7CB" w14:textId="77777777" w:rsidR="00D25C58" w:rsidRPr="007950D9" w:rsidRDefault="00D25C58" w:rsidP="00A73F60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</w:p>
    <w:p w14:paraId="35C9A85C" w14:textId="45194AB2" w:rsidR="000D0650" w:rsidRPr="001D046A" w:rsidRDefault="000D0650" w:rsidP="000D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D046A">
        <w:rPr>
          <w:rFonts w:ascii="Times New Roman" w:hAnsi="Times New Roman" w:cs="Times New Roman"/>
          <w:sz w:val="24"/>
          <w:szCs w:val="24"/>
        </w:rPr>
        <w:t>Sumy udržiavacích poplatkov ustanovené v Sadzobníku udržiavacích poplatkov neboli od účinnosti zákona o udržiavacích poplatkoch, t. j. od 1. februára 2009</w:t>
      </w:r>
      <w:r w:rsidR="00072770" w:rsidRPr="001D046A">
        <w:rPr>
          <w:rFonts w:ascii="Times New Roman" w:hAnsi="Times New Roman" w:cs="Times New Roman"/>
          <w:sz w:val="24"/>
          <w:szCs w:val="24"/>
        </w:rPr>
        <w:t>, upravované vôbec</w:t>
      </w:r>
      <w:r w:rsidRPr="001D046A">
        <w:rPr>
          <w:rFonts w:ascii="Times New Roman" w:hAnsi="Times New Roman" w:cs="Times New Roman"/>
          <w:sz w:val="24"/>
          <w:szCs w:val="24"/>
        </w:rPr>
        <w:t>.  Navrhované zvýšenie</w:t>
      </w:r>
      <w:r w:rsidR="001D046A" w:rsidRPr="001D046A">
        <w:rPr>
          <w:rFonts w:ascii="Times New Roman" w:hAnsi="Times New Roman" w:cs="Times New Roman"/>
          <w:sz w:val="24"/>
          <w:szCs w:val="24"/>
        </w:rPr>
        <w:t xml:space="preserve"> udržiavacích poplatkov za patent</w:t>
      </w:r>
      <w:r w:rsidR="00072770" w:rsidRPr="001D046A">
        <w:rPr>
          <w:rFonts w:ascii="Times New Roman" w:hAnsi="Times New Roman" w:cs="Times New Roman"/>
          <w:sz w:val="24"/>
          <w:szCs w:val="24"/>
        </w:rPr>
        <w:t xml:space="preserve"> o</w:t>
      </w:r>
      <w:r w:rsidRPr="001D046A">
        <w:rPr>
          <w:rFonts w:ascii="Times New Roman" w:hAnsi="Times New Roman" w:cs="Times New Roman"/>
          <w:sz w:val="24"/>
          <w:szCs w:val="24"/>
        </w:rPr>
        <w:t xml:space="preserve"> 20 % </w:t>
      </w:r>
      <w:r w:rsidR="009E1225" w:rsidRPr="001D046A">
        <w:rPr>
          <w:rFonts w:ascii="Times New Roman" w:hAnsi="Times New Roman" w:cs="Times New Roman"/>
          <w:sz w:val="24"/>
          <w:szCs w:val="24"/>
        </w:rPr>
        <w:t>zohľadňuje osobitosti a trendy v prostredí patentovej ochrany</w:t>
      </w:r>
      <w:r w:rsidR="007950D9" w:rsidRPr="001D046A">
        <w:rPr>
          <w:rFonts w:ascii="Times New Roman" w:hAnsi="Times New Roman" w:cs="Times New Roman"/>
          <w:sz w:val="24"/>
          <w:szCs w:val="24"/>
        </w:rPr>
        <w:t xml:space="preserve"> v európskom meradle</w:t>
      </w:r>
      <w:r w:rsidR="001D046A" w:rsidRPr="001D046A">
        <w:rPr>
          <w:rFonts w:ascii="Times New Roman" w:hAnsi="Times New Roman" w:cs="Times New Roman"/>
          <w:sz w:val="24"/>
          <w:szCs w:val="24"/>
        </w:rPr>
        <w:t>. V prípade udržiavacích poplatkov za dodatkové ochranné osvedčenie sa navrhuje výraznejšie zvýšenie sadzieb poplatkov, keďže inštitút dodatkového ochranného osvedčenia je využívaný primárne farmaceutickými spoločnosťami a je dôvodné predpokladať, že výraznejšie zvýšenie udržiavacieho poplatku za platnosť dodatkového ochranného osvedčenia nespôsobí zmenu správania majiteľov dodatkového ochranného osvedčenia.</w:t>
      </w:r>
      <w:r w:rsidR="001D046A" w:rsidRPr="001D0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D26717" w14:textId="77777777" w:rsidR="000D0650" w:rsidRPr="007950D9" w:rsidRDefault="000D0650" w:rsidP="00A73F60">
      <w:pPr>
        <w:pStyle w:val="Textpoznmkypodiarou"/>
        <w:jc w:val="both"/>
        <w:rPr>
          <w:rFonts w:ascii="Times New Roman" w:hAnsi="Times New Roman"/>
          <w:sz w:val="24"/>
          <w:szCs w:val="24"/>
        </w:rPr>
      </w:pPr>
    </w:p>
    <w:p w14:paraId="5994E100" w14:textId="77777777" w:rsidR="00423E5F" w:rsidRPr="007950D9" w:rsidRDefault="00423E5F" w:rsidP="00423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7950D9">
        <w:rPr>
          <w:rFonts w:ascii="Times New Roman" w:eastAsia="Times New Roman" w:hAnsi="Times New Roman" w:cs="Times New Roman"/>
          <w:sz w:val="24"/>
          <w:szCs w:val="24"/>
          <w:lang w:eastAsia="ja-JP"/>
        </w:rPr>
        <w:t>Novelizácia si vyžiada aj zmenu súvisiacich vykonávacích predpisov.</w:t>
      </w:r>
      <w:r w:rsidRPr="007950D9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ja-JP"/>
        </w:rPr>
        <w:footnoteReference w:id="1"/>
      </w:r>
    </w:p>
    <w:p w14:paraId="717F94CD" w14:textId="2D28E4E0" w:rsidR="000D0650" w:rsidRPr="007950D9" w:rsidRDefault="000D0650" w:rsidP="00430A21">
      <w:pPr>
        <w:pStyle w:val="Normlnywebov"/>
        <w:jc w:val="both"/>
      </w:pPr>
      <w:r w:rsidRPr="007950D9">
        <w:t>Návrh zákona je v súlade s Ústavou Slovenskej republiky, ústavnými zákonmi a nálezmi ústavného súdu, medzinárodnými zmluvami, ktorými je Slovenská republika viazaná</w:t>
      </w:r>
      <w:r w:rsidR="00E42EE4" w:rsidRPr="007950D9">
        <w:t xml:space="preserve">, </w:t>
      </w:r>
      <w:r w:rsidR="00E42EE4" w:rsidRPr="007950D9">
        <w:rPr>
          <w:color w:val="000000"/>
        </w:rPr>
        <w:t xml:space="preserve">najmä </w:t>
      </w:r>
      <w:r w:rsidR="00E42EE4" w:rsidRPr="007950D9">
        <w:t xml:space="preserve">s Parížskym dohovorom na ochranu priemyselného vlastníctva, </w:t>
      </w:r>
      <w:r w:rsidR="00E42EE4" w:rsidRPr="007950D9">
        <w:rPr>
          <w:rStyle w:val="Vrazn"/>
          <w:b w:val="0"/>
          <w:shd w:val="clear" w:color="auto" w:fill="FFFFFF"/>
        </w:rPr>
        <w:t>Dohodou o obchodných aspektoch práv duševného vlastníctva (Dohoda TRIPS)</w:t>
      </w:r>
      <w:r w:rsidR="00E42EE4" w:rsidRPr="007950D9">
        <w:t xml:space="preserve">, </w:t>
      </w:r>
      <w:r w:rsidR="00E42EE4" w:rsidRPr="007950D9">
        <w:rPr>
          <w:rStyle w:val="Vrazn"/>
          <w:b w:val="0"/>
          <w:shd w:val="clear" w:color="auto" w:fill="FFFFFF"/>
        </w:rPr>
        <w:t>Dohovorom o patentovom práve, Vykonávacím predpisom k Dohovoru o patentovom práve, Singapurským dohovorom o práve ochrannej známky, Vykonávacím predpisom</w:t>
      </w:r>
      <w:r w:rsidR="00430A21" w:rsidRPr="007950D9">
        <w:rPr>
          <w:rStyle w:val="Vrazn"/>
          <w:b w:val="0"/>
          <w:shd w:val="clear" w:color="auto" w:fill="FFFFFF"/>
        </w:rPr>
        <w:t xml:space="preserve"> k Singapurskému dohovoru o práve ochrannej známky.</w:t>
      </w:r>
      <w:r w:rsidR="00E42EE4" w:rsidRPr="007950D9">
        <w:rPr>
          <w:rStyle w:val="Vrazn"/>
          <w:b w:val="0"/>
          <w:shd w:val="clear" w:color="auto" w:fill="FFFFFF"/>
        </w:rPr>
        <w:t xml:space="preserve"> </w:t>
      </w:r>
      <w:r w:rsidRPr="007950D9">
        <w:rPr>
          <w:shd w:val="clear" w:color="auto" w:fill="FFFFFF"/>
        </w:rPr>
        <w:t>Návrh zákona je v súlade aj s ostatnými</w:t>
      </w:r>
      <w:r w:rsidRPr="007950D9">
        <w:t xml:space="preserve"> zákonmi a súčasne je v súlade s právom Európskej únie.</w:t>
      </w:r>
    </w:p>
    <w:p w14:paraId="14E12152" w14:textId="4D5BF2B8" w:rsidR="008A695C" w:rsidRPr="007950D9" w:rsidRDefault="009427B0" w:rsidP="00430A21">
      <w:pPr>
        <w:pStyle w:val="Normlnywebov"/>
        <w:jc w:val="both"/>
      </w:pPr>
      <w:r w:rsidRPr="007950D9">
        <w:t>Platná</w:t>
      </w:r>
      <w:r w:rsidR="002E7573" w:rsidRPr="007950D9">
        <w:t xml:space="preserve"> vnútroštátna legislatíva, ktor</w:t>
      </w:r>
      <w:r w:rsidRPr="007950D9">
        <w:t>ej zmeny</w:t>
      </w:r>
      <w:r w:rsidR="002E7573" w:rsidRPr="007950D9">
        <w:t xml:space="preserve"> </w:t>
      </w:r>
      <w:r w:rsidRPr="007950D9">
        <w:t>sú</w:t>
      </w:r>
      <w:r w:rsidR="002E7573" w:rsidRPr="007950D9">
        <w:t xml:space="preserve"> predmetom tohto návrhu, </w:t>
      </w:r>
      <w:r w:rsidRPr="007950D9">
        <w:t xml:space="preserve">je úplne zlučiteľná s právom EÚ; do vnútroštátnej legislatívy </w:t>
      </w:r>
      <w:r w:rsidR="000E4ACE" w:rsidRPr="007950D9">
        <w:t xml:space="preserve">už </w:t>
      </w:r>
      <w:r w:rsidRPr="007950D9">
        <w:t xml:space="preserve">boli náležite </w:t>
      </w:r>
      <w:r w:rsidR="002E7573" w:rsidRPr="007950D9">
        <w:t>prebra</w:t>
      </w:r>
      <w:r w:rsidRPr="007950D9">
        <w:t xml:space="preserve">né relevantné právne akty </w:t>
      </w:r>
      <w:r w:rsidRPr="007950D9">
        <w:lastRenderedPageBreak/>
        <w:t xml:space="preserve">sekundárneho práva EÚ. </w:t>
      </w:r>
      <w:r w:rsidR="00C07C88" w:rsidRPr="007950D9">
        <w:t>Predkladaný n</w:t>
      </w:r>
      <w:r w:rsidRPr="007950D9">
        <w:t xml:space="preserve">ávrh </w:t>
      </w:r>
      <w:r w:rsidR="002E7573" w:rsidRPr="007950D9">
        <w:t xml:space="preserve"> </w:t>
      </w:r>
      <w:r w:rsidR="00C07C88" w:rsidRPr="007950D9">
        <w:t>zákona nezasahuje do transpozičných ustanovení, navrhujú sa zmeny výlučne v oblastiach, ktoré nie sú upravené v práve EÚ.</w:t>
      </w:r>
    </w:p>
    <w:p w14:paraId="5B7B5C4D" w14:textId="007B5066" w:rsidR="00E57161" w:rsidRPr="007950D9" w:rsidRDefault="00E57161" w:rsidP="00430A21">
      <w:pPr>
        <w:pStyle w:val="Normlnywebov"/>
        <w:jc w:val="both"/>
      </w:pPr>
      <w:r w:rsidRPr="007950D9">
        <w:t xml:space="preserve">Návrh zákona nemá byť predmetom </w:t>
      </w:r>
      <w:proofErr w:type="spellStart"/>
      <w:r w:rsidRPr="007950D9">
        <w:t>vnútrokomunitárneho</w:t>
      </w:r>
      <w:proofErr w:type="spellEnd"/>
      <w:r w:rsidRPr="007950D9">
        <w:t xml:space="preserve"> pripomienkového konania.</w:t>
      </w:r>
    </w:p>
    <w:p w14:paraId="6E3D4FF8" w14:textId="77777777" w:rsidR="00D33E68" w:rsidRDefault="000D0650" w:rsidP="0017775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950D9">
        <w:rPr>
          <w:rFonts w:ascii="Times New Roman" w:hAnsi="Times New Roman" w:cs="Times New Roman"/>
          <w:sz w:val="24"/>
          <w:szCs w:val="24"/>
        </w:rPr>
        <w:t xml:space="preserve">Návrh zákona zakladá vplyvy na </w:t>
      </w:r>
      <w:r w:rsidR="00423E5F" w:rsidRPr="007950D9">
        <w:rPr>
          <w:rFonts w:ascii="Times New Roman" w:hAnsi="Times New Roman" w:cs="Times New Roman"/>
          <w:sz w:val="24"/>
          <w:szCs w:val="24"/>
        </w:rPr>
        <w:t>rozpočet verejnej správy (pozitívne</w:t>
      </w:r>
      <w:r w:rsidR="00D33E68">
        <w:rPr>
          <w:rFonts w:ascii="Times New Roman" w:hAnsi="Times New Roman" w:cs="Times New Roman"/>
          <w:sz w:val="24"/>
          <w:szCs w:val="24"/>
        </w:rPr>
        <w:t>, negatívne</w:t>
      </w:r>
      <w:r w:rsidR="00423E5F" w:rsidRPr="007950D9">
        <w:rPr>
          <w:rFonts w:ascii="Times New Roman" w:hAnsi="Times New Roman" w:cs="Times New Roman"/>
          <w:sz w:val="24"/>
          <w:szCs w:val="24"/>
        </w:rPr>
        <w:t>)</w:t>
      </w:r>
      <w:r w:rsidRPr="007950D9">
        <w:rPr>
          <w:rFonts w:ascii="Times New Roman" w:hAnsi="Times New Roman" w:cs="Times New Roman"/>
          <w:sz w:val="24"/>
          <w:szCs w:val="24"/>
        </w:rPr>
        <w:t>,</w:t>
      </w:r>
      <w:r w:rsidR="00423E5F" w:rsidRPr="007950D9">
        <w:rPr>
          <w:rFonts w:ascii="Times New Roman" w:hAnsi="Times New Roman" w:cs="Times New Roman"/>
          <w:sz w:val="24"/>
          <w:szCs w:val="24"/>
        </w:rPr>
        <w:t xml:space="preserve"> vplyvy na podnikateľské prostredie (negatívne, pozitívne)</w:t>
      </w:r>
      <w:r w:rsidR="001F0491" w:rsidRPr="007950D9">
        <w:rPr>
          <w:rFonts w:ascii="Times New Roman" w:hAnsi="Times New Roman" w:cs="Times New Roman"/>
          <w:sz w:val="24"/>
          <w:szCs w:val="24"/>
        </w:rPr>
        <w:t>, vplyvy</w:t>
      </w:r>
      <w:r w:rsidRPr="007950D9">
        <w:rPr>
          <w:rFonts w:ascii="Times New Roman" w:hAnsi="Times New Roman" w:cs="Times New Roman"/>
          <w:sz w:val="24"/>
          <w:szCs w:val="24"/>
        </w:rPr>
        <w:t xml:space="preserve"> na informatizáciu spoločnosti</w:t>
      </w:r>
      <w:r w:rsidR="00423E5F" w:rsidRPr="007950D9">
        <w:rPr>
          <w:rFonts w:ascii="Times New Roman" w:hAnsi="Times New Roman" w:cs="Times New Roman"/>
          <w:sz w:val="24"/>
          <w:szCs w:val="24"/>
        </w:rPr>
        <w:t xml:space="preserve"> (pozitívne)</w:t>
      </w:r>
      <w:r w:rsidRPr="007950D9">
        <w:rPr>
          <w:rFonts w:ascii="Times New Roman" w:hAnsi="Times New Roman" w:cs="Times New Roman"/>
          <w:sz w:val="24"/>
          <w:szCs w:val="24"/>
        </w:rPr>
        <w:t xml:space="preserve">, </w:t>
      </w:r>
      <w:r w:rsidR="001F0491" w:rsidRPr="007950D9">
        <w:rPr>
          <w:rFonts w:ascii="Times New Roman" w:hAnsi="Times New Roman" w:cs="Times New Roman"/>
          <w:sz w:val="24"/>
          <w:szCs w:val="24"/>
        </w:rPr>
        <w:t xml:space="preserve">vplyvy </w:t>
      </w:r>
      <w:r w:rsidRPr="007950D9">
        <w:rPr>
          <w:rFonts w:ascii="Times New Roman" w:hAnsi="Times New Roman" w:cs="Times New Roman"/>
          <w:sz w:val="24"/>
          <w:szCs w:val="24"/>
        </w:rPr>
        <w:t xml:space="preserve">na služby verejnej správy pre občana </w:t>
      </w:r>
      <w:r w:rsidR="00423E5F" w:rsidRPr="007950D9">
        <w:rPr>
          <w:rFonts w:ascii="Times New Roman" w:hAnsi="Times New Roman" w:cs="Times New Roman"/>
          <w:sz w:val="24"/>
          <w:szCs w:val="24"/>
        </w:rPr>
        <w:t>(</w:t>
      </w:r>
      <w:r w:rsidR="00A300C9" w:rsidRPr="007950D9">
        <w:rPr>
          <w:rFonts w:ascii="Times New Roman" w:hAnsi="Times New Roman" w:cs="Times New Roman"/>
          <w:sz w:val="24"/>
          <w:szCs w:val="24"/>
        </w:rPr>
        <w:t xml:space="preserve">negatívne, </w:t>
      </w:r>
      <w:r w:rsidR="00423E5F" w:rsidRPr="007950D9">
        <w:rPr>
          <w:rFonts w:ascii="Times New Roman" w:hAnsi="Times New Roman" w:cs="Times New Roman"/>
          <w:sz w:val="24"/>
          <w:szCs w:val="24"/>
        </w:rPr>
        <w:t>pozitívne)</w:t>
      </w:r>
      <w:r w:rsidRPr="007950D9">
        <w:rPr>
          <w:rFonts w:ascii="Times New Roman" w:hAnsi="Times New Roman" w:cs="Times New Roman"/>
          <w:sz w:val="24"/>
          <w:szCs w:val="24"/>
        </w:rPr>
        <w:t xml:space="preserve">. Návrh zákona nebude mať </w:t>
      </w:r>
      <w:r w:rsidR="001F0491" w:rsidRPr="007950D9">
        <w:rPr>
          <w:rFonts w:ascii="Times New Roman" w:hAnsi="Times New Roman" w:cs="Times New Roman"/>
          <w:sz w:val="24"/>
          <w:szCs w:val="24"/>
        </w:rPr>
        <w:t xml:space="preserve">vplyvy na limit verejných výdavkov, </w:t>
      </w:r>
      <w:r w:rsidRPr="007950D9">
        <w:rPr>
          <w:rFonts w:ascii="Times New Roman" w:hAnsi="Times New Roman" w:cs="Times New Roman"/>
          <w:sz w:val="24"/>
          <w:szCs w:val="24"/>
        </w:rPr>
        <w:t>vplyv na životné prostredie</w:t>
      </w:r>
      <w:r w:rsidR="00D25C58" w:rsidRPr="007950D9">
        <w:rPr>
          <w:rFonts w:ascii="Times New Roman" w:hAnsi="Times New Roman" w:cs="Times New Roman"/>
          <w:sz w:val="24"/>
          <w:szCs w:val="24"/>
        </w:rPr>
        <w:t>, sociálne vplyvy, vplyvy na manželstvo, rodičovstvo a rodinu.</w:t>
      </w:r>
      <w:r w:rsidRPr="007950D9">
        <w:rPr>
          <w:rFonts w:ascii="Times New Roman" w:hAnsi="Times New Roman" w:cs="Times New Roman"/>
          <w:sz w:val="24"/>
          <w:szCs w:val="24"/>
        </w:rPr>
        <w:t xml:space="preserve"> Podrobnosti sú uvedené v doložke vybraných vplyvov.</w:t>
      </w:r>
      <w:r w:rsidR="009E1225" w:rsidRPr="00795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9E9B5" w14:textId="41DA495D" w:rsidR="0017775E" w:rsidRDefault="00C32E37" w:rsidP="0017775E">
      <w:pPr>
        <w:spacing w:after="28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0D9">
        <w:rPr>
          <w:rFonts w:ascii="Times New Roman" w:hAnsi="Times New Roman" w:cs="Times New Roman"/>
          <w:color w:val="000000"/>
          <w:sz w:val="24"/>
          <w:szCs w:val="24"/>
        </w:rPr>
        <w:t>Návrh zákona bol predmetom predbežného pripomienkového konania, ktorého výsledkom bolo nesúhlasné stanovisko Stálej pracovnej komisie na posudzovanie vybraných vplyvov s materiálom predloženým na predbežné pripomienkové konanie s odporúčaním na jeho dopracovanie podľa pripomienok uvedených v stanovisku. Pripomienky Stálej pracovnej komisie na posudzovanie vybraných vplyvov predkladateľ akceptoval a doložku vplyvov a príslušné analýzy vplyvov v zmysle pripomienok upravil.</w:t>
      </w:r>
    </w:p>
    <w:p w14:paraId="2C4A5E83" w14:textId="082EBDC9" w:rsidR="00172D15" w:rsidRDefault="00D33E68" w:rsidP="0017775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základe akceptovania zásadnej pripomienky uplatnenej zo strany Ministerstva financií Slovenskej republiky ako výsledku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rozporového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konania došlo v rámci Doložky vybraných vplyvov k zmene v identifikácii vplyvov. </w:t>
      </w:r>
      <w:r w:rsidR="002A4CCB">
        <w:rPr>
          <w:rFonts w:ascii="Times New Roman" w:hAnsi="Times New Roman" w:cs="Times New Roman"/>
          <w:color w:val="000000"/>
          <w:sz w:val="24"/>
          <w:szCs w:val="24"/>
        </w:rPr>
        <w:t>Výsledkom z</w:t>
      </w:r>
      <w:r w:rsidR="00172D15">
        <w:rPr>
          <w:rFonts w:ascii="Times New Roman" w:hAnsi="Times New Roman" w:cs="Times New Roman"/>
          <w:color w:val="000000"/>
          <w:sz w:val="24"/>
          <w:szCs w:val="24"/>
        </w:rPr>
        <w:t>áverečné</w:t>
      </w:r>
      <w:r w:rsidR="002A4CCB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172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CCB">
        <w:rPr>
          <w:rFonts w:ascii="Times New Roman" w:hAnsi="Times New Roman" w:cs="Times New Roman"/>
          <w:color w:val="000000"/>
          <w:sz w:val="24"/>
          <w:szCs w:val="24"/>
        </w:rPr>
        <w:t>posúdenia</w:t>
      </w:r>
      <w:r w:rsidR="00172D15">
        <w:rPr>
          <w:rFonts w:ascii="Times New Roman" w:hAnsi="Times New Roman" w:cs="Times New Roman"/>
          <w:color w:val="000000"/>
          <w:sz w:val="24"/>
          <w:szCs w:val="24"/>
        </w:rPr>
        <w:t xml:space="preserve"> vybraných vplyvov</w:t>
      </w:r>
      <w:r w:rsidR="002A4CCB">
        <w:rPr>
          <w:rFonts w:ascii="Times New Roman" w:hAnsi="Times New Roman" w:cs="Times New Roman"/>
          <w:color w:val="000000"/>
          <w:sz w:val="24"/>
          <w:szCs w:val="24"/>
        </w:rPr>
        <w:t xml:space="preserve"> bolo </w:t>
      </w:r>
      <w:r w:rsidR="00456D8C">
        <w:rPr>
          <w:rFonts w:ascii="Times New Roman" w:hAnsi="Times New Roman" w:cs="Times New Roman"/>
          <w:color w:val="000000"/>
          <w:sz w:val="24"/>
          <w:szCs w:val="24"/>
        </w:rPr>
        <w:t>súhlasné stanovisko Stálej pracovnej komisie Legislatívnej rady vlády Slovenskej republiky na posudzovanie vybraných vplyvov.</w:t>
      </w:r>
      <w:r w:rsidR="00405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7AE102" w14:textId="04240F41" w:rsidR="0017775E" w:rsidRPr="00CE1BF6" w:rsidRDefault="0017775E" w:rsidP="0017775E">
      <w:pPr>
        <w:spacing w:after="28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BF6">
        <w:rPr>
          <w:rFonts w:ascii="Times New Roman" w:hAnsi="Times New Roman" w:cs="Times New Roman"/>
          <w:sz w:val="24"/>
          <w:szCs w:val="24"/>
        </w:rPr>
        <w:t>V súlade s § 19 ods. 6 zákona č. 400/2015 Z. z. o tvorbe právnych predpisov a o Zbierke zákonov Slovenskej republiky a o zmene a doplnení niektorých zákonov sa navrhuje účinnosť k 1. júlu 2025.</w:t>
      </w:r>
    </w:p>
    <w:p w14:paraId="0ABB821A" w14:textId="77777777" w:rsidR="0017775E" w:rsidRPr="007950D9" w:rsidRDefault="0017775E" w:rsidP="007950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E6D8E1D" w14:textId="77777777" w:rsidR="00C32E37" w:rsidRPr="007950D9" w:rsidRDefault="00C32E37" w:rsidP="004146FA">
      <w:pPr>
        <w:spacing w:after="280" w:afterAutospacing="1"/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7C60BADE" w14:textId="77777777" w:rsidR="006E0C7D" w:rsidRPr="007950D9" w:rsidRDefault="006E0C7D" w:rsidP="004A3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C7D" w:rsidRPr="007950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3EB4" w14:textId="77777777" w:rsidR="006C4190" w:rsidRDefault="006C4190" w:rsidP="006C4190">
      <w:pPr>
        <w:spacing w:after="0" w:line="240" w:lineRule="auto"/>
      </w:pPr>
      <w:r>
        <w:separator/>
      </w:r>
    </w:p>
  </w:endnote>
  <w:endnote w:type="continuationSeparator" w:id="0">
    <w:p w14:paraId="77091E10" w14:textId="77777777" w:rsidR="006C4190" w:rsidRDefault="006C4190" w:rsidP="006C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754978"/>
      <w:docPartObj>
        <w:docPartGallery w:val="Page Numbers (Bottom of Page)"/>
        <w:docPartUnique/>
      </w:docPartObj>
    </w:sdtPr>
    <w:sdtEndPr/>
    <w:sdtContent>
      <w:p w14:paraId="22CC78E1" w14:textId="31547FDB" w:rsidR="00B25803" w:rsidRDefault="00B2580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538E7" w14:textId="77777777" w:rsidR="00B25803" w:rsidRDefault="00B258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495E" w14:textId="77777777" w:rsidR="006C4190" w:rsidRDefault="006C4190" w:rsidP="006C4190">
      <w:pPr>
        <w:spacing w:after="0" w:line="240" w:lineRule="auto"/>
      </w:pPr>
      <w:r>
        <w:separator/>
      </w:r>
    </w:p>
  </w:footnote>
  <w:footnote w:type="continuationSeparator" w:id="0">
    <w:p w14:paraId="386545AB" w14:textId="77777777" w:rsidR="006C4190" w:rsidRDefault="006C4190" w:rsidP="006C4190">
      <w:pPr>
        <w:spacing w:after="0" w:line="240" w:lineRule="auto"/>
      </w:pPr>
      <w:r>
        <w:continuationSeparator/>
      </w:r>
    </w:p>
  </w:footnote>
  <w:footnote w:id="1">
    <w:p w14:paraId="570C9198" w14:textId="77777777" w:rsidR="00D25C58" w:rsidRPr="003B6D06" w:rsidRDefault="00423E5F" w:rsidP="004B27E3">
      <w:pPr>
        <w:pStyle w:val="Textpoznmkypodiarou"/>
        <w:jc w:val="both"/>
        <w:rPr>
          <w:rFonts w:ascii="Times New Roman" w:hAnsi="Times New Roman"/>
          <w:sz w:val="18"/>
          <w:szCs w:val="18"/>
        </w:rPr>
      </w:pPr>
      <w:r w:rsidRPr="003B6D06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3B6D06">
        <w:rPr>
          <w:rFonts w:ascii="Times New Roman" w:hAnsi="Times New Roman"/>
          <w:sz w:val="18"/>
          <w:szCs w:val="18"/>
        </w:rPr>
        <w:t xml:space="preserve"> Návrh na zmeny a doplnenia vykonávacích prepisov</w:t>
      </w:r>
    </w:p>
    <w:p w14:paraId="7B236C6A" w14:textId="43B716BD" w:rsidR="00D25C58" w:rsidRPr="003B6D06" w:rsidRDefault="006867E2" w:rsidP="004B27E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B6D06">
        <w:rPr>
          <w:rFonts w:ascii="Times New Roman" w:hAnsi="Times New Roman" w:cs="Times New Roman"/>
          <w:sz w:val="18"/>
          <w:szCs w:val="18"/>
        </w:rPr>
        <w:t>v</w:t>
      </w:r>
      <w:r w:rsidR="004B27E3" w:rsidRPr="003B6D06">
        <w:rPr>
          <w:rFonts w:ascii="Times New Roman" w:hAnsi="Times New Roman" w:cs="Times New Roman"/>
          <w:sz w:val="18"/>
          <w:szCs w:val="18"/>
        </w:rPr>
        <w:t>yhláška</w:t>
      </w:r>
      <w:r w:rsidR="00D25C58" w:rsidRPr="003B6D06">
        <w:rPr>
          <w:rFonts w:ascii="Times New Roman" w:hAnsi="Times New Roman" w:cs="Times New Roman"/>
          <w:sz w:val="18"/>
          <w:szCs w:val="18"/>
        </w:rPr>
        <w:t xml:space="preserve"> Úradu priemyselného vlastníctva Slovenskej republiky, ktorou sa vykonáva zákon č. 435/2001 Z. z. o patentoch, dodatkových ochranných osvedčeniach a o zmene a doplnení niektorých zákonov (patentový zákon) </w:t>
      </w:r>
      <w:r w:rsidR="004B27E3" w:rsidRPr="003B6D06">
        <w:rPr>
          <w:rFonts w:ascii="Times New Roman" w:hAnsi="Times New Roman" w:cs="Times New Roman"/>
          <w:sz w:val="18"/>
          <w:szCs w:val="18"/>
        </w:rPr>
        <w:t>v znení neskorších predpisov</w:t>
      </w:r>
    </w:p>
    <w:p w14:paraId="315A1400" w14:textId="589F2834" w:rsidR="004B27E3" w:rsidRPr="003B6D06" w:rsidRDefault="006867E2" w:rsidP="004B27E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B6D06">
        <w:rPr>
          <w:rFonts w:ascii="Times New Roman" w:hAnsi="Times New Roman" w:cs="Times New Roman"/>
          <w:sz w:val="18"/>
          <w:szCs w:val="18"/>
        </w:rPr>
        <w:t>v</w:t>
      </w:r>
      <w:r w:rsidR="004B27E3" w:rsidRPr="003B6D06">
        <w:rPr>
          <w:rFonts w:ascii="Times New Roman" w:hAnsi="Times New Roman" w:cs="Times New Roman"/>
          <w:sz w:val="18"/>
          <w:szCs w:val="18"/>
        </w:rPr>
        <w:t>yhláška Úradu priemyselného vlastníctva Slovenskej republiky č. 629/2002 Z. z, ktorou sa vykonáva zákon č. 444/2002 Z. z. o</w:t>
      </w:r>
      <w:r w:rsidR="008D5968" w:rsidRPr="003B6D06">
        <w:rPr>
          <w:rFonts w:ascii="Times New Roman" w:hAnsi="Times New Roman" w:cs="Times New Roman"/>
          <w:sz w:val="18"/>
          <w:szCs w:val="18"/>
        </w:rPr>
        <w:t> </w:t>
      </w:r>
      <w:r w:rsidR="004B27E3" w:rsidRPr="003B6D06">
        <w:rPr>
          <w:rFonts w:ascii="Times New Roman" w:hAnsi="Times New Roman" w:cs="Times New Roman"/>
          <w:sz w:val="18"/>
          <w:szCs w:val="18"/>
        </w:rPr>
        <w:t>dizajnoch</w:t>
      </w:r>
      <w:r w:rsidR="008D5968" w:rsidRPr="003B6D06">
        <w:rPr>
          <w:rFonts w:ascii="Times New Roman" w:hAnsi="Times New Roman" w:cs="Times New Roman"/>
          <w:sz w:val="18"/>
          <w:szCs w:val="18"/>
        </w:rPr>
        <w:t xml:space="preserve"> v znení vyhlášky č. 333/2018 Z. z.</w:t>
      </w:r>
    </w:p>
    <w:p w14:paraId="349AF3AF" w14:textId="56A3B646" w:rsidR="004B27E3" w:rsidRPr="003B6D06" w:rsidRDefault="006867E2" w:rsidP="004B27E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B6D06">
        <w:rPr>
          <w:rFonts w:ascii="Times New Roman" w:hAnsi="Times New Roman" w:cs="Times New Roman"/>
          <w:sz w:val="18"/>
          <w:szCs w:val="18"/>
        </w:rPr>
        <w:t>v</w:t>
      </w:r>
      <w:r w:rsidR="004B27E3" w:rsidRPr="003B6D06">
        <w:rPr>
          <w:rFonts w:ascii="Times New Roman" w:hAnsi="Times New Roman" w:cs="Times New Roman"/>
          <w:sz w:val="18"/>
          <w:szCs w:val="18"/>
        </w:rPr>
        <w:t>yhláška Úradu priemyselného vlastníctva Slovenskej republiky č. 1/2008 Z. z., ktorou sa vykonáva zákon č. 517/2007 Z. z. o úžitkových vzoroch a o zmene a doplnení niektorých zákonov v znení neskorších predpisov</w:t>
      </w:r>
    </w:p>
    <w:p w14:paraId="6937F4A9" w14:textId="61947950" w:rsidR="004B27E3" w:rsidRPr="003B6D06" w:rsidRDefault="006867E2" w:rsidP="004B27E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B6D06">
        <w:rPr>
          <w:rFonts w:ascii="Times New Roman" w:hAnsi="Times New Roman" w:cs="Times New Roman"/>
          <w:sz w:val="18"/>
          <w:szCs w:val="18"/>
        </w:rPr>
        <w:t>v</w:t>
      </w:r>
      <w:r w:rsidR="004B27E3" w:rsidRPr="003B6D06">
        <w:rPr>
          <w:rFonts w:ascii="Times New Roman" w:hAnsi="Times New Roman" w:cs="Times New Roman"/>
          <w:sz w:val="18"/>
          <w:szCs w:val="18"/>
        </w:rPr>
        <w:t>yhláška Úradu priemyselného vlastníctva Slovenskej republiky č. 567/2009 Z. z., ktorou sa vykonáva zákon č. 506/2009 Z. z. o ochranných známkach v znení neskorších predpisov</w:t>
      </w:r>
    </w:p>
    <w:p w14:paraId="503D6973" w14:textId="17FEE2C2" w:rsidR="004B27E3" w:rsidRPr="003B6D06" w:rsidRDefault="006867E2" w:rsidP="004B27E3">
      <w:pPr>
        <w:pStyle w:val="Odsekzoznamu"/>
        <w:numPr>
          <w:ilvl w:val="0"/>
          <w:numId w:val="5"/>
        </w:numPr>
        <w:spacing w:after="0" w:line="240" w:lineRule="auto"/>
        <w:ind w:left="760" w:hanging="357"/>
        <w:jc w:val="both"/>
        <w:rPr>
          <w:rFonts w:ascii="Times New Roman" w:hAnsi="Times New Roman" w:cs="Times New Roman"/>
          <w:sz w:val="18"/>
          <w:szCs w:val="18"/>
        </w:rPr>
      </w:pPr>
      <w:r w:rsidRPr="003B6D06">
        <w:rPr>
          <w:rFonts w:ascii="Times New Roman" w:hAnsi="Times New Roman" w:cs="Times New Roman"/>
          <w:sz w:val="18"/>
          <w:szCs w:val="18"/>
        </w:rPr>
        <w:t>v</w:t>
      </w:r>
      <w:r w:rsidR="004B27E3" w:rsidRPr="003B6D06">
        <w:rPr>
          <w:rFonts w:ascii="Times New Roman" w:hAnsi="Times New Roman" w:cs="Times New Roman"/>
          <w:sz w:val="18"/>
          <w:szCs w:val="18"/>
        </w:rPr>
        <w:t>yhláška Úradu priemyselného vlastníctva Slovenskej republiky č. 611/2004 Z. z., ktorou sa ustanovujú podrobnosti o priebehu odbornej skúšky, podrobnosti o priebehu skúšky spôsobilosti, spôsob určenia odmeny patentových zástupcov, podmienky na určenie náhrady hotových výdavkov a náhrady za stratu času v znení vyhlášky č. 169/2023 Z. z.</w:t>
      </w:r>
    </w:p>
    <w:p w14:paraId="3F88AE4B" w14:textId="6BF2A482" w:rsidR="00423E5F" w:rsidRPr="003B6D06" w:rsidRDefault="00423E5F" w:rsidP="004B27E3">
      <w:pPr>
        <w:pStyle w:val="Textpoznmkypodiarou"/>
        <w:jc w:val="both"/>
        <w:rPr>
          <w:rFonts w:ascii="Times New Roman" w:hAnsi="Times New Roman"/>
          <w:sz w:val="18"/>
          <w:szCs w:val="18"/>
        </w:rPr>
      </w:pPr>
      <w:r w:rsidRPr="003B6D06">
        <w:rPr>
          <w:rFonts w:ascii="Times New Roman" w:hAnsi="Times New Roman"/>
          <w:sz w:val="18"/>
          <w:szCs w:val="18"/>
        </w:rPr>
        <w:t>budú predložené do legislatívneho procesu tak, aby nadobudli účinnosť spolu s predkladaným návrhom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4195"/>
    <w:multiLevelType w:val="hybridMultilevel"/>
    <w:tmpl w:val="D710F96E"/>
    <w:lvl w:ilvl="0" w:tplc="F4C0170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B023F7"/>
    <w:multiLevelType w:val="hybridMultilevel"/>
    <w:tmpl w:val="0BAC2664"/>
    <w:lvl w:ilvl="0" w:tplc="469EAA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0A0"/>
    <w:multiLevelType w:val="hybridMultilevel"/>
    <w:tmpl w:val="E674A83E"/>
    <w:lvl w:ilvl="0" w:tplc="469EAAA0">
      <w:start w:val="1"/>
      <w:numFmt w:val="bullet"/>
      <w:lvlText w:val=""/>
      <w:lvlJc w:val="left"/>
      <w:pPr>
        <w:ind w:left="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6E5A4695"/>
    <w:multiLevelType w:val="hybridMultilevel"/>
    <w:tmpl w:val="C6E82E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47C6"/>
    <w:multiLevelType w:val="hybridMultilevel"/>
    <w:tmpl w:val="844CD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D"/>
    <w:rsid w:val="00010D3E"/>
    <w:rsid w:val="00072770"/>
    <w:rsid w:val="000D0650"/>
    <w:rsid w:val="000E4ACE"/>
    <w:rsid w:val="00172D15"/>
    <w:rsid w:val="0017775E"/>
    <w:rsid w:val="00194CE0"/>
    <w:rsid w:val="001B369C"/>
    <w:rsid w:val="001D046A"/>
    <w:rsid w:val="001F0491"/>
    <w:rsid w:val="002A4CCB"/>
    <w:rsid w:val="002E7573"/>
    <w:rsid w:val="00333ABB"/>
    <w:rsid w:val="003B6D06"/>
    <w:rsid w:val="00405374"/>
    <w:rsid w:val="004146FA"/>
    <w:rsid w:val="00423E5F"/>
    <w:rsid w:val="00430A21"/>
    <w:rsid w:val="00456D8C"/>
    <w:rsid w:val="004A3C58"/>
    <w:rsid w:val="004B27E3"/>
    <w:rsid w:val="005317CD"/>
    <w:rsid w:val="005419F3"/>
    <w:rsid w:val="0063183A"/>
    <w:rsid w:val="00681F15"/>
    <w:rsid w:val="006867E2"/>
    <w:rsid w:val="006A1D0D"/>
    <w:rsid w:val="006C4190"/>
    <w:rsid w:val="006E0C7D"/>
    <w:rsid w:val="007950D9"/>
    <w:rsid w:val="008A695C"/>
    <w:rsid w:val="008D5968"/>
    <w:rsid w:val="009427B0"/>
    <w:rsid w:val="009E1225"/>
    <w:rsid w:val="00A300C9"/>
    <w:rsid w:val="00A73F60"/>
    <w:rsid w:val="00B07FB1"/>
    <w:rsid w:val="00B25803"/>
    <w:rsid w:val="00B76745"/>
    <w:rsid w:val="00BD71C3"/>
    <w:rsid w:val="00C07C88"/>
    <w:rsid w:val="00C25C7F"/>
    <w:rsid w:val="00C32E37"/>
    <w:rsid w:val="00D25C58"/>
    <w:rsid w:val="00D33E68"/>
    <w:rsid w:val="00D8734C"/>
    <w:rsid w:val="00DF4213"/>
    <w:rsid w:val="00E42EE4"/>
    <w:rsid w:val="00E57161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087"/>
  <w15:chartTrackingRefBased/>
  <w15:docId w15:val="{405DC60D-0ABA-4528-8DA6-0F57CBD8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0C7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6E0C7D"/>
    <w:rPr>
      <w:rFonts w:ascii="Times New Roman" w:hAnsi="Times New Roman" w:cs="Times New Roman"/>
      <w:color w:val="808080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A73F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A73F60"/>
    <w:rPr>
      <w:rFonts w:ascii="Calibri" w:eastAsia="Calibri" w:hAnsi="Calibri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D0650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0D0650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0D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4190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3ABB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2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5803"/>
  </w:style>
  <w:style w:type="paragraph" w:styleId="Pta">
    <w:name w:val="footer"/>
    <w:basedOn w:val="Normlny"/>
    <w:link w:val="PtaChar"/>
    <w:uiPriority w:val="99"/>
    <w:unhideWhenUsed/>
    <w:rsid w:val="00B2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.org/law-practice/convergence-of-practi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DA6D-ADD5-43BA-A537-12E0EDB9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JUDr. Júlia Rusková</cp:lastModifiedBy>
  <cp:revision>22</cp:revision>
  <cp:lastPrinted>2024-12-12T08:11:00Z</cp:lastPrinted>
  <dcterms:created xsi:type="dcterms:W3CDTF">2024-08-28T10:30:00Z</dcterms:created>
  <dcterms:modified xsi:type="dcterms:W3CDTF">2024-12-12T08:12:00Z</dcterms:modified>
</cp:coreProperties>
</file>