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CFCF"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60C820CC"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1134"/>
        <w:gridCol w:w="253"/>
        <w:gridCol w:w="547"/>
        <w:gridCol w:w="1297"/>
      </w:tblGrid>
      <w:tr w:rsidR="00612E08" w:rsidRPr="00612E08" w14:paraId="0BE19531" w14:textId="77777777" w:rsidTr="00810567">
        <w:tc>
          <w:tcPr>
            <w:tcW w:w="9180" w:type="dxa"/>
            <w:gridSpan w:val="10"/>
            <w:tcBorders>
              <w:bottom w:val="single" w:sz="4" w:space="0" w:color="FFFFFF"/>
            </w:tcBorders>
            <w:shd w:val="clear" w:color="auto" w:fill="E2E2E2"/>
          </w:tcPr>
          <w:p w14:paraId="789F21D3"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72F88A4B" w14:textId="77777777" w:rsidTr="00810567">
        <w:tc>
          <w:tcPr>
            <w:tcW w:w="9180" w:type="dxa"/>
            <w:gridSpan w:val="10"/>
            <w:tcBorders>
              <w:bottom w:val="single" w:sz="4" w:space="0" w:color="FFFFFF"/>
            </w:tcBorders>
            <w:shd w:val="clear" w:color="auto" w:fill="E2E2E2"/>
          </w:tcPr>
          <w:p w14:paraId="68251DE3"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C77D59" w:rsidRPr="00612E08" w14:paraId="42C76A21" w14:textId="77777777" w:rsidTr="00810567">
        <w:trPr>
          <w:trHeight w:val="626"/>
        </w:trPr>
        <w:tc>
          <w:tcPr>
            <w:tcW w:w="9180" w:type="dxa"/>
            <w:gridSpan w:val="10"/>
            <w:tcBorders>
              <w:top w:val="single" w:sz="4" w:space="0" w:color="FFFFFF"/>
              <w:bottom w:val="single" w:sz="4" w:space="0" w:color="auto"/>
            </w:tcBorders>
          </w:tcPr>
          <w:p w14:paraId="43DE509D" w14:textId="77777777" w:rsidR="00C77D59" w:rsidRPr="00500BC8" w:rsidRDefault="009D2375" w:rsidP="003809FF">
            <w:pPr>
              <w:jc w:val="both"/>
              <w:rPr>
                <w:rFonts w:ascii="Times" w:hAnsi="Times" w:cs="Times"/>
                <w:sz w:val="20"/>
                <w:szCs w:val="20"/>
              </w:rPr>
            </w:pPr>
            <w:r w:rsidRPr="00500BC8">
              <w:rPr>
                <w:rFonts w:ascii="Times New Roman" w:hAnsi="Times New Roman" w:cs="Times New Roman"/>
                <w:sz w:val="20"/>
                <w:szCs w:val="20"/>
              </w:rPr>
              <w:t xml:space="preserve">Návrh zákona, ktorým mení a dopĺňa zákon č. 548/2003 Z. z. o Justičnej akadémii a o zmene a doplnení niektorých zákonov v znení neskorších predpisov  </w:t>
            </w:r>
          </w:p>
        </w:tc>
      </w:tr>
      <w:tr w:rsidR="00C77D59" w:rsidRPr="00612E08" w14:paraId="55205297" w14:textId="77777777" w:rsidTr="00810567">
        <w:tc>
          <w:tcPr>
            <w:tcW w:w="9180" w:type="dxa"/>
            <w:gridSpan w:val="10"/>
            <w:tcBorders>
              <w:top w:val="single" w:sz="4" w:space="0" w:color="auto"/>
              <w:left w:val="single" w:sz="4" w:space="0" w:color="auto"/>
              <w:bottom w:val="single" w:sz="4" w:space="0" w:color="FFFFFF"/>
            </w:tcBorders>
            <w:shd w:val="clear" w:color="auto" w:fill="E2E2E2"/>
          </w:tcPr>
          <w:p w14:paraId="773F5EAF" w14:textId="77777777" w:rsidR="00C77D59" w:rsidRPr="00612E08" w:rsidRDefault="00C77D59" w:rsidP="00C77D5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C77D59" w:rsidRPr="00612E08" w14:paraId="1B08BE3D" w14:textId="77777777" w:rsidTr="00810567">
        <w:trPr>
          <w:trHeight w:val="255"/>
        </w:trPr>
        <w:tc>
          <w:tcPr>
            <w:tcW w:w="9180" w:type="dxa"/>
            <w:gridSpan w:val="10"/>
            <w:tcBorders>
              <w:top w:val="single" w:sz="4" w:space="0" w:color="FFFFFF"/>
              <w:left w:val="single" w:sz="4" w:space="0" w:color="auto"/>
              <w:bottom w:val="single" w:sz="4" w:space="0" w:color="auto"/>
            </w:tcBorders>
            <w:shd w:val="clear" w:color="auto" w:fill="FFFFFF"/>
          </w:tcPr>
          <w:p w14:paraId="540D3DCD" w14:textId="77777777" w:rsidR="00C77D59" w:rsidRPr="00612E08" w:rsidRDefault="00C77D59" w:rsidP="003919B4">
            <w:pPr>
              <w:rPr>
                <w:rFonts w:ascii="Times New Roman" w:eastAsia="Times New Roman" w:hAnsi="Times New Roman" w:cs="Times New Roman"/>
                <w:sz w:val="20"/>
                <w:szCs w:val="20"/>
                <w:lang w:eastAsia="sk-SK"/>
              </w:rPr>
            </w:pPr>
            <w:r w:rsidRPr="00044C1C">
              <w:rPr>
                <w:rFonts w:ascii="Times" w:hAnsi="Times" w:cs="Times"/>
                <w:sz w:val="20"/>
                <w:szCs w:val="20"/>
              </w:rPr>
              <w:t>Ministerstvo spravodlivosti Slovenskej republiky</w:t>
            </w:r>
            <w:r>
              <w:rPr>
                <w:rFonts w:ascii="Times" w:hAnsi="Times" w:cs="Times"/>
                <w:sz w:val="20"/>
                <w:szCs w:val="20"/>
              </w:rPr>
              <w:t xml:space="preserve"> </w:t>
            </w:r>
          </w:p>
        </w:tc>
      </w:tr>
      <w:tr w:rsidR="00C77D59" w:rsidRPr="00612E08" w14:paraId="4A533A67" w14:textId="77777777" w:rsidTr="00810567">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976D8B1" w14:textId="77777777" w:rsidR="00C77D59" w:rsidRPr="00612E08" w:rsidRDefault="00C77D59" w:rsidP="00C77D5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F63D06D" w14:textId="77777777" w:rsidR="00C77D59" w:rsidRPr="00612E08" w:rsidRDefault="004910AD" w:rsidP="00C77D5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14:paraId="533F9C12" w14:textId="77777777" w:rsidR="00C77D59" w:rsidRPr="00612E08" w:rsidRDefault="00C77D59" w:rsidP="00C77D5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C77D59" w:rsidRPr="00612E08" w14:paraId="518B13DA" w14:textId="77777777" w:rsidTr="00810567">
        <w:tc>
          <w:tcPr>
            <w:tcW w:w="4212" w:type="dxa"/>
            <w:gridSpan w:val="2"/>
            <w:vMerge/>
            <w:tcBorders>
              <w:top w:val="nil"/>
              <w:left w:val="single" w:sz="4" w:space="0" w:color="auto"/>
              <w:bottom w:val="single" w:sz="4" w:space="0" w:color="FFFFFF"/>
            </w:tcBorders>
            <w:shd w:val="clear" w:color="auto" w:fill="E2E2E2"/>
          </w:tcPr>
          <w:p w14:paraId="75F44F6A" w14:textId="77777777" w:rsidR="00C77D59" w:rsidRPr="00612E08" w:rsidRDefault="00C77D59" w:rsidP="00C77D5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8979915" w14:textId="77777777" w:rsidR="00C77D59" w:rsidRPr="00612E08" w:rsidRDefault="004910AD" w:rsidP="00C77D5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cPr>
          <w:p w14:paraId="2AD892F9" w14:textId="77777777" w:rsidR="00C77D59" w:rsidRPr="00612E08" w:rsidRDefault="00C77D59" w:rsidP="00C77D59">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C77D59" w:rsidRPr="00612E08" w14:paraId="4E784DF8" w14:textId="77777777" w:rsidTr="00810567">
        <w:tc>
          <w:tcPr>
            <w:tcW w:w="4212" w:type="dxa"/>
            <w:gridSpan w:val="2"/>
            <w:vMerge/>
            <w:tcBorders>
              <w:top w:val="nil"/>
              <w:left w:val="single" w:sz="4" w:space="0" w:color="auto"/>
              <w:bottom w:val="single" w:sz="4" w:space="0" w:color="auto"/>
            </w:tcBorders>
            <w:shd w:val="clear" w:color="auto" w:fill="E2E2E2"/>
          </w:tcPr>
          <w:p w14:paraId="5F857147" w14:textId="77777777" w:rsidR="00C77D59" w:rsidRPr="00612E08" w:rsidRDefault="00C77D59" w:rsidP="00C77D5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D579DE4" w14:textId="77777777" w:rsidR="00C77D59" w:rsidRPr="00612E08" w:rsidRDefault="00C77D59" w:rsidP="00C77D5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cPr>
          <w:p w14:paraId="4550F949" w14:textId="77777777" w:rsidR="00C77D59" w:rsidRPr="00612E08" w:rsidRDefault="00C77D59" w:rsidP="00C77D5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C77D59" w:rsidRPr="00612E08" w14:paraId="4A4BE0CA" w14:textId="77777777" w:rsidTr="00810567">
        <w:trPr>
          <w:trHeight w:val="598"/>
        </w:trPr>
        <w:tc>
          <w:tcPr>
            <w:tcW w:w="9180" w:type="dxa"/>
            <w:gridSpan w:val="10"/>
            <w:tcBorders>
              <w:top w:val="single" w:sz="4" w:space="0" w:color="auto"/>
              <w:left w:val="single" w:sz="4" w:space="0" w:color="auto"/>
              <w:bottom w:val="single" w:sz="4" w:space="0" w:color="FFFFFF"/>
            </w:tcBorders>
            <w:shd w:val="clear" w:color="auto" w:fill="FFFFFF"/>
          </w:tcPr>
          <w:p w14:paraId="785404DF" w14:textId="77777777" w:rsidR="00C77D59" w:rsidRPr="00612E08" w:rsidRDefault="00C77D59" w:rsidP="003919B4">
            <w:pPr>
              <w:jc w:val="both"/>
              <w:rPr>
                <w:rFonts w:ascii="Times New Roman" w:eastAsia="Times New Roman" w:hAnsi="Times New Roman" w:cs="Times New Roman"/>
                <w:sz w:val="20"/>
                <w:szCs w:val="20"/>
                <w:lang w:eastAsia="sk-SK"/>
              </w:rPr>
            </w:pPr>
          </w:p>
        </w:tc>
      </w:tr>
      <w:tr w:rsidR="00C77D59" w:rsidRPr="00612E08" w14:paraId="63A323EE" w14:textId="77777777" w:rsidTr="00810567">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BFB6FEF" w14:textId="77777777" w:rsidR="00C77D59" w:rsidRPr="00612E08" w:rsidRDefault="00C77D59" w:rsidP="00C77D5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4"/>
            <w:tcBorders>
              <w:top w:val="single" w:sz="4" w:space="0" w:color="000000"/>
              <w:left w:val="single" w:sz="4" w:space="0" w:color="auto"/>
              <w:bottom w:val="single" w:sz="4" w:space="0" w:color="auto"/>
              <w:right w:val="single" w:sz="4" w:space="0" w:color="auto"/>
            </w:tcBorders>
          </w:tcPr>
          <w:p w14:paraId="580219C3" w14:textId="4B479102" w:rsidR="00C77D59" w:rsidRPr="00E461D9" w:rsidRDefault="00741DC5" w:rsidP="00C77D59">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október </w:t>
            </w:r>
            <w:r w:rsidR="00E461D9" w:rsidRPr="00E461D9">
              <w:rPr>
                <w:rFonts w:ascii="Times New Roman" w:eastAsia="Times New Roman" w:hAnsi="Times New Roman" w:cs="Times New Roman"/>
                <w:sz w:val="20"/>
                <w:szCs w:val="20"/>
                <w:lang w:eastAsia="sk-SK"/>
              </w:rPr>
              <w:t>2024</w:t>
            </w:r>
          </w:p>
        </w:tc>
      </w:tr>
      <w:tr w:rsidR="00C77D59" w:rsidRPr="00612E08" w14:paraId="76DF47DB" w14:textId="77777777" w:rsidTr="00810567">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4A6565A" w14:textId="77777777" w:rsidR="00C77D59" w:rsidRPr="00612E08" w:rsidRDefault="00C77D59" w:rsidP="00C77D5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4"/>
            <w:tcBorders>
              <w:top w:val="single" w:sz="4" w:space="0" w:color="auto"/>
              <w:left w:val="single" w:sz="4" w:space="0" w:color="auto"/>
              <w:bottom w:val="single" w:sz="4" w:space="0" w:color="auto"/>
              <w:right w:val="single" w:sz="4" w:space="0" w:color="auto"/>
            </w:tcBorders>
          </w:tcPr>
          <w:p w14:paraId="7C4B7BF4" w14:textId="73507FA3" w:rsidR="00C77D59" w:rsidRPr="00E461D9" w:rsidRDefault="00741DC5" w:rsidP="00C77D59">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október</w:t>
            </w:r>
            <w:r w:rsidRPr="00E461D9">
              <w:rPr>
                <w:rFonts w:ascii="Times New Roman" w:eastAsia="Times New Roman" w:hAnsi="Times New Roman" w:cs="Times New Roman"/>
                <w:sz w:val="20"/>
                <w:szCs w:val="20"/>
                <w:lang w:eastAsia="sk-SK"/>
              </w:rPr>
              <w:t xml:space="preserve"> </w:t>
            </w:r>
            <w:r w:rsidR="00E461D9" w:rsidRPr="00E461D9">
              <w:rPr>
                <w:rFonts w:ascii="Times New Roman" w:eastAsia="Times New Roman" w:hAnsi="Times New Roman" w:cs="Times New Roman"/>
                <w:sz w:val="20"/>
                <w:szCs w:val="20"/>
                <w:lang w:eastAsia="sk-SK"/>
              </w:rPr>
              <w:t>2024</w:t>
            </w:r>
          </w:p>
        </w:tc>
      </w:tr>
      <w:tr w:rsidR="00C77D59" w:rsidRPr="00612E08" w14:paraId="0EE7743F" w14:textId="77777777" w:rsidTr="00810567">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ED4A573" w14:textId="77777777" w:rsidR="00C77D59" w:rsidRPr="00612E08" w:rsidRDefault="00C77D59" w:rsidP="00C77D59">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4"/>
            <w:tcBorders>
              <w:top w:val="single" w:sz="4" w:space="0" w:color="auto"/>
              <w:left w:val="single" w:sz="4" w:space="0" w:color="auto"/>
              <w:bottom w:val="single" w:sz="4" w:space="0" w:color="auto"/>
              <w:right w:val="single" w:sz="4" w:space="0" w:color="auto"/>
            </w:tcBorders>
          </w:tcPr>
          <w:p w14:paraId="6EDC2795" w14:textId="77777777" w:rsidR="00C77D59" w:rsidRPr="00E461D9" w:rsidRDefault="00C77D59" w:rsidP="00C77D59">
            <w:pPr>
              <w:rPr>
                <w:rFonts w:ascii="Times New Roman" w:eastAsia="Times New Roman" w:hAnsi="Times New Roman" w:cs="Times New Roman"/>
                <w:sz w:val="20"/>
                <w:szCs w:val="20"/>
                <w:lang w:eastAsia="sk-SK"/>
              </w:rPr>
            </w:pPr>
          </w:p>
        </w:tc>
      </w:tr>
      <w:tr w:rsidR="00C77D59" w:rsidRPr="00612E08" w14:paraId="71642C24" w14:textId="77777777" w:rsidTr="00810567">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06344C4" w14:textId="77777777" w:rsidR="00C77D59" w:rsidRPr="00612E08" w:rsidRDefault="00C77D59" w:rsidP="00C77D59">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4"/>
            <w:tcBorders>
              <w:top w:val="single" w:sz="4" w:space="0" w:color="auto"/>
              <w:left w:val="single" w:sz="4" w:space="0" w:color="auto"/>
              <w:bottom w:val="single" w:sz="4" w:space="0" w:color="auto"/>
              <w:right w:val="single" w:sz="4" w:space="0" w:color="auto"/>
            </w:tcBorders>
          </w:tcPr>
          <w:p w14:paraId="5B51EFAA" w14:textId="349B17B4" w:rsidR="00C77D59" w:rsidRPr="00E461D9" w:rsidRDefault="00B01D1C" w:rsidP="00B01D1C">
            <w:pPr>
              <w:rPr>
                <w:rFonts w:ascii="Times New Roman" w:eastAsia="Times New Roman" w:hAnsi="Times New Roman" w:cs="Times New Roman"/>
                <w:sz w:val="20"/>
                <w:szCs w:val="20"/>
                <w:lang w:eastAsia="sk-SK"/>
              </w:rPr>
            </w:pPr>
            <w:r>
              <w:rPr>
                <w:rFonts w:ascii="Times" w:hAnsi="Times" w:cs="Times"/>
                <w:sz w:val="20"/>
                <w:szCs w:val="20"/>
              </w:rPr>
              <w:t>január</w:t>
            </w:r>
            <w:r w:rsidRPr="00E461D9">
              <w:rPr>
                <w:rFonts w:ascii="Times" w:hAnsi="Times" w:cs="Times"/>
                <w:sz w:val="20"/>
                <w:szCs w:val="20"/>
              </w:rPr>
              <w:t xml:space="preserve"> </w:t>
            </w:r>
            <w:r w:rsidR="00C67C8B" w:rsidRPr="00E461D9">
              <w:rPr>
                <w:rFonts w:ascii="Times" w:hAnsi="Times" w:cs="Times"/>
                <w:sz w:val="20"/>
                <w:szCs w:val="20"/>
              </w:rPr>
              <w:t>202</w:t>
            </w:r>
            <w:r>
              <w:rPr>
                <w:rFonts w:ascii="Times" w:hAnsi="Times" w:cs="Times"/>
                <w:sz w:val="20"/>
                <w:szCs w:val="20"/>
              </w:rPr>
              <w:t>5</w:t>
            </w:r>
            <w:bookmarkStart w:id="0" w:name="_GoBack"/>
            <w:bookmarkEnd w:id="0"/>
          </w:p>
        </w:tc>
      </w:tr>
      <w:tr w:rsidR="00C77D59" w:rsidRPr="00612E08" w14:paraId="77776BE9" w14:textId="77777777" w:rsidTr="00810567">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2AFE43AF" w14:textId="77777777" w:rsidR="00C77D59" w:rsidRPr="00612E08" w:rsidRDefault="00C77D59" w:rsidP="00C77D5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FE5398" w:rsidRPr="00612E08" w14:paraId="60BDA210" w14:textId="77777777" w:rsidTr="00810567">
        <w:trPr>
          <w:trHeight w:val="6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3806156D" w14:textId="77777777" w:rsidR="00FE5398" w:rsidRDefault="00FE5398" w:rsidP="00FE5398">
            <w:pPr>
              <w:jc w:val="both"/>
              <w:rPr>
                <w:rFonts w:ascii="Times" w:hAnsi="Times" w:cs="Times"/>
                <w:sz w:val="20"/>
                <w:szCs w:val="20"/>
              </w:rPr>
            </w:pPr>
            <w:r>
              <w:rPr>
                <w:rFonts w:ascii="Times" w:hAnsi="Times" w:cs="Times"/>
                <w:sz w:val="20"/>
                <w:szCs w:val="20"/>
              </w:rPr>
              <w:t xml:space="preserve">Podľa doterajšej právnej </w:t>
            </w:r>
            <w:r w:rsidRPr="004910AD">
              <w:rPr>
                <w:rFonts w:ascii="Times" w:hAnsi="Times" w:cs="Times"/>
                <w:sz w:val="20"/>
                <w:szCs w:val="20"/>
              </w:rPr>
              <w:t>úprav</w:t>
            </w:r>
            <w:r>
              <w:rPr>
                <w:rFonts w:ascii="Times" w:hAnsi="Times" w:cs="Times"/>
                <w:sz w:val="20"/>
                <w:szCs w:val="20"/>
              </w:rPr>
              <w:t>y</w:t>
            </w:r>
            <w:r w:rsidRPr="004910AD">
              <w:rPr>
                <w:rFonts w:ascii="Times" w:hAnsi="Times" w:cs="Times"/>
                <w:sz w:val="20"/>
                <w:szCs w:val="20"/>
              </w:rPr>
              <w:t xml:space="preserve"> </w:t>
            </w:r>
            <w:r>
              <w:rPr>
                <w:rFonts w:ascii="Times" w:hAnsi="Times" w:cs="Times"/>
                <w:sz w:val="20"/>
                <w:szCs w:val="20"/>
              </w:rPr>
              <w:t>je s</w:t>
            </w:r>
            <w:r w:rsidRPr="005B2624">
              <w:rPr>
                <w:rFonts w:ascii="Times" w:hAnsi="Times" w:cs="Times"/>
                <w:sz w:val="20"/>
                <w:szCs w:val="20"/>
              </w:rPr>
              <w:t>pôsob kreovania rady navrhnutý tak, aby v nej mali zastúpenie sudcovia, prokurátori, ale aj zástupcovia ostatných  právnických povolaní.</w:t>
            </w:r>
            <w:r w:rsidRPr="004910AD">
              <w:rPr>
                <w:rFonts w:ascii="Times" w:hAnsi="Times" w:cs="Times"/>
                <w:sz w:val="20"/>
                <w:szCs w:val="20"/>
              </w:rPr>
              <w:t xml:space="preserve"> </w:t>
            </w:r>
            <w:r>
              <w:rPr>
                <w:rFonts w:ascii="Times" w:hAnsi="Times" w:cs="Times"/>
                <w:sz w:val="20"/>
                <w:szCs w:val="20"/>
              </w:rPr>
              <w:t xml:space="preserve">Tento systém ostáva nezmenený avšak rozširuje sa počet jej členov a upravuje sa možnosť ich navrhovania aj </w:t>
            </w:r>
            <w:r w:rsidRPr="009D2375">
              <w:rPr>
                <w:rFonts w:ascii="Times" w:hAnsi="Times" w:cs="Times"/>
                <w:sz w:val="20"/>
                <w:szCs w:val="20"/>
              </w:rPr>
              <w:t>právnickými fakultami verejných vysokýc</w:t>
            </w:r>
            <w:r>
              <w:rPr>
                <w:rFonts w:ascii="Times" w:hAnsi="Times" w:cs="Times"/>
                <w:sz w:val="20"/>
                <w:szCs w:val="20"/>
              </w:rPr>
              <w:t>h škôl a stavovskými organizáciami</w:t>
            </w:r>
            <w:r w:rsidRPr="009D2375">
              <w:rPr>
                <w:rFonts w:ascii="Times" w:hAnsi="Times" w:cs="Times"/>
                <w:sz w:val="20"/>
                <w:szCs w:val="20"/>
              </w:rPr>
              <w:t xml:space="preserve"> advokátov, notárov a súdnych exekútoro</w:t>
            </w:r>
            <w:r>
              <w:rPr>
                <w:rFonts w:ascii="Times" w:hAnsi="Times" w:cs="Times"/>
                <w:sz w:val="20"/>
                <w:szCs w:val="20"/>
              </w:rPr>
              <w:t>v.</w:t>
            </w:r>
          </w:p>
          <w:p w14:paraId="5C70B875" w14:textId="77777777" w:rsidR="00FE5398" w:rsidRPr="004910AD" w:rsidRDefault="00FE5398" w:rsidP="00FE5398">
            <w:pPr>
              <w:jc w:val="both"/>
              <w:rPr>
                <w:rFonts w:ascii="Times" w:hAnsi="Times" w:cs="Times"/>
                <w:sz w:val="20"/>
                <w:szCs w:val="20"/>
              </w:rPr>
            </w:pPr>
          </w:p>
          <w:p w14:paraId="6B6153BE" w14:textId="77777777" w:rsidR="00FE5398" w:rsidRPr="009D2375" w:rsidRDefault="00FE5398" w:rsidP="00FE5398">
            <w:pPr>
              <w:jc w:val="both"/>
              <w:rPr>
                <w:rFonts w:ascii="Times" w:hAnsi="Times" w:cs="Times"/>
                <w:sz w:val="20"/>
                <w:szCs w:val="20"/>
              </w:rPr>
            </w:pPr>
            <w:r w:rsidRPr="009D2375">
              <w:rPr>
                <w:rFonts w:ascii="Times" w:hAnsi="Times" w:cs="Times"/>
                <w:sz w:val="20"/>
                <w:szCs w:val="20"/>
              </w:rPr>
              <w:t>Rozšírenie rady je nutné z dôvodu previazanosti právnického vzdelávania a justičného vzdelávania a tiež z dôvodu priestupnosti medzi jednotlivými právnickými povolaniami (najmä sudca-prokurátor-advokát-notár), ktorú umožňuje vzájomné „uznávanie“ odbornej justičnej skúšky, advokátskej skúšky, notárskej skúšky, resp. inej právnej skúšky [porovnaj § 5 ods. 3 zákona č. 385/2000 Z. z. o sudcoch a prísediacich a o zmene a doplnení niektorých zákonov v znení neskorších predpisov, § 6 ods. 1 zákona č. 586/2003 Z. z. o advokácii a o zmene a doplnení zákona č. </w:t>
            </w:r>
            <w:hyperlink r:id="rId9" w:tooltip="Odkaz na predpis alebo ustanovenie" w:history="1">
              <w:r w:rsidRPr="009D2375">
                <w:rPr>
                  <w:rFonts w:ascii="Times" w:hAnsi="Times" w:cs="Times"/>
                  <w:sz w:val="20"/>
                  <w:szCs w:val="20"/>
                </w:rPr>
                <w:t>455/1991 Zb.</w:t>
              </w:r>
            </w:hyperlink>
            <w:r w:rsidRPr="009D2375">
              <w:rPr>
                <w:rFonts w:ascii="Times" w:hAnsi="Times" w:cs="Times"/>
                <w:sz w:val="20"/>
                <w:szCs w:val="20"/>
              </w:rPr>
              <w:t> o živnostenskom podnikaní (živnostenský zákon) v znení neskorších predpisov v znení neskorších predpisov]. Zloženie rady musí odrážať potrebu efektívnejšieho vzdelávania sudcov, prokurátorov a najmä vyšších súdnych úradníkov a právnych čakateľov prokuratúry zástupcami rôznych právnických profesií a musí odrážať aj nadväznosť na kvalitu vzdelávania poskytovaného právnickými fakultami. Z doterajších skúseností tiež vyplýva potreba výraznejšieho zapojenia ďalších osôb do prípravy a realizácie študijného plánu akadémie z radov právnických fakúlt a stavovské organizácie advokátov, notárov a exekútorov, ktorú by mali zabezpečiť zástupcovia týchto profesií podľa navrhovanej právnej úpravy.</w:t>
            </w:r>
          </w:p>
          <w:p w14:paraId="0FD687CD" w14:textId="77777777" w:rsidR="00FE5398" w:rsidRDefault="00FE5398" w:rsidP="00FE5398">
            <w:pPr>
              <w:jc w:val="both"/>
              <w:rPr>
                <w:rFonts w:ascii="Times" w:hAnsi="Times" w:cs="Times"/>
                <w:sz w:val="20"/>
                <w:szCs w:val="20"/>
              </w:rPr>
            </w:pPr>
          </w:p>
          <w:p w14:paraId="3B73B398" w14:textId="34248CFA" w:rsidR="00FE5398" w:rsidRPr="00C77D59" w:rsidRDefault="00FE5398" w:rsidP="00FE5398">
            <w:pPr>
              <w:jc w:val="both"/>
              <w:rPr>
                <w:rFonts w:ascii="Times New Roman" w:eastAsia="Times New Roman" w:hAnsi="Times New Roman" w:cs="Times New Roman"/>
                <w:b/>
                <w:sz w:val="20"/>
                <w:szCs w:val="20"/>
                <w:lang w:eastAsia="sk-SK"/>
              </w:rPr>
            </w:pPr>
            <w:r w:rsidRPr="007434C3">
              <w:rPr>
                <w:rFonts w:ascii="Times" w:hAnsi="Times" w:cs="Times"/>
                <w:sz w:val="20"/>
                <w:szCs w:val="20"/>
              </w:rPr>
              <w:t>Súčasne sa navrhuje doplnenie zákonnej úpravy predmetom</w:t>
            </w:r>
            <w:r>
              <w:rPr>
                <w:rFonts w:ascii="Times" w:hAnsi="Times" w:cs="Times"/>
                <w:sz w:val="20"/>
                <w:szCs w:val="20"/>
              </w:rPr>
              <w:t>,</w:t>
            </w:r>
            <w:r w:rsidRPr="007434C3">
              <w:rPr>
                <w:rFonts w:ascii="Times" w:hAnsi="Times" w:cs="Times"/>
                <w:sz w:val="20"/>
                <w:szCs w:val="20"/>
              </w:rPr>
              <w:t xml:space="preserve"> ktorej bude </w:t>
            </w:r>
            <w:r w:rsidRPr="009D2375">
              <w:rPr>
                <w:rFonts w:ascii="Times" w:hAnsi="Times" w:cs="Times"/>
                <w:sz w:val="20"/>
                <w:szCs w:val="20"/>
              </w:rPr>
              <w:t xml:space="preserve">posilnenia spolupráce Justičnej akadémie a akademickej obce </w:t>
            </w:r>
            <w:r>
              <w:rPr>
                <w:rFonts w:ascii="Times" w:hAnsi="Times" w:cs="Times"/>
                <w:sz w:val="20"/>
                <w:szCs w:val="20"/>
              </w:rPr>
              <w:t>a </w:t>
            </w:r>
            <w:r w:rsidRPr="009D2375">
              <w:rPr>
                <w:rFonts w:ascii="Times" w:hAnsi="Times" w:cs="Times"/>
                <w:sz w:val="20"/>
                <w:szCs w:val="20"/>
              </w:rPr>
              <w:t>upravuje</w:t>
            </w:r>
            <w:r>
              <w:rPr>
                <w:rFonts w:ascii="Times" w:hAnsi="Times" w:cs="Times"/>
                <w:sz w:val="20"/>
                <w:szCs w:val="20"/>
              </w:rPr>
              <w:t xml:space="preserve"> sa</w:t>
            </w:r>
            <w:r w:rsidRPr="009D2375">
              <w:rPr>
                <w:rFonts w:ascii="Times" w:hAnsi="Times" w:cs="Times"/>
                <w:sz w:val="20"/>
                <w:szCs w:val="20"/>
              </w:rPr>
              <w:t xml:space="preserve"> dotačná schéma podporujúca túto súčinnosť</w:t>
            </w:r>
            <w:r>
              <w:rPr>
                <w:rFonts w:ascii="Times" w:hAnsi="Times" w:cs="Times"/>
                <w:sz w:val="20"/>
                <w:szCs w:val="20"/>
              </w:rPr>
              <w:t xml:space="preserve">. </w:t>
            </w:r>
          </w:p>
        </w:tc>
      </w:tr>
      <w:tr w:rsidR="00FE5398" w:rsidRPr="00612E08" w14:paraId="08007C67" w14:textId="77777777" w:rsidTr="00810567">
        <w:tc>
          <w:tcPr>
            <w:tcW w:w="9180" w:type="dxa"/>
            <w:gridSpan w:val="10"/>
            <w:tcBorders>
              <w:top w:val="single" w:sz="4" w:space="0" w:color="auto"/>
              <w:left w:val="single" w:sz="4" w:space="0" w:color="auto"/>
              <w:bottom w:val="nil"/>
              <w:right w:val="single" w:sz="4" w:space="0" w:color="auto"/>
            </w:tcBorders>
            <w:shd w:val="clear" w:color="auto" w:fill="E2E2E2"/>
          </w:tcPr>
          <w:p w14:paraId="65FF2377" w14:textId="77777777" w:rsidR="00FE5398" w:rsidRPr="00612E08" w:rsidRDefault="00FE5398" w:rsidP="00FE539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FE5398" w:rsidRPr="00612E08" w14:paraId="6C4D4E07" w14:textId="77777777" w:rsidTr="00D704DF">
        <w:trPr>
          <w:trHeight w:val="866"/>
        </w:trPr>
        <w:tc>
          <w:tcPr>
            <w:tcW w:w="9180" w:type="dxa"/>
            <w:gridSpan w:val="10"/>
            <w:tcBorders>
              <w:top w:val="nil"/>
              <w:left w:val="single" w:sz="4" w:space="0" w:color="auto"/>
              <w:bottom w:val="single" w:sz="4" w:space="0" w:color="auto"/>
              <w:right w:val="single" w:sz="4" w:space="0" w:color="auto"/>
            </w:tcBorders>
            <w:shd w:val="clear" w:color="auto" w:fill="FFFFFF"/>
          </w:tcPr>
          <w:p w14:paraId="48143F0A" w14:textId="77777777" w:rsidR="00FE5398" w:rsidRPr="00C77D59" w:rsidRDefault="00FE5398" w:rsidP="00FE5398">
            <w:pPr>
              <w:jc w:val="both"/>
              <w:rPr>
                <w:b/>
                <w:sz w:val="20"/>
                <w:szCs w:val="20"/>
              </w:rPr>
            </w:pPr>
            <w:r w:rsidRPr="009D2375">
              <w:rPr>
                <w:rFonts w:ascii="Times" w:hAnsi="Times" w:cs="Times"/>
                <w:sz w:val="20"/>
                <w:szCs w:val="20"/>
              </w:rPr>
              <w:t>Cieľom návrhu zákona je najmä rozšírenie Rady Justičnej akadémie o zástupcov navrhnutých právnickými fakultami verejných vysokých škôl a stavovských organizácií advokátov, notárov a súdnych exekútorov (Slovenská advokátska komora, Notárska komora Slovenskej republiky, Slovenská komora exekútorov).</w:t>
            </w:r>
            <w:r w:rsidRPr="00F42873">
              <w:rPr>
                <w:rFonts w:ascii="Times New Roman" w:hAnsi="Times New Roman" w:cs="Times New Roman"/>
                <w:sz w:val="24"/>
              </w:rPr>
              <w:t xml:space="preserve"> </w:t>
            </w:r>
          </w:p>
          <w:p w14:paraId="4BC32FE2" w14:textId="77777777" w:rsidR="00FE5398" w:rsidRPr="00A56D6A" w:rsidRDefault="00FE5398" w:rsidP="00FE5398">
            <w:pPr>
              <w:spacing w:before="120" w:after="120" w:line="276" w:lineRule="auto"/>
              <w:jc w:val="both"/>
            </w:pPr>
          </w:p>
          <w:p w14:paraId="49F58DCA" w14:textId="0F924884" w:rsidR="00FE5398" w:rsidRPr="00612E08" w:rsidRDefault="00FE5398" w:rsidP="00FE5398">
            <w:pPr>
              <w:jc w:val="both"/>
              <w:rPr>
                <w:rFonts w:ascii="Times New Roman" w:eastAsia="Times New Roman" w:hAnsi="Times New Roman" w:cs="Times New Roman"/>
                <w:sz w:val="20"/>
                <w:szCs w:val="20"/>
                <w:lang w:eastAsia="sk-SK"/>
              </w:rPr>
            </w:pPr>
            <w:r>
              <w:rPr>
                <w:rFonts w:ascii="Times" w:hAnsi="Times" w:cs="Times"/>
                <w:sz w:val="20"/>
                <w:szCs w:val="20"/>
              </w:rPr>
              <w:t xml:space="preserve"> </w:t>
            </w:r>
          </w:p>
        </w:tc>
      </w:tr>
      <w:tr w:rsidR="00FE5398" w:rsidRPr="00612E08" w14:paraId="52CFA5A6" w14:textId="77777777" w:rsidTr="00810567">
        <w:tc>
          <w:tcPr>
            <w:tcW w:w="9180" w:type="dxa"/>
            <w:gridSpan w:val="10"/>
            <w:tcBorders>
              <w:top w:val="single" w:sz="4" w:space="0" w:color="auto"/>
              <w:left w:val="single" w:sz="4" w:space="0" w:color="auto"/>
              <w:bottom w:val="nil"/>
              <w:right w:val="single" w:sz="4" w:space="0" w:color="auto"/>
            </w:tcBorders>
            <w:shd w:val="clear" w:color="auto" w:fill="E2E2E2"/>
          </w:tcPr>
          <w:p w14:paraId="6CB765F7" w14:textId="77777777" w:rsidR="00FE5398" w:rsidRPr="00612E08" w:rsidRDefault="00FE5398" w:rsidP="00FE539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FE5398" w:rsidRPr="00612E08" w14:paraId="7CB58DB3" w14:textId="77777777" w:rsidTr="00810567">
        <w:trPr>
          <w:trHeight w:val="294"/>
        </w:trPr>
        <w:tc>
          <w:tcPr>
            <w:tcW w:w="9180" w:type="dxa"/>
            <w:gridSpan w:val="10"/>
            <w:tcBorders>
              <w:top w:val="nil"/>
              <w:left w:val="single" w:sz="4" w:space="0" w:color="auto"/>
              <w:bottom w:val="single" w:sz="4" w:space="0" w:color="auto"/>
              <w:right w:val="single" w:sz="4" w:space="0" w:color="auto"/>
            </w:tcBorders>
            <w:shd w:val="clear" w:color="auto" w:fill="FFFFFF"/>
          </w:tcPr>
          <w:p w14:paraId="0312A0F5" w14:textId="21A644C3" w:rsidR="00FE5398" w:rsidRPr="003A0817" w:rsidRDefault="00FE5398" w:rsidP="00D704DF">
            <w:pPr>
              <w:jc w:val="both"/>
              <w:rPr>
                <w:rFonts w:ascii="Times New Roman" w:eastAsia="Times New Roman" w:hAnsi="Times New Roman" w:cs="Times New Roman"/>
                <w:sz w:val="20"/>
                <w:szCs w:val="20"/>
                <w:lang w:eastAsia="sk-SK"/>
              </w:rPr>
            </w:pPr>
            <w:r>
              <w:rPr>
                <w:rFonts w:ascii="Times" w:hAnsi="Times" w:cs="Times"/>
                <w:sz w:val="20"/>
                <w:szCs w:val="20"/>
              </w:rPr>
              <w:t xml:space="preserve">sudcovia, prokurátori, advokáti, notári, súdni exekútori, </w:t>
            </w:r>
            <w:r w:rsidRPr="00FE5398">
              <w:rPr>
                <w:rFonts w:ascii="Times" w:hAnsi="Times" w:cs="Times"/>
                <w:sz w:val="20"/>
                <w:szCs w:val="20"/>
              </w:rPr>
              <w:t>vyšší súdni úradníci, asistenti sudcu Najvyššieho súdu Slovenskej republiky, asistenti sudcu Najvyššieho správneho súdu Slovenskej republiky, právni čakatelia prokuratúry, asistenti prokurátora, poradcovia sudcu Ústavného súdu Slovenskej republiky, odborní justiční stážisti, právni čakatelia prokuratúry</w:t>
            </w:r>
            <w:r>
              <w:rPr>
                <w:rFonts w:ascii="Times New Roman" w:hAnsi="Times New Roman" w:cs="Times New Roman"/>
                <w:sz w:val="24"/>
              </w:rPr>
              <w:t xml:space="preserve">, </w:t>
            </w:r>
            <w:r w:rsidR="00D704DF">
              <w:rPr>
                <w:rFonts w:ascii="Times" w:hAnsi="Times" w:cs="Times"/>
                <w:sz w:val="20"/>
                <w:szCs w:val="20"/>
              </w:rPr>
              <w:t>p</w:t>
            </w:r>
            <w:r w:rsidRPr="00FE5398">
              <w:rPr>
                <w:rFonts w:ascii="Times" w:hAnsi="Times" w:cs="Times"/>
                <w:sz w:val="20"/>
                <w:szCs w:val="20"/>
              </w:rPr>
              <w:t>rávnické fakulty verejných vysokých škôl</w:t>
            </w:r>
          </w:p>
        </w:tc>
      </w:tr>
      <w:tr w:rsidR="00FE5398" w:rsidRPr="00612E08" w14:paraId="0633F6C1" w14:textId="77777777" w:rsidTr="00810567">
        <w:tc>
          <w:tcPr>
            <w:tcW w:w="9180" w:type="dxa"/>
            <w:gridSpan w:val="10"/>
            <w:tcBorders>
              <w:top w:val="single" w:sz="4" w:space="0" w:color="auto"/>
              <w:left w:val="single" w:sz="4" w:space="0" w:color="auto"/>
              <w:bottom w:val="nil"/>
              <w:right w:val="single" w:sz="4" w:space="0" w:color="auto"/>
            </w:tcBorders>
            <w:shd w:val="clear" w:color="auto" w:fill="E2E2E2"/>
          </w:tcPr>
          <w:p w14:paraId="5C09FCCC" w14:textId="77777777" w:rsidR="00FE5398" w:rsidRPr="00612E08" w:rsidRDefault="00FE5398" w:rsidP="00FE539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FE5398" w:rsidRPr="00612E08" w14:paraId="6B97036A" w14:textId="77777777" w:rsidTr="00810567">
        <w:trPr>
          <w:trHeight w:val="596"/>
        </w:trPr>
        <w:tc>
          <w:tcPr>
            <w:tcW w:w="9180" w:type="dxa"/>
            <w:gridSpan w:val="10"/>
            <w:tcBorders>
              <w:top w:val="nil"/>
              <w:left w:val="single" w:sz="4" w:space="0" w:color="auto"/>
              <w:bottom w:val="single" w:sz="4" w:space="0" w:color="auto"/>
              <w:right w:val="single" w:sz="4" w:space="0" w:color="auto"/>
            </w:tcBorders>
            <w:shd w:val="clear" w:color="auto" w:fill="FFFFFF"/>
          </w:tcPr>
          <w:p w14:paraId="4691C990" w14:textId="77777777" w:rsidR="00FE5398" w:rsidRDefault="00FE5398" w:rsidP="00FE5398">
            <w:pPr>
              <w:jc w:val="both"/>
              <w:rPr>
                <w:rFonts w:ascii="Times" w:hAnsi="Times" w:cs="Times"/>
                <w:sz w:val="20"/>
                <w:szCs w:val="20"/>
              </w:rPr>
            </w:pPr>
            <w:r>
              <w:rPr>
                <w:rFonts w:ascii="Times" w:hAnsi="Times" w:cs="Times"/>
                <w:sz w:val="20"/>
                <w:szCs w:val="20"/>
              </w:rPr>
              <w:lastRenderedPageBreak/>
              <w:t xml:space="preserve">Nulový variant. Nevykonanie navrhovaných právnych úprav prehĺbi súčasný stav nie úplne vhodného nastavenie vzdelávacieho procesu zabezpečovaného Justičnou akadémiou Slovenskej republiky.  </w:t>
            </w:r>
          </w:p>
          <w:p w14:paraId="128DF906" w14:textId="7270B309" w:rsidR="008B45CC" w:rsidRPr="00612E08" w:rsidRDefault="008B45CC" w:rsidP="004A7868">
            <w:pPr>
              <w:jc w:val="both"/>
              <w:rPr>
                <w:rFonts w:ascii="Times New Roman" w:eastAsia="Times New Roman" w:hAnsi="Times New Roman" w:cs="Times New Roman"/>
                <w:i/>
                <w:sz w:val="20"/>
                <w:szCs w:val="20"/>
                <w:lang w:eastAsia="sk-SK"/>
              </w:rPr>
            </w:pPr>
            <w:r w:rsidRPr="004A7868">
              <w:rPr>
                <w:rFonts w:ascii="Times" w:hAnsi="Times" w:cs="Times"/>
                <w:sz w:val="20"/>
                <w:szCs w:val="20"/>
              </w:rPr>
              <w:t>Žiadne alternatívne riešenia neboli posudzované</w:t>
            </w:r>
            <w:r w:rsidR="00D704DF" w:rsidRPr="004A7868">
              <w:rPr>
                <w:rFonts w:ascii="Times" w:hAnsi="Times" w:cs="Times"/>
                <w:sz w:val="20"/>
                <w:szCs w:val="20"/>
              </w:rPr>
              <w:t xml:space="preserve"> z dôvodu, že výsledkom odborných konzultácií dotknutých subjektov sa navrhované riešenie javí ako optimálne pre všetk</w:t>
            </w:r>
            <w:r w:rsidR="004A7868" w:rsidRPr="004A7868">
              <w:rPr>
                <w:rFonts w:ascii="Times" w:hAnsi="Times" w:cs="Times"/>
                <w:sz w:val="20"/>
                <w:szCs w:val="20"/>
              </w:rPr>
              <w:t>y</w:t>
            </w:r>
            <w:r w:rsidR="00D704DF" w:rsidRPr="004A7868">
              <w:rPr>
                <w:rFonts w:ascii="Times" w:hAnsi="Times" w:cs="Times"/>
                <w:sz w:val="20"/>
                <w:szCs w:val="20"/>
              </w:rPr>
              <w:t xml:space="preserve"> zúčastnené subjekty.</w:t>
            </w:r>
          </w:p>
        </w:tc>
      </w:tr>
      <w:tr w:rsidR="00FE5398" w:rsidRPr="00612E08" w14:paraId="6F570B2E" w14:textId="77777777" w:rsidTr="00810567">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1B6AE81B" w14:textId="77777777" w:rsidR="00FE5398" w:rsidRPr="00612E08" w:rsidRDefault="00FE5398" w:rsidP="00FE539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FE5398" w:rsidRPr="00612E08" w14:paraId="252B1323" w14:textId="77777777" w:rsidTr="00810567">
        <w:tc>
          <w:tcPr>
            <w:tcW w:w="5949" w:type="dxa"/>
            <w:gridSpan w:val="6"/>
            <w:tcBorders>
              <w:top w:val="single" w:sz="4" w:space="0" w:color="FFFFFF"/>
              <w:left w:val="single" w:sz="4" w:space="0" w:color="auto"/>
              <w:bottom w:val="nil"/>
              <w:right w:val="nil"/>
            </w:tcBorders>
            <w:shd w:val="clear" w:color="auto" w:fill="FFFFFF"/>
          </w:tcPr>
          <w:p w14:paraId="7954C677" w14:textId="77777777" w:rsidR="00FE5398" w:rsidRPr="00612E08" w:rsidRDefault="00FE5398" w:rsidP="00FE539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134" w:type="dxa"/>
            <w:tcBorders>
              <w:top w:val="single" w:sz="4" w:space="0" w:color="FFFFFF"/>
              <w:left w:val="nil"/>
              <w:bottom w:val="nil"/>
              <w:right w:val="nil"/>
            </w:tcBorders>
            <w:shd w:val="clear" w:color="auto" w:fill="FFFFFF"/>
          </w:tcPr>
          <w:p w14:paraId="444EACA8" w14:textId="77777777" w:rsidR="00FE5398" w:rsidRPr="00612E08" w:rsidRDefault="00D64A1B" w:rsidP="00FE5398">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FE5398" w:rsidRPr="00612E08">
                  <w:rPr>
                    <w:rFonts w:ascii="MS Gothic" w:eastAsia="MS Gothic" w:hAnsi="MS Gothic" w:cs="Times New Roman" w:hint="eastAsia"/>
                    <w:b/>
                    <w:sz w:val="20"/>
                    <w:szCs w:val="20"/>
                    <w:lang w:eastAsia="sk-SK"/>
                  </w:rPr>
                  <w:t>☐</w:t>
                </w:r>
              </w:sdtContent>
            </w:sdt>
            <w:r w:rsidR="00FE5398" w:rsidRPr="00612E08">
              <w:rPr>
                <w:rFonts w:ascii="Times New Roman" w:eastAsia="Times New Roman" w:hAnsi="Times New Roman" w:cs="Times New Roman"/>
                <w:b/>
                <w:sz w:val="20"/>
                <w:szCs w:val="20"/>
                <w:lang w:eastAsia="sk-SK"/>
              </w:rPr>
              <w:t xml:space="preserve">  Áno</w:t>
            </w:r>
          </w:p>
        </w:tc>
        <w:tc>
          <w:tcPr>
            <w:tcW w:w="2097" w:type="dxa"/>
            <w:gridSpan w:val="3"/>
            <w:tcBorders>
              <w:top w:val="single" w:sz="4" w:space="0" w:color="FFFFFF"/>
              <w:left w:val="nil"/>
              <w:bottom w:val="nil"/>
              <w:right w:val="single" w:sz="4" w:space="0" w:color="auto"/>
            </w:tcBorders>
            <w:shd w:val="clear" w:color="auto" w:fill="FFFFFF"/>
          </w:tcPr>
          <w:p w14:paraId="19427264" w14:textId="77777777" w:rsidR="00FE5398" w:rsidRPr="00612E08" w:rsidRDefault="00D64A1B" w:rsidP="00FE5398">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FE5398">
                  <w:rPr>
                    <w:rFonts w:ascii="MS Gothic" w:eastAsia="MS Gothic" w:hAnsi="MS Gothic" w:cs="Times New Roman" w:hint="eastAsia"/>
                    <w:b/>
                    <w:sz w:val="20"/>
                    <w:szCs w:val="20"/>
                    <w:lang w:eastAsia="sk-SK"/>
                  </w:rPr>
                  <w:t>☒</w:t>
                </w:r>
              </w:sdtContent>
            </w:sdt>
            <w:r w:rsidR="00FE5398" w:rsidRPr="00612E08">
              <w:rPr>
                <w:rFonts w:ascii="Times New Roman" w:eastAsia="Times New Roman" w:hAnsi="Times New Roman" w:cs="Times New Roman"/>
                <w:b/>
                <w:sz w:val="20"/>
                <w:szCs w:val="20"/>
                <w:lang w:eastAsia="sk-SK"/>
              </w:rPr>
              <w:t xml:space="preserve">  Nie</w:t>
            </w:r>
          </w:p>
        </w:tc>
      </w:tr>
      <w:tr w:rsidR="00FE5398" w:rsidRPr="00612E08" w14:paraId="46F01559" w14:textId="77777777" w:rsidTr="00810567">
        <w:trPr>
          <w:trHeight w:val="314"/>
        </w:trPr>
        <w:tc>
          <w:tcPr>
            <w:tcW w:w="9180" w:type="dxa"/>
            <w:gridSpan w:val="10"/>
            <w:tcBorders>
              <w:top w:val="nil"/>
              <w:left w:val="single" w:sz="4" w:space="0" w:color="auto"/>
              <w:bottom w:val="single" w:sz="4" w:space="0" w:color="auto"/>
              <w:right w:val="single" w:sz="4" w:space="0" w:color="auto"/>
            </w:tcBorders>
            <w:shd w:val="clear" w:color="auto" w:fill="FFFFFF"/>
          </w:tcPr>
          <w:p w14:paraId="0089F106"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tc>
      </w:tr>
      <w:tr w:rsidR="00FE5398" w:rsidRPr="00612E08" w14:paraId="72BB6D80" w14:textId="77777777" w:rsidTr="00810567">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036FCA95" w14:textId="77777777" w:rsidR="00FE5398" w:rsidRPr="00612E08" w:rsidRDefault="00FE5398" w:rsidP="00FE539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FE5398" w:rsidRPr="00612E08" w14:paraId="7E443C19" w14:textId="77777777" w:rsidTr="00810567">
        <w:trPr>
          <w:trHeight w:val="1007"/>
        </w:trPr>
        <w:tc>
          <w:tcPr>
            <w:tcW w:w="9180" w:type="dxa"/>
            <w:gridSpan w:val="10"/>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FE5398" w:rsidRPr="00612E08" w14:paraId="7FE46909" w14:textId="77777777">
              <w:trPr>
                <w:trHeight w:val="90"/>
              </w:trPr>
              <w:tc>
                <w:tcPr>
                  <w:tcW w:w="8643" w:type="dxa"/>
                </w:tcPr>
                <w:p w14:paraId="1B64AA42" w14:textId="77777777" w:rsidR="00FE5398" w:rsidRPr="00612E08" w:rsidRDefault="00FE5398" w:rsidP="00FE5398">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FE5398" w:rsidRPr="00612E08" w14:paraId="142884DC" w14:textId="77777777">
              <w:trPr>
                <w:trHeight w:val="296"/>
              </w:trPr>
              <w:tc>
                <w:tcPr>
                  <w:tcW w:w="8643" w:type="dxa"/>
                </w:tcPr>
                <w:p w14:paraId="789E6DE9" w14:textId="77777777" w:rsidR="00FE5398" w:rsidRPr="00612E08" w:rsidRDefault="00FE5398" w:rsidP="00FE5398">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70EB765B" w14:textId="77777777" w:rsidR="00FE5398" w:rsidRPr="00612E08" w:rsidRDefault="00FE5398" w:rsidP="00FE5398">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bl>
          <w:p w14:paraId="717DB2E0" w14:textId="77777777" w:rsidR="00FE5398" w:rsidRPr="00612E08" w:rsidRDefault="00FE5398" w:rsidP="00FE5398">
            <w:pPr>
              <w:jc w:val="both"/>
              <w:rPr>
                <w:rFonts w:ascii="Times New Roman" w:eastAsia="Times New Roman" w:hAnsi="Times New Roman" w:cs="Times New Roman"/>
                <w:i/>
                <w:sz w:val="20"/>
                <w:szCs w:val="20"/>
                <w:lang w:eastAsia="sk-SK"/>
              </w:rPr>
            </w:pPr>
          </w:p>
        </w:tc>
      </w:tr>
      <w:tr w:rsidR="00FE5398" w:rsidRPr="00612E08" w14:paraId="34C23D21" w14:textId="77777777" w:rsidTr="00810567">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1AC28DAF" w14:textId="77777777" w:rsidR="00FE5398" w:rsidRPr="00612E08" w:rsidRDefault="00FE5398" w:rsidP="00FE539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FE5398" w:rsidRPr="00612E08" w14:paraId="69C66C67" w14:textId="77777777" w:rsidTr="00810567">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1AAFEA91" w14:textId="046D9F1F" w:rsidR="00FE5398" w:rsidRPr="00612E08" w:rsidRDefault="00FE5398" w:rsidP="00EB4319">
            <w:pPr>
              <w:jc w:val="both"/>
              <w:rPr>
                <w:rFonts w:ascii="Times New Roman" w:eastAsia="Times New Roman" w:hAnsi="Times New Roman" w:cs="Times New Roman"/>
                <w:i/>
                <w:sz w:val="20"/>
                <w:szCs w:val="20"/>
                <w:lang w:eastAsia="sk-SK"/>
              </w:rPr>
            </w:pPr>
            <w:r w:rsidRPr="004910AD">
              <w:rPr>
                <w:rFonts w:ascii="Times" w:hAnsi="Times" w:cs="Times"/>
                <w:sz w:val="20"/>
                <w:szCs w:val="20"/>
              </w:rPr>
              <w:t>Preskúmanie účelnosti navrhovaného predpisu bude vykonávané</w:t>
            </w:r>
            <w:r w:rsidR="004A7868">
              <w:rPr>
                <w:rFonts w:ascii="Times" w:hAnsi="Times" w:cs="Times"/>
                <w:sz w:val="20"/>
                <w:szCs w:val="20"/>
              </w:rPr>
              <w:t xml:space="preserve"> každých päť rokov </w:t>
            </w:r>
            <w:r w:rsidRPr="004910AD">
              <w:rPr>
                <w:rFonts w:ascii="Times" w:hAnsi="Times" w:cs="Times"/>
                <w:sz w:val="20"/>
                <w:szCs w:val="20"/>
              </w:rPr>
              <w:t>po nadobudnutí jeho účinnosti, pričom sa budú zohľadňovať praktické skúsenosti jeho adresátov.</w:t>
            </w:r>
            <w:r w:rsidR="004A7868">
              <w:rPr>
                <w:rFonts w:ascii="Times" w:hAnsi="Times" w:cs="Times"/>
                <w:sz w:val="20"/>
                <w:szCs w:val="20"/>
              </w:rPr>
              <w:t xml:space="preserve"> Základným indikátorom bude najmä spätná väzba dotknutých subjektov (uvedených v bode 4), </w:t>
            </w:r>
            <w:r w:rsidR="00EB4319">
              <w:rPr>
                <w:rFonts w:ascii="Times" w:hAnsi="Times" w:cs="Times"/>
                <w:sz w:val="20"/>
                <w:szCs w:val="20"/>
              </w:rPr>
              <w:t>súčasne</w:t>
            </w:r>
            <w:r w:rsidR="004A7868">
              <w:rPr>
                <w:rFonts w:ascii="Times" w:hAnsi="Times" w:cs="Times"/>
                <w:sz w:val="20"/>
                <w:szCs w:val="20"/>
              </w:rPr>
              <w:t xml:space="preserve"> sa bude vyhodnocovať </w:t>
            </w:r>
            <w:r w:rsidR="00EB4319">
              <w:rPr>
                <w:rFonts w:ascii="Times" w:hAnsi="Times" w:cs="Times"/>
                <w:sz w:val="20"/>
                <w:szCs w:val="20"/>
              </w:rPr>
              <w:t>vzájomná súvislosť</w:t>
            </w:r>
            <w:r w:rsidR="004A7868">
              <w:rPr>
                <w:rFonts w:ascii="Times" w:hAnsi="Times" w:cs="Times"/>
                <w:sz w:val="20"/>
                <w:szCs w:val="20"/>
              </w:rPr>
              <w:t xml:space="preserve"> medzi nadobudnutými poznatkami a ich uplatnením v aplikačnej praxi, ako aj medzi týmito poznatkami a úspešným zvládnutím kvalifikačných skúšok.</w:t>
            </w:r>
          </w:p>
        </w:tc>
      </w:tr>
      <w:tr w:rsidR="00FE5398" w:rsidRPr="00612E08" w14:paraId="49C7B7F6" w14:textId="77777777" w:rsidTr="00810567">
        <w:trPr>
          <w:trHeight w:val="283"/>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14:paraId="7C39A04E" w14:textId="77777777" w:rsidR="00FE5398" w:rsidRPr="00612E08" w:rsidRDefault="00FE5398" w:rsidP="00FE5398">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FE5398" w:rsidRPr="00612E08" w14:paraId="36B25A31" w14:textId="77777777" w:rsidTr="00810567">
        <w:tc>
          <w:tcPr>
            <w:tcW w:w="3812" w:type="dxa"/>
            <w:tcBorders>
              <w:top w:val="single" w:sz="4" w:space="0" w:color="auto"/>
              <w:left w:val="single" w:sz="4" w:space="0" w:color="auto"/>
              <w:bottom w:val="nil"/>
              <w:right w:val="single" w:sz="4" w:space="0" w:color="auto"/>
            </w:tcBorders>
            <w:shd w:val="clear" w:color="auto" w:fill="E2E2E2"/>
          </w:tcPr>
          <w:p w14:paraId="0DE93A4D"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476E5EF5"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703DC5AD"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284" w:type="dxa"/>
                <w:tcBorders>
                  <w:top w:val="single" w:sz="4" w:space="0" w:color="auto"/>
                  <w:left w:val="nil"/>
                  <w:bottom w:val="dotted" w:sz="4" w:space="0" w:color="auto"/>
                  <w:right w:val="nil"/>
                </w:tcBorders>
              </w:tcPr>
              <w:p w14:paraId="0CD5748A" w14:textId="77777777" w:rsidR="00FE5398" w:rsidRPr="00612E08" w:rsidRDefault="00FE5398" w:rsidP="00FE539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87" w:type="dxa"/>
            <w:gridSpan w:val="2"/>
            <w:tcBorders>
              <w:top w:val="single" w:sz="4" w:space="0" w:color="auto"/>
              <w:left w:val="nil"/>
              <w:bottom w:val="dotted" w:sz="4" w:space="0" w:color="auto"/>
              <w:right w:val="nil"/>
            </w:tcBorders>
          </w:tcPr>
          <w:p w14:paraId="73E47AD1"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14:paraId="1F4895F8" w14:textId="77777777" w:rsidR="00FE5398" w:rsidRPr="00612E08" w:rsidRDefault="00FE5398" w:rsidP="00FE5398">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EAE1041" w14:textId="77777777" w:rsidR="00FE5398" w:rsidRPr="00612E08" w:rsidRDefault="00FE5398" w:rsidP="00FE539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FE5398" w:rsidRPr="00612E08" w14:paraId="56E67993" w14:textId="77777777" w:rsidTr="00810567">
        <w:tc>
          <w:tcPr>
            <w:tcW w:w="3812" w:type="dxa"/>
            <w:tcBorders>
              <w:top w:val="nil"/>
              <w:left w:val="single" w:sz="4" w:space="0" w:color="auto"/>
              <w:bottom w:val="nil"/>
              <w:right w:val="single" w:sz="4" w:space="0" w:color="auto"/>
            </w:tcBorders>
            <w:shd w:val="clear" w:color="auto" w:fill="E2E2E2"/>
          </w:tcPr>
          <w:p w14:paraId="733AD5B3"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3325344E"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35546CFA"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2E58818" w14:textId="6AABA36E" w:rsidR="00FE5398" w:rsidRPr="00612E08" w:rsidRDefault="00C77E1D" w:rsidP="00FE539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AA2A8F5"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284" w:type="dxa"/>
                <w:tcBorders>
                  <w:top w:val="dotted" w:sz="4" w:space="0" w:color="auto"/>
                  <w:left w:val="nil"/>
                  <w:bottom w:val="dotted" w:sz="4" w:space="0" w:color="auto"/>
                  <w:right w:val="nil"/>
                </w:tcBorders>
                <w:vAlign w:val="center"/>
              </w:tcPr>
              <w:p w14:paraId="0D38873E" w14:textId="2EEB0748" w:rsidR="00FE5398" w:rsidRPr="00612E08" w:rsidRDefault="00854CB9" w:rsidP="00FE539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87" w:type="dxa"/>
            <w:gridSpan w:val="2"/>
            <w:tcBorders>
              <w:top w:val="dotted" w:sz="4" w:space="0" w:color="auto"/>
              <w:left w:val="nil"/>
              <w:bottom w:val="dotted" w:sz="4" w:space="0" w:color="auto"/>
              <w:right w:val="nil"/>
            </w:tcBorders>
            <w:vAlign w:val="center"/>
          </w:tcPr>
          <w:p w14:paraId="4CA8FD89"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0A134A76" w14:textId="77777777" w:rsidR="00FE5398" w:rsidRPr="00612E08" w:rsidRDefault="00FE5398" w:rsidP="00FE5398">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11C549B" w14:textId="77777777" w:rsidR="00FE5398" w:rsidRPr="00612E08" w:rsidRDefault="00FE5398" w:rsidP="00FE539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FE5398" w:rsidRPr="00612E08" w14:paraId="2D251A97" w14:textId="77777777" w:rsidTr="00810567">
        <w:tc>
          <w:tcPr>
            <w:tcW w:w="3812" w:type="dxa"/>
            <w:tcBorders>
              <w:top w:val="nil"/>
              <w:left w:val="single" w:sz="4" w:space="0" w:color="auto"/>
              <w:bottom w:val="nil"/>
              <w:right w:val="single" w:sz="4" w:space="0" w:color="auto"/>
            </w:tcBorders>
            <w:shd w:val="clear" w:color="auto" w:fill="E2E2E2"/>
          </w:tcPr>
          <w:p w14:paraId="62D2F03D"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1574D52"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D3E119E"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284" w:type="dxa"/>
                <w:tcBorders>
                  <w:top w:val="dotted" w:sz="4" w:space="0" w:color="auto"/>
                  <w:left w:val="nil"/>
                  <w:bottom w:val="dotted" w:sz="4" w:space="0" w:color="auto"/>
                  <w:right w:val="nil"/>
                </w:tcBorders>
              </w:tcPr>
              <w:p w14:paraId="7136912B" w14:textId="77777777" w:rsidR="00FE5398" w:rsidRPr="00612E08" w:rsidRDefault="00FE5398" w:rsidP="00FE539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87" w:type="dxa"/>
            <w:gridSpan w:val="2"/>
            <w:tcBorders>
              <w:top w:val="dotted" w:sz="4" w:space="0" w:color="auto"/>
              <w:left w:val="nil"/>
              <w:bottom w:val="dotted" w:sz="4" w:space="0" w:color="auto"/>
              <w:right w:val="nil"/>
            </w:tcBorders>
          </w:tcPr>
          <w:p w14:paraId="556C165B"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14:paraId="2EA28517" w14:textId="77777777" w:rsidR="00FE5398" w:rsidRPr="00612E08" w:rsidRDefault="00FE5398" w:rsidP="00FE5398">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2BD889A4" w14:textId="77777777" w:rsidR="00FE5398" w:rsidRPr="00612E08" w:rsidRDefault="00FE5398" w:rsidP="00FE539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FE5398" w:rsidRPr="00612E08" w14:paraId="111B6B73" w14:textId="77777777" w:rsidTr="00810567">
        <w:tc>
          <w:tcPr>
            <w:tcW w:w="3812" w:type="dxa"/>
            <w:tcBorders>
              <w:top w:val="nil"/>
              <w:left w:val="single" w:sz="4" w:space="0" w:color="auto"/>
              <w:bottom w:val="single" w:sz="4" w:space="0" w:color="auto"/>
              <w:right w:val="single" w:sz="4" w:space="0" w:color="auto"/>
            </w:tcBorders>
            <w:shd w:val="clear" w:color="auto" w:fill="E2E2E2"/>
          </w:tcPr>
          <w:p w14:paraId="0379EDAC" w14:textId="77777777" w:rsidR="00FE5398" w:rsidRPr="00612E08" w:rsidRDefault="00FE5398" w:rsidP="00FE539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779F98A7" w14:textId="77777777" w:rsidR="00FE5398" w:rsidRPr="00612E08" w:rsidRDefault="00FE5398" w:rsidP="00FE539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0B02F36" w14:textId="42604555" w:rsidR="00FE5398" w:rsidRPr="00612E08" w:rsidRDefault="00C77E1D" w:rsidP="00FE539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420FFDDD"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284" w:type="dxa"/>
                <w:tcBorders>
                  <w:top w:val="dotted" w:sz="4" w:space="0" w:color="auto"/>
                  <w:left w:val="nil"/>
                  <w:bottom w:val="single" w:sz="4" w:space="0" w:color="auto"/>
                  <w:right w:val="nil"/>
                </w:tcBorders>
                <w:vAlign w:val="center"/>
              </w:tcPr>
              <w:p w14:paraId="7A8AD98E" w14:textId="62674A82" w:rsidR="00FE5398" w:rsidRPr="00612E08" w:rsidRDefault="00174C99" w:rsidP="00FE539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87" w:type="dxa"/>
            <w:gridSpan w:val="2"/>
            <w:tcBorders>
              <w:top w:val="dotted" w:sz="4" w:space="0" w:color="auto"/>
              <w:left w:val="nil"/>
              <w:bottom w:val="single" w:sz="4" w:space="0" w:color="auto"/>
              <w:right w:val="nil"/>
            </w:tcBorders>
            <w:vAlign w:val="center"/>
          </w:tcPr>
          <w:p w14:paraId="3BC9075C"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14:paraId="2A2C281E" w14:textId="77777777" w:rsidR="00FE5398" w:rsidRPr="00612E08" w:rsidRDefault="00FE5398" w:rsidP="00FE539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B0BDC9D" w14:textId="77777777" w:rsidR="00FE5398" w:rsidRPr="00612E08" w:rsidRDefault="00FE5398" w:rsidP="00FE539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FE5398" w:rsidRPr="00612E08" w14:paraId="321107BD" w14:textId="77777777" w:rsidTr="00810567">
        <w:tc>
          <w:tcPr>
            <w:tcW w:w="3812" w:type="dxa"/>
            <w:tcBorders>
              <w:top w:val="single" w:sz="4" w:space="0" w:color="auto"/>
              <w:left w:val="single" w:sz="4" w:space="0" w:color="auto"/>
              <w:bottom w:val="single" w:sz="4" w:space="0" w:color="auto"/>
              <w:right w:val="single" w:sz="4" w:space="0" w:color="auto"/>
            </w:tcBorders>
            <w:shd w:val="clear" w:color="auto" w:fill="E2E2E2"/>
          </w:tcPr>
          <w:p w14:paraId="63F5CA5B" w14:textId="77777777" w:rsidR="00FE5398" w:rsidRPr="00612E08" w:rsidRDefault="00FE5398" w:rsidP="00FE539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6760EC02" w14:textId="77777777" w:rsidR="00FE5398" w:rsidRPr="00612E08" w:rsidRDefault="00FE5398" w:rsidP="00FE539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C4AF899"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284" w:type="dxa"/>
            <w:tcBorders>
              <w:top w:val="single" w:sz="4" w:space="0" w:color="auto"/>
              <w:left w:val="nil"/>
              <w:bottom w:val="single" w:sz="4" w:space="0" w:color="auto"/>
              <w:right w:val="nil"/>
            </w:tcBorders>
            <w:vAlign w:val="center"/>
          </w:tcPr>
          <w:p w14:paraId="332FC054" w14:textId="77777777" w:rsidR="00FE5398" w:rsidRPr="00612E08" w:rsidRDefault="00FE5398" w:rsidP="00FE5398">
            <w:pPr>
              <w:jc w:val="center"/>
              <w:rPr>
                <w:rFonts w:ascii="Times New Roman" w:eastAsia="Times New Roman" w:hAnsi="Times New Roman" w:cs="Times New Roman"/>
                <w:sz w:val="20"/>
                <w:szCs w:val="20"/>
                <w:lang w:eastAsia="sk-SK"/>
              </w:rPr>
            </w:pPr>
          </w:p>
        </w:tc>
        <w:tc>
          <w:tcPr>
            <w:tcW w:w="1387" w:type="dxa"/>
            <w:gridSpan w:val="2"/>
            <w:tcBorders>
              <w:top w:val="single" w:sz="4" w:space="0" w:color="auto"/>
              <w:left w:val="nil"/>
              <w:bottom w:val="single" w:sz="4" w:space="0" w:color="auto"/>
              <w:right w:val="nil"/>
            </w:tcBorders>
            <w:vAlign w:val="center"/>
          </w:tcPr>
          <w:p w14:paraId="49F21993" w14:textId="77777777" w:rsidR="00FE5398" w:rsidRPr="00612E08" w:rsidRDefault="00FE5398" w:rsidP="00FE539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67CC0C0B" w14:textId="77777777" w:rsidR="00FE5398" w:rsidRPr="00612E08" w:rsidRDefault="00FE5398" w:rsidP="00FE5398">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9F6F490" w14:textId="77777777" w:rsidR="00FE5398" w:rsidRPr="00612E08" w:rsidRDefault="00FE5398" w:rsidP="00FE539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FE5398" w:rsidRPr="00612E08" w14:paraId="2036510E" w14:textId="77777777" w:rsidTr="00810567">
        <w:tc>
          <w:tcPr>
            <w:tcW w:w="3812" w:type="dxa"/>
            <w:tcBorders>
              <w:top w:val="single" w:sz="4" w:space="0" w:color="auto"/>
              <w:left w:val="single" w:sz="4" w:space="0" w:color="auto"/>
              <w:bottom w:val="single" w:sz="4" w:space="0" w:color="auto"/>
              <w:right w:val="single" w:sz="4" w:space="0" w:color="auto"/>
            </w:tcBorders>
            <w:shd w:val="clear" w:color="auto" w:fill="E2E2E2"/>
          </w:tcPr>
          <w:p w14:paraId="5262A5D1"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D8019B2" w14:textId="77777777" w:rsidR="00FE5398" w:rsidRPr="00612E08" w:rsidRDefault="00FE5398" w:rsidP="00FE539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666822E"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284" w:type="dxa"/>
                <w:tcBorders>
                  <w:top w:val="single" w:sz="4" w:space="0" w:color="auto"/>
                  <w:left w:val="nil"/>
                  <w:bottom w:val="single" w:sz="4" w:space="0" w:color="auto"/>
                  <w:right w:val="nil"/>
                </w:tcBorders>
                <w:vAlign w:val="center"/>
              </w:tcPr>
              <w:p w14:paraId="459CE13F" w14:textId="77777777" w:rsidR="00FE5398" w:rsidRPr="00612E08" w:rsidRDefault="00FE5398" w:rsidP="00FE5398">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87" w:type="dxa"/>
            <w:gridSpan w:val="2"/>
            <w:tcBorders>
              <w:top w:val="single" w:sz="4" w:space="0" w:color="auto"/>
              <w:left w:val="nil"/>
              <w:bottom w:val="single" w:sz="4" w:space="0" w:color="auto"/>
              <w:right w:val="nil"/>
            </w:tcBorders>
            <w:vAlign w:val="center"/>
          </w:tcPr>
          <w:p w14:paraId="2E7A131E"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1C3C2896" w14:textId="77777777" w:rsidR="00FE5398" w:rsidRPr="00612E08" w:rsidRDefault="00FE5398" w:rsidP="00FE539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AEDCF4B" w14:textId="77777777" w:rsidR="00FE5398" w:rsidRPr="00612E08" w:rsidRDefault="00FE5398" w:rsidP="00FE539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FE5398" w:rsidRPr="00612E08" w14:paraId="4AB83ED4" w14:textId="77777777" w:rsidTr="00810567">
        <w:tc>
          <w:tcPr>
            <w:tcW w:w="3812" w:type="dxa"/>
            <w:tcBorders>
              <w:top w:val="single" w:sz="4" w:space="0" w:color="auto"/>
              <w:left w:val="single" w:sz="4" w:space="0" w:color="auto"/>
              <w:bottom w:val="nil"/>
              <w:right w:val="single" w:sz="4" w:space="0" w:color="auto"/>
            </w:tcBorders>
            <w:shd w:val="clear" w:color="auto" w:fill="E2E2E2"/>
          </w:tcPr>
          <w:p w14:paraId="5ED053A3"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9256DFA"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BF900E3" w14:textId="77777777" w:rsidR="00FE5398" w:rsidRPr="00612E08" w:rsidRDefault="00FE5398" w:rsidP="00FE539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284" w:type="dxa"/>
                <w:tcBorders>
                  <w:top w:val="single" w:sz="4" w:space="0" w:color="auto"/>
                  <w:left w:val="nil"/>
                  <w:bottom w:val="dotted" w:sz="4" w:space="0" w:color="auto"/>
                  <w:right w:val="nil"/>
                </w:tcBorders>
                <w:vAlign w:val="center"/>
              </w:tcPr>
              <w:p w14:paraId="0AA3E20E" w14:textId="77777777" w:rsidR="00FE5398" w:rsidRPr="00612E08" w:rsidRDefault="00FE5398" w:rsidP="00FE539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87" w:type="dxa"/>
            <w:gridSpan w:val="2"/>
            <w:tcBorders>
              <w:top w:val="single" w:sz="4" w:space="0" w:color="auto"/>
              <w:left w:val="nil"/>
              <w:bottom w:val="dotted" w:sz="4" w:space="0" w:color="auto"/>
              <w:right w:val="nil"/>
            </w:tcBorders>
            <w:vAlign w:val="center"/>
          </w:tcPr>
          <w:p w14:paraId="4C23E18B"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14:paraId="17905CA7"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83F2D44" w14:textId="77777777" w:rsidR="00FE5398" w:rsidRPr="00612E08" w:rsidRDefault="00FE5398" w:rsidP="00FE539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FE5398" w:rsidRPr="00612E08" w14:paraId="64C51698" w14:textId="77777777" w:rsidTr="00810567">
        <w:tc>
          <w:tcPr>
            <w:tcW w:w="3812" w:type="dxa"/>
            <w:tcBorders>
              <w:top w:val="nil"/>
              <w:left w:val="single" w:sz="4" w:space="0" w:color="000000"/>
              <w:bottom w:val="nil"/>
              <w:right w:val="single" w:sz="4" w:space="0" w:color="000000"/>
            </w:tcBorders>
            <w:shd w:val="clear" w:color="auto" w:fill="E2E2E2"/>
          </w:tcPr>
          <w:p w14:paraId="194F1C8A"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0B06A597" w14:textId="77777777" w:rsidR="00FE5398" w:rsidRPr="00612E08" w:rsidRDefault="00FE5398" w:rsidP="00FE539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190B41F6" w14:textId="77777777" w:rsidR="00FE5398" w:rsidRPr="00612E08" w:rsidRDefault="00FE5398" w:rsidP="00FE539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FEE455E" w14:textId="77777777" w:rsidR="00FE5398" w:rsidRPr="00612E08" w:rsidRDefault="00FE5398" w:rsidP="00FE5398">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284" w:type="dxa"/>
                <w:tcBorders>
                  <w:top w:val="dotted" w:sz="4" w:space="0" w:color="auto"/>
                  <w:left w:val="nil"/>
                  <w:bottom w:val="dotted" w:sz="4" w:space="0" w:color="auto"/>
                  <w:right w:val="nil"/>
                </w:tcBorders>
                <w:vAlign w:val="center"/>
              </w:tcPr>
              <w:p w14:paraId="52E82088" w14:textId="77777777" w:rsidR="00FE5398" w:rsidRPr="00612E08" w:rsidRDefault="00FE5398" w:rsidP="00FE539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87" w:type="dxa"/>
            <w:gridSpan w:val="2"/>
            <w:tcBorders>
              <w:top w:val="dotted" w:sz="4" w:space="0" w:color="auto"/>
              <w:left w:val="nil"/>
              <w:bottom w:val="dotted" w:sz="4" w:space="0" w:color="auto"/>
              <w:right w:val="nil"/>
            </w:tcBorders>
            <w:vAlign w:val="center"/>
          </w:tcPr>
          <w:p w14:paraId="2E34E523"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3E47407D" w14:textId="77777777" w:rsidR="00FE5398" w:rsidRPr="00612E08" w:rsidRDefault="00FE5398" w:rsidP="00FE539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E81CDE8" w14:textId="77777777" w:rsidR="00FE5398" w:rsidRPr="00612E08" w:rsidRDefault="00FE5398" w:rsidP="00FE5398">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FE5398" w:rsidRPr="00612E08" w14:paraId="1FD0EFF2" w14:textId="77777777" w:rsidTr="00810567">
        <w:tc>
          <w:tcPr>
            <w:tcW w:w="3812" w:type="dxa"/>
            <w:tcBorders>
              <w:top w:val="nil"/>
              <w:left w:val="single" w:sz="4" w:space="0" w:color="000000"/>
              <w:bottom w:val="nil"/>
              <w:right w:val="single" w:sz="4" w:space="0" w:color="000000"/>
            </w:tcBorders>
            <w:shd w:val="clear" w:color="auto" w:fill="E2E2E2"/>
          </w:tcPr>
          <w:p w14:paraId="7800B2D6" w14:textId="77777777" w:rsidR="00FE5398" w:rsidRPr="00612E08" w:rsidRDefault="00FE5398" w:rsidP="00FE539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Mechanizmus znižovania byrokracie    </w:t>
            </w:r>
          </w:p>
          <w:p w14:paraId="4DD9B1FB"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sz w:val="20"/>
              <w:szCs w:val="20"/>
              <w:lang w:eastAsia="sk-SK"/>
            </w:rPr>
            <w:id w:val="-61660479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38DB5F0" w14:textId="77777777" w:rsidR="00FE5398" w:rsidRPr="00612E08" w:rsidRDefault="00FE5398" w:rsidP="00FE539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E89842A" w14:textId="77777777" w:rsidR="00FE5398" w:rsidRPr="00612E08" w:rsidRDefault="00FE5398" w:rsidP="00FE539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284" w:type="dxa"/>
            <w:tcBorders>
              <w:top w:val="dotted" w:sz="4" w:space="0" w:color="auto"/>
              <w:left w:val="nil"/>
              <w:bottom w:val="dotted" w:sz="4" w:space="0" w:color="auto"/>
              <w:right w:val="nil"/>
            </w:tcBorders>
            <w:vAlign w:val="center"/>
          </w:tcPr>
          <w:p w14:paraId="5CA02023" w14:textId="77777777" w:rsidR="00FE5398" w:rsidRPr="00612E08" w:rsidRDefault="00FE5398" w:rsidP="00FE5398">
            <w:pPr>
              <w:jc w:val="center"/>
              <w:rPr>
                <w:rFonts w:ascii="Times New Roman" w:eastAsia="Times New Roman" w:hAnsi="Times New Roman" w:cs="Times New Roman"/>
                <w:sz w:val="20"/>
                <w:szCs w:val="20"/>
                <w:lang w:eastAsia="sk-SK"/>
              </w:rPr>
            </w:pPr>
          </w:p>
        </w:tc>
        <w:tc>
          <w:tcPr>
            <w:tcW w:w="1387" w:type="dxa"/>
            <w:gridSpan w:val="2"/>
            <w:tcBorders>
              <w:top w:val="dotted" w:sz="4" w:space="0" w:color="auto"/>
              <w:left w:val="nil"/>
              <w:bottom w:val="dotted" w:sz="4" w:space="0" w:color="auto"/>
              <w:right w:val="nil"/>
            </w:tcBorders>
            <w:vAlign w:val="center"/>
          </w:tcPr>
          <w:p w14:paraId="05FDD99A" w14:textId="77777777" w:rsidR="00FE5398" w:rsidRPr="00612E08" w:rsidRDefault="00FE5398" w:rsidP="00FE5398">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42107507"/>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76919839" w14:textId="77777777" w:rsidR="00FE5398" w:rsidRPr="00612E08" w:rsidRDefault="00FE5398" w:rsidP="00FE5398">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A89B426" w14:textId="77777777" w:rsidR="00FE5398" w:rsidRPr="00612E08" w:rsidRDefault="00FE5398" w:rsidP="00FE539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FE5398" w:rsidRPr="00612E08" w14:paraId="6AC19AA9" w14:textId="77777777" w:rsidTr="00810567">
        <w:tc>
          <w:tcPr>
            <w:tcW w:w="3812" w:type="dxa"/>
            <w:tcBorders>
              <w:top w:val="single" w:sz="4" w:space="0" w:color="000000"/>
              <w:left w:val="single" w:sz="4" w:space="0" w:color="auto"/>
              <w:bottom w:val="single" w:sz="4" w:space="0" w:color="auto"/>
              <w:right w:val="single" w:sz="4" w:space="0" w:color="auto"/>
            </w:tcBorders>
            <w:shd w:val="clear" w:color="auto" w:fill="E2E2E2"/>
          </w:tcPr>
          <w:p w14:paraId="2D91DE19"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0022DFD"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EAB12A1" w14:textId="77777777" w:rsidR="00FE5398" w:rsidRPr="00612E08" w:rsidRDefault="00FE5398" w:rsidP="00FE539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284" w:type="dxa"/>
                <w:tcBorders>
                  <w:top w:val="single" w:sz="4" w:space="0" w:color="auto"/>
                  <w:left w:val="nil"/>
                  <w:bottom w:val="single" w:sz="4" w:space="0" w:color="auto"/>
                  <w:right w:val="nil"/>
                </w:tcBorders>
              </w:tcPr>
              <w:p w14:paraId="03F6B4E3" w14:textId="77777777" w:rsidR="00FE5398" w:rsidRPr="00612E08" w:rsidRDefault="00FE5398" w:rsidP="00FE539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87" w:type="dxa"/>
            <w:gridSpan w:val="2"/>
            <w:tcBorders>
              <w:top w:val="single" w:sz="4" w:space="0" w:color="auto"/>
              <w:left w:val="nil"/>
              <w:bottom w:val="single" w:sz="4" w:space="0" w:color="auto"/>
              <w:right w:val="nil"/>
            </w:tcBorders>
          </w:tcPr>
          <w:p w14:paraId="2A860876"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72FF5FD8"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A0CDE86" w14:textId="77777777" w:rsidR="00FE5398" w:rsidRPr="00612E08" w:rsidRDefault="00FE5398" w:rsidP="00FE539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FE5398" w:rsidRPr="00612E08" w14:paraId="7217FFA3" w14:textId="77777777" w:rsidTr="00810567">
        <w:tc>
          <w:tcPr>
            <w:tcW w:w="3812" w:type="dxa"/>
            <w:tcBorders>
              <w:top w:val="single" w:sz="4" w:space="0" w:color="auto"/>
              <w:left w:val="single" w:sz="4" w:space="0" w:color="auto"/>
              <w:bottom w:val="nil"/>
              <w:right w:val="single" w:sz="4" w:space="0" w:color="auto"/>
            </w:tcBorders>
            <w:shd w:val="clear" w:color="auto" w:fill="E2E2E2"/>
          </w:tcPr>
          <w:p w14:paraId="20573963"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D414555" w14:textId="77777777" w:rsidR="00FE5398" w:rsidRPr="00612E08" w:rsidRDefault="00FE5398" w:rsidP="00FE539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C0DBAD3" w14:textId="77777777" w:rsidR="00FE5398" w:rsidRPr="00612E08" w:rsidRDefault="00FE5398" w:rsidP="00FE539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284" w:type="dxa"/>
                <w:tcBorders>
                  <w:top w:val="single" w:sz="4" w:space="0" w:color="auto"/>
                  <w:left w:val="nil"/>
                  <w:bottom w:val="single" w:sz="4" w:space="0" w:color="auto"/>
                  <w:right w:val="nil"/>
                </w:tcBorders>
              </w:tcPr>
              <w:p w14:paraId="15C50E8A" w14:textId="77777777" w:rsidR="00FE5398" w:rsidRPr="00612E08" w:rsidRDefault="00FE5398" w:rsidP="00FE539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87" w:type="dxa"/>
            <w:gridSpan w:val="2"/>
            <w:tcBorders>
              <w:top w:val="single" w:sz="4" w:space="0" w:color="auto"/>
              <w:left w:val="nil"/>
              <w:bottom w:val="single" w:sz="4" w:space="0" w:color="auto"/>
              <w:right w:val="nil"/>
            </w:tcBorders>
          </w:tcPr>
          <w:p w14:paraId="43CB8E76"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732525E6"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32BCB02" w14:textId="77777777" w:rsidR="00FE5398" w:rsidRPr="00612E08" w:rsidRDefault="00FE5398" w:rsidP="00FE539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FE5398" w:rsidRPr="00612E08" w14:paraId="1B9A4B57" w14:textId="77777777" w:rsidTr="00810567">
        <w:tc>
          <w:tcPr>
            <w:tcW w:w="3812" w:type="dxa"/>
            <w:tcBorders>
              <w:top w:val="nil"/>
              <w:left w:val="single" w:sz="4" w:space="0" w:color="auto"/>
              <w:bottom w:val="single" w:sz="4" w:space="0" w:color="auto"/>
              <w:right w:val="single" w:sz="4" w:space="0" w:color="auto"/>
            </w:tcBorders>
            <w:shd w:val="clear" w:color="auto" w:fill="E2E2E2"/>
          </w:tcPr>
          <w:p w14:paraId="1DB7106B" w14:textId="77777777" w:rsidR="00FE5398" w:rsidRPr="00612E08" w:rsidRDefault="00FE5398" w:rsidP="00FE5398">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2FDAA9F"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8874FC2" w14:textId="77777777" w:rsidR="00FE5398" w:rsidRPr="00612E08" w:rsidRDefault="00FE5398" w:rsidP="00FE539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84" w:type="dxa"/>
            <w:tcBorders>
              <w:top w:val="single" w:sz="4" w:space="0" w:color="auto"/>
              <w:left w:val="nil"/>
              <w:bottom w:val="single" w:sz="4" w:space="0" w:color="auto"/>
              <w:right w:val="nil"/>
            </w:tcBorders>
            <w:vAlign w:val="center"/>
          </w:tcPr>
          <w:p w14:paraId="6A0B8F94" w14:textId="77777777" w:rsidR="00FE5398" w:rsidRPr="00612E08" w:rsidRDefault="00FE5398" w:rsidP="00FE5398">
            <w:pPr>
              <w:jc w:val="center"/>
              <w:rPr>
                <w:rFonts w:ascii="Times New Roman" w:eastAsia="Times New Roman" w:hAnsi="Times New Roman" w:cs="Times New Roman"/>
                <w:b/>
                <w:sz w:val="20"/>
                <w:szCs w:val="20"/>
                <w:lang w:eastAsia="sk-SK"/>
              </w:rPr>
            </w:pPr>
          </w:p>
        </w:tc>
        <w:tc>
          <w:tcPr>
            <w:tcW w:w="1387" w:type="dxa"/>
            <w:gridSpan w:val="2"/>
            <w:tcBorders>
              <w:top w:val="single" w:sz="4" w:space="0" w:color="auto"/>
              <w:left w:val="nil"/>
              <w:bottom w:val="single" w:sz="4" w:space="0" w:color="auto"/>
              <w:right w:val="nil"/>
            </w:tcBorders>
            <w:vAlign w:val="center"/>
          </w:tcPr>
          <w:p w14:paraId="58901341" w14:textId="77777777" w:rsidR="00FE5398" w:rsidRPr="00612E08" w:rsidRDefault="00FE5398" w:rsidP="00FE5398">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sz w:val="20"/>
              <w:szCs w:val="20"/>
              <w:lang w:eastAsia="sk-SK"/>
            </w:rPr>
            <w:id w:val="1786776775"/>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A3F936F" w14:textId="77777777" w:rsidR="00FE5398" w:rsidRPr="000E1563" w:rsidRDefault="00FE5398" w:rsidP="00FE539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407D599" w14:textId="77777777" w:rsidR="00FE5398" w:rsidRPr="00612E08" w:rsidRDefault="00FE5398" w:rsidP="00FE539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FE5398" w:rsidRPr="00612E08" w14:paraId="56BF9E22" w14:textId="77777777" w:rsidTr="00810567">
        <w:tc>
          <w:tcPr>
            <w:tcW w:w="3812" w:type="dxa"/>
            <w:tcBorders>
              <w:top w:val="single" w:sz="4" w:space="0" w:color="auto"/>
              <w:left w:val="single" w:sz="4" w:space="0" w:color="auto"/>
              <w:bottom w:val="single" w:sz="4" w:space="0" w:color="auto"/>
              <w:right w:val="single" w:sz="4" w:space="0" w:color="auto"/>
            </w:tcBorders>
            <w:shd w:val="clear" w:color="auto" w:fill="E2E2E2"/>
          </w:tcPr>
          <w:p w14:paraId="09490CA5"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276C6B8"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1B26433" w14:textId="77777777" w:rsidR="00FE5398" w:rsidRPr="00612E08" w:rsidRDefault="00FE5398" w:rsidP="00FE539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284" w:type="dxa"/>
                <w:tcBorders>
                  <w:top w:val="single" w:sz="4" w:space="0" w:color="auto"/>
                  <w:left w:val="nil"/>
                  <w:bottom w:val="single" w:sz="4" w:space="0" w:color="auto"/>
                  <w:right w:val="nil"/>
                </w:tcBorders>
              </w:tcPr>
              <w:p w14:paraId="23BACCD3" w14:textId="77777777" w:rsidR="00FE5398" w:rsidRPr="00612E08" w:rsidRDefault="00FE5398" w:rsidP="00FE539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87" w:type="dxa"/>
            <w:gridSpan w:val="2"/>
            <w:tcBorders>
              <w:top w:val="single" w:sz="4" w:space="0" w:color="auto"/>
              <w:left w:val="nil"/>
              <w:bottom w:val="single" w:sz="4" w:space="0" w:color="auto"/>
              <w:right w:val="nil"/>
            </w:tcBorders>
          </w:tcPr>
          <w:p w14:paraId="50507B64" w14:textId="77777777" w:rsidR="00FE5398" w:rsidRPr="00612E08" w:rsidRDefault="00FE5398" w:rsidP="00FE539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3A9A82C5" w14:textId="77777777" w:rsidR="00FE5398" w:rsidRPr="00612E08" w:rsidRDefault="00FE5398" w:rsidP="00FE539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497986E" w14:textId="77777777" w:rsidR="00FE5398" w:rsidRPr="00612E08" w:rsidRDefault="00FE5398" w:rsidP="00FE539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014A42A7"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102266F4"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12D46800"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9A674CE"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1DBF482"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6E3FC177"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EEDF2D0"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988D46E"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2B7373AB" w14:textId="77777777" w:rsidTr="00B547F5">
        <w:tc>
          <w:tcPr>
            <w:tcW w:w="3812" w:type="dxa"/>
            <w:tcBorders>
              <w:top w:val="nil"/>
              <w:left w:val="single" w:sz="4" w:space="0" w:color="auto"/>
              <w:bottom w:val="nil"/>
              <w:right w:val="single" w:sz="4" w:space="0" w:color="auto"/>
            </w:tcBorders>
            <w:shd w:val="clear" w:color="auto" w:fill="E2E2E2"/>
          </w:tcPr>
          <w:p w14:paraId="18EBA71C"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376979F" w14:textId="77777777" w:rsidR="000F2BE9" w:rsidRPr="00612E08" w:rsidRDefault="000E1563"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7A36174"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1DE6130" w14:textId="77777777" w:rsidR="000F2BE9" w:rsidRPr="00612E08" w:rsidRDefault="00540FE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7B435FEA"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2C384C6"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1C98802"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106F39D" w14:textId="77777777" w:rsidTr="00B547F5">
        <w:tc>
          <w:tcPr>
            <w:tcW w:w="3812" w:type="dxa"/>
            <w:tcBorders>
              <w:top w:val="nil"/>
              <w:left w:val="single" w:sz="4" w:space="0" w:color="auto"/>
              <w:bottom w:val="nil"/>
              <w:right w:val="single" w:sz="4" w:space="0" w:color="auto"/>
            </w:tcBorders>
            <w:shd w:val="clear" w:color="auto" w:fill="E2E2E2"/>
          </w:tcPr>
          <w:p w14:paraId="072930C8"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24121FA"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7C14BF0"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D8B010B" w14:textId="77777777" w:rsidR="000F2BE9" w:rsidRPr="00612E08" w:rsidRDefault="00540FE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8B3C815"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40F933D"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4905B30"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021E0367" w14:textId="77777777" w:rsidTr="004910AD">
        <w:tc>
          <w:tcPr>
            <w:tcW w:w="3812" w:type="dxa"/>
            <w:tcBorders>
              <w:top w:val="single" w:sz="4" w:space="0" w:color="000000"/>
              <w:left w:val="single" w:sz="4" w:space="0" w:color="auto"/>
              <w:bottom w:val="single" w:sz="4" w:space="0" w:color="auto"/>
              <w:right w:val="single" w:sz="4" w:space="0" w:color="auto"/>
            </w:tcBorders>
            <w:shd w:val="clear" w:color="auto" w:fill="E2E2E2"/>
          </w:tcPr>
          <w:p w14:paraId="12BCAA33"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ADA2A09"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E8B8E5C"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AE13942" w14:textId="77777777" w:rsidR="00A340BB" w:rsidRPr="00612E08" w:rsidRDefault="00540FE8"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D5E9104"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FEDF97A"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788B1E8"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E270FCB" w14:textId="77777777" w:rsidTr="004910AD">
        <w:tc>
          <w:tcPr>
            <w:tcW w:w="9176" w:type="dxa"/>
            <w:gridSpan w:val="7"/>
            <w:tcBorders>
              <w:top w:val="single" w:sz="4" w:space="0" w:color="auto"/>
              <w:left w:val="single" w:sz="4" w:space="0" w:color="auto"/>
              <w:bottom w:val="nil"/>
              <w:right w:val="single" w:sz="4" w:space="0" w:color="auto"/>
            </w:tcBorders>
            <w:shd w:val="clear" w:color="auto" w:fill="E2E2E2"/>
          </w:tcPr>
          <w:p w14:paraId="54752C08"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26BDC7DC" w14:textId="77777777" w:rsidTr="004910AD">
        <w:trPr>
          <w:trHeight w:val="526"/>
        </w:trPr>
        <w:tc>
          <w:tcPr>
            <w:tcW w:w="9176" w:type="dxa"/>
            <w:gridSpan w:val="7"/>
            <w:tcBorders>
              <w:top w:val="nil"/>
              <w:left w:val="single" w:sz="4" w:space="0" w:color="auto"/>
              <w:bottom w:val="single" w:sz="4" w:space="0" w:color="FFFFFF"/>
              <w:right w:val="single" w:sz="4" w:space="0" w:color="auto"/>
            </w:tcBorders>
            <w:shd w:val="clear" w:color="auto" w:fill="auto"/>
          </w:tcPr>
          <w:p w14:paraId="2B95A3E8" w14:textId="77777777" w:rsidR="00540FE8" w:rsidRPr="00F26C54" w:rsidRDefault="00540FE8" w:rsidP="00F26C54">
            <w:pPr>
              <w:contextualSpacing/>
              <w:jc w:val="both"/>
              <w:rPr>
                <w:rFonts w:ascii="Times" w:hAnsi="Times" w:cs="Times"/>
                <w:sz w:val="20"/>
                <w:szCs w:val="20"/>
              </w:rPr>
            </w:pPr>
          </w:p>
        </w:tc>
      </w:tr>
      <w:tr w:rsidR="00612E08" w:rsidRPr="00612E08" w14:paraId="45AA8E91" w14:textId="77777777" w:rsidTr="004910AD">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59A90ED3"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2839DDB2" w14:textId="77777777" w:rsidTr="004910AD">
        <w:trPr>
          <w:trHeight w:val="442"/>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5F14E76C" w14:textId="77777777" w:rsidR="001B23B7" w:rsidRDefault="00206202" w:rsidP="00614FA4">
            <w:pPr>
              <w:rPr>
                <w:rFonts w:ascii="Times New Roman" w:eastAsia="Times New Roman" w:hAnsi="Times New Roman" w:cs="Times New Roman"/>
                <w:sz w:val="19"/>
                <w:szCs w:val="19"/>
                <w:lang w:eastAsia="sk-SK"/>
              </w:rPr>
            </w:pPr>
            <w:r>
              <w:rPr>
                <w:rFonts w:ascii="Times New Roman" w:eastAsia="Times New Roman" w:hAnsi="Times New Roman" w:cs="Times New Roman"/>
                <w:sz w:val="19"/>
                <w:szCs w:val="19"/>
                <w:lang w:eastAsia="sk-SK"/>
              </w:rPr>
              <w:lastRenderedPageBreak/>
              <w:t xml:space="preserve">JUDr. Andrea Ščevíková, sekcia legislatívy, </w:t>
            </w:r>
            <w:hyperlink r:id="rId10" w:history="1">
              <w:r w:rsidR="005508BD" w:rsidRPr="007B144D">
                <w:rPr>
                  <w:rStyle w:val="Hypertextovprepojenie"/>
                  <w:rFonts w:ascii="Times New Roman" w:eastAsia="Times New Roman" w:hAnsi="Times New Roman" w:cs="Times New Roman"/>
                  <w:sz w:val="19"/>
                  <w:szCs w:val="19"/>
                  <w:lang w:eastAsia="sk-SK"/>
                </w:rPr>
                <w:t>andrea.scevikova@justice.sk</w:t>
              </w:r>
            </w:hyperlink>
            <w:r>
              <w:rPr>
                <w:rFonts w:ascii="Times New Roman" w:eastAsia="Times New Roman" w:hAnsi="Times New Roman" w:cs="Times New Roman"/>
                <w:sz w:val="19"/>
                <w:szCs w:val="19"/>
                <w:lang w:eastAsia="sk-SK"/>
              </w:rPr>
              <w:t xml:space="preserve">  </w:t>
            </w:r>
          </w:p>
          <w:p w14:paraId="3B2C2951" w14:textId="498A1E96" w:rsidR="00963B9A" w:rsidRPr="00206202" w:rsidRDefault="00963B9A" w:rsidP="00614FA4">
            <w:pPr>
              <w:rPr>
                <w:rFonts w:ascii="Times New Roman" w:eastAsia="Times New Roman" w:hAnsi="Times New Roman" w:cs="Times New Roman"/>
                <w:sz w:val="19"/>
                <w:szCs w:val="19"/>
                <w:lang w:eastAsia="sk-SK"/>
              </w:rPr>
            </w:pPr>
            <w:r>
              <w:rPr>
                <w:rFonts w:ascii="Times New Roman" w:eastAsia="Times New Roman" w:hAnsi="Times New Roman" w:cs="Times New Roman"/>
                <w:sz w:val="19"/>
                <w:szCs w:val="19"/>
                <w:lang w:eastAsia="sk-SK"/>
              </w:rPr>
              <w:t>00421 2888 91448</w:t>
            </w:r>
          </w:p>
        </w:tc>
      </w:tr>
      <w:tr w:rsidR="00612E08" w:rsidRPr="00612E08" w14:paraId="05482CF0" w14:textId="77777777" w:rsidTr="004910AD">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4EFAC443"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6AF66CAA" w14:textId="77777777" w:rsidTr="004910AD">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3CF0AA8F" w14:textId="77777777" w:rsidR="00732BBF" w:rsidRPr="00501715" w:rsidRDefault="00501715" w:rsidP="004910AD">
            <w:pPr>
              <w:rPr>
                <w:rFonts w:ascii="Times New Roman" w:eastAsia="Times New Roman" w:hAnsi="Times New Roman" w:cs="Times New Roman"/>
                <w:sz w:val="20"/>
                <w:szCs w:val="20"/>
                <w:lang w:eastAsia="sk-SK"/>
              </w:rPr>
            </w:pPr>
            <w:r w:rsidRPr="00501715">
              <w:rPr>
                <w:rFonts w:ascii="Times New Roman" w:eastAsia="Times New Roman" w:hAnsi="Times New Roman" w:cs="Times New Roman"/>
                <w:sz w:val="20"/>
                <w:szCs w:val="20"/>
                <w:lang w:eastAsia="sk-SK"/>
              </w:rPr>
              <w:t>Predkladateľ čerpal pri príprave návrhu zákona z podkladov spracovaných Justičnou akadémiou Slovenskej republiky, ako aj z požiadaviek aplikačnej praxe.</w:t>
            </w:r>
          </w:p>
          <w:p w14:paraId="77CC12B4" w14:textId="77777777" w:rsidR="001B23B7" w:rsidRPr="00732BBF" w:rsidRDefault="001B23B7" w:rsidP="00732BBF">
            <w:pPr>
              <w:jc w:val="right"/>
              <w:rPr>
                <w:rFonts w:ascii="Times New Roman" w:eastAsia="Times New Roman" w:hAnsi="Times New Roman" w:cs="Times New Roman"/>
                <w:sz w:val="20"/>
                <w:szCs w:val="20"/>
                <w:lang w:eastAsia="sk-SK"/>
              </w:rPr>
            </w:pPr>
          </w:p>
        </w:tc>
      </w:tr>
      <w:tr w:rsidR="00612E08" w:rsidRPr="00612E08" w14:paraId="1725F949" w14:textId="77777777" w:rsidTr="004910AD">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0AB3978B" w14:textId="0005A355"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w:t>
            </w:r>
            <w:r w:rsidR="004F17FF">
              <w:rPr>
                <w:rFonts w:ascii="Times New Roman" w:eastAsia="Calibri" w:hAnsi="Times New Roman" w:cs="Times New Roman"/>
                <w:b/>
              </w:rPr>
              <w:t xml:space="preserve"> vybraných vplyvov z PPK č. 193/2024</w:t>
            </w:r>
            <w:r w:rsidRPr="00612E08">
              <w:rPr>
                <w:rFonts w:ascii="Calibri" w:eastAsia="Calibri" w:hAnsi="Calibri" w:cs="Times New Roman"/>
              </w:rPr>
              <w:t xml:space="preserve"> </w:t>
            </w:r>
          </w:p>
          <w:p w14:paraId="26C9649F"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45F7C68A" w14:textId="77777777" w:rsidTr="004910AD">
        <w:trPr>
          <w:trHeight w:val="70"/>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26D930F9" w14:textId="77777777" w:rsidR="001B23B7" w:rsidRPr="00FE539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FE5398" w14:paraId="011065D6" w14:textId="77777777" w:rsidTr="000800FC">
              <w:trPr>
                <w:trHeight w:val="396"/>
              </w:trPr>
              <w:tc>
                <w:tcPr>
                  <w:tcW w:w="2552" w:type="dxa"/>
                </w:tcPr>
                <w:p w14:paraId="753896EC" w14:textId="77777777" w:rsidR="001B23B7" w:rsidRPr="00FE5398" w:rsidRDefault="00D64A1B"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FE5398">
                        <w:rPr>
                          <w:rFonts w:ascii="Segoe UI Symbol" w:eastAsia="MS Gothic" w:hAnsi="Segoe UI Symbol" w:cs="Segoe UI Symbol"/>
                          <w:b/>
                          <w:sz w:val="20"/>
                          <w:szCs w:val="20"/>
                          <w:lang w:eastAsia="sk-SK"/>
                        </w:rPr>
                        <w:t>☐</w:t>
                      </w:r>
                    </w:sdtContent>
                  </w:sdt>
                  <w:r w:rsidR="0023360B" w:rsidRPr="00FE5398">
                    <w:rPr>
                      <w:rFonts w:ascii="Times New Roman" w:eastAsia="Times New Roman" w:hAnsi="Times New Roman" w:cs="Times New Roman"/>
                      <w:b/>
                      <w:sz w:val="20"/>
                      <w:szCs w:val="20"/>
                      <w:lang w:eastAsia="sk-SK"/>
                    </w:rPr>
                    <w:t xml:space="preserve">  </w:t>
                  </w:r>
                  <w:r w:rsidR="001B23B7" w:rsidRPr="00FE5398">
                    <w:rPr>
                      <w:rFonts w:ascii="Times New Roman" w:eastAsia="Times New Roman" w:hAnsi="Times New Roman" w:cs="Times New Roman"/>
                      <w:b/>
                      <w:sz w:val="20"/>
                      <w:szCs w:val="20"/>
                      <w:lang w:eastAsia="sk-SK"/>
                    </w:rPr>
                    <w:t xml:space="preserve">Súhlasné </w:t>
                  </w:r>
                </w:p>
              </w:tc>
              <w:tc>
                <w:tcPr>
                  <w:tcW w:w="3827" w:type="dxa"/>
                </w:tcPr>
                <w:p w14:paraId="1702CD1B" w14:textId="77777777" w:rsidR="001B23B7" w:rsidRPr="00FE5398" w:rsidRDefault="00D64A1B"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FE5398">
                        <w:rPr>
                          <w:rFonts w:ascii="Segoe UI Symbol" w:eastAsia="MS Gothic" w:hAnsi="Segoe UI Symbol" w:cs="Segoe UI Symbol"/>
                          <w:b/>
                          <w:sz w:val="20"/>
                          <w:szCs w:val="20"/>
                          <w:lang w:eastAsia="sk-SK"/>
                        </w:rPr>
                        <w:t>☐</w:t>
                      </w:r>
                    </w:sdtContent>
                  </w:sdt>
                  <w:r w:rsidR="0023360B" w:rsidRPr="00FE5398">
                    <w:rPr>
                      <w:rFonts w:ascii="Times New Roman" w:eastAsia="Times New Roman" w:hAnsi="Times New Roman" w:cs="Times New Roman"/>
                      <w:b/>
                      <w:sz w:val="20"/>
                      <w:szCs w:val="20"/>
                      <w:lang w:eastAsia="sk-SK"/>
                    </w:rPr>
                    <w:t xml:space="preserve">  </w:t>
                  </w:r>
                  <w:r w:rsidR="001B23B7" w:rsidRPr="00FE5398">
                    <w:rPr>
                      <w:rFonts w:ascii="Times New Roman" w:eastAsia="Times New Roman" w:hAnsi="Times New Roman" w:cs="Times New Roman"/>
                      <w:b/>
                      <w:sz w:val="20"/>
                      <w:szCs w:val="20"/>
                      <w:lang w:eastAsia="sk-SK"/>
                    </w:rPr>
                    <w:t>Súhlasné s návrhom na dopracovanie</w:t>
                  </w:r>
                </w:p>
              </w:tc>
              <w:tc>
                <w:tcPr>
                  <w:tcW w:w="2534" w:type="dxa"/>
                </w:tcPr>
                <w:p w14:paraId="6183318A" w14:textId="68F5590D" w:rsidR="001B23B7" w:rsidRPr="00FE5398" w:rsidRDefault="00D64A1B"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0E5B85" w:rsidRPr="00FE5398">
                        <w:rPr>
                          <w:rFonts w:ascii="Segoe UI Symbol" w:eastAsia="MS Gothic" w:hAnsi="Segoe UI Symbol" w:cs="Segoe UI Symbol"/>
                          <w:b/>
                          <w:sz w:val="20"/>
                          <w:szCs w:val="20"/>
                          <w:lang w:eastAsia="sk-SK"/>
                        </w:rPr>
                        <w:t>☒</w:t>
                      </w:r>
                    </w:sdtContent>
                  </w:sdt>
                  <w:r w:rsidR="0023360B" w:rsidRPr="00FE5398">
                    <w:rPr>
                      <w:rFonts w:ascii="Times New Roman" w:eastAsia="Times New Roman" w:hAnsi="Times New Roman" w:cs="Times New Roman"/>
                      <w:b/>
                      <w:sz w:val="20"/>
                      <w:szCs w:val="20"/>
                      <w:lang w:eastAsia="sk-SK"/>
                    </w:rPr>
                    <w:t xml:space="preserve">  </w:t>
                  </w:r>
                  <w:r w:rsidR="001B23B7" w:rsidRPr="00FE5398">
                    <w:rPr>
                      <w:rFonts w:ascii="Times New Roman" w:eastAsia="Times New Roman" w:hAnsi="Times New Roman" w:cs="Times New Roman"/>
                      <w:b/>
                      <w:sz w:val="20"/>
                      <w:szCs w:val="20"/>
                      <w:lang w:eastAsia="sk-SK"/>
                    </w:rPr>
                    <w:t>Nesúhlasné</w:t>
                  </w:r>
                </w:p>
              </w:tc>
            </w:tr>
          </w:tbl>
          <w:p w14:paraId="6D1F6907" w14:textId="77777777" w:rsidR="001B23B7" w:rsidRPr="00FE5398" w:rsidRDefault="001B23B7" w:rsidP="000800FC">
            <w:pPr>
              <w:jc w:val="both"/>
              <w:rPr>
                <w:rFonts w:ascii="Times New Roman" w:eastAsia="Times New Roman" w:hAnsi="Times New Roman" w:cs="Times New Roman"/>
                <w:b/>
                <w:sz w:val="20"/>
                <w:szCs w:val="20"/>
                <w:lang w:eastAsia="sk-SK"/>
              </w:rPr>
            </w:pPr>
            <w:r w:rsidRPr="00FE5398">
              <w:rPr>
                <w:rFonts w:ascii="Times New Roman" w:eastAsia="Times New Roman" w:hAnsi="Times New Roman" w:cs="Times New Roman"/>
                <w:b/>
                <w:sz w:val="20"/>
                <w:szCs w:val="20"/>
                <w:lang w:eastAsia="sk-SK"/>
              </w:rPr>
              <w:t>Uveďte pripomienky zo stanoviska Komisie z časti II. spolu s Vaším vyhodnotením:</w:t>
            </w:r>
          </w:p>
          <w:p w14:paraId="690D2AC7" w14:textId="77777777" w:rsidR="001B23B7" w:rsidRPr="00FE5398" w:rsidRDefault="001B23B7" w:rsidP="000800FC">
            <w:pPr>
              <w:rPr>
                <w:rFonts w:ascii="Times New Roman" w:eastAsia="Times New Roman" w:hAnsi="Times New Roman" w:cs="Times New Roman"/>
                <w:b/>
                <w:sz w:val="20"/>
                <w:szCs w:val="20"/>
                <w:lang w:eastAsia="sk-SK"/>
              </w:rPr>
            </w:pPr>
          </w:p>
          <w:p w14:paraId="774CA8E3" w14:textId="77777777" w:rsidR="00FE5398" w:rsidRPr="00FE5398" w:rsidRDefault="00FE5398" w:rsidP="00FE5398">
            <w:pPr>
              <w:pBdr>
                <w:bottom w:val="single" w:sz="4" w:space="1" w:color="auto"/>
              </w:pBdr>
              <w:jc w:val="center"/>
              <w:rPr>
                <w:rStyle w:val="Jemnodkaz"/>
                <w:rFonts w:ascii="Times New Roman" w:hAnsi="Times New Roman" w:cs="Times New Roman"/>
                <w:b/>
                <w:sz w:val="20"/>
                <w:szCs w:val="20"/>
              </w:rPr>
            </w:pPr>
            <w:r w:rsidRPr="00FE5398">
              <w:rPr>
                <w:rStyle w:val="Jemnodkaz"/>
                <w:rFonts w:ascii="Times New Roman" w:hAnsi="Times New Roman" w:cs="Times New Roman"/>
                <w:b/>
                <w:sz w:val="20"/>
                <w:szCs w:val="20"/>
              </w:rPr>
              <w:t>Návrh zákona, ktorým mení a dopĺňa zákon č. 548/2003 Z. z. o Justičnej akadémii a o zmene a doplnení niektorých zákonov v znení neskorších predpisov</w:t>
            </w:r>
          </w:p>
          <w:p w14:paraId="52F7F297" w14:textId="77777777" w:rsidR="00FE5398" w:rsidRPr="00FE5398" w:rsidRDefault="00FE5398" w:rsidP="00FE5398">
            <w:pPr>
              <w:jc w:val="both"/>
              <w:rPr>
                <w:rFonts w:ascii="Times New Roman" w:hAnsi="Times New Roman" w:cs="Times New Roman"/>
                <w:bCs/>
                <w:sz w:val="20"/>
                <w:szCs w:val="20"/>
              </w:rPr>
            </w:pPr>
          </w:p>
          <w:p w14:paraId="0D227AE0"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
                <w:bCs/>
                <w:sz w:val="20"/>
                <w:szCs w:val="20"/>
              </w:rPr>
              <w:t xml:space="preserve">I. Úvod: </w:t>
            </w:r>
            <w:r w:rsidRPr="00FE5398">
              <w:rPr>
                <w:rFonts w:ascii="Times New Roman" w:hAnsi="Times New Roman" w:cs="Times New Roman"/>
                <w:bCs/>
                <w:sz w:val="20"/>
                <w:szCs w:val="20"/>
              </w:rPr>
              <w:t>Ministerstvo spravodlivosti Slovenskej republiky dňa 18. októbra 2024 predložilo na PPK materiál: „</w:t>
            </w:r>
            <w:r w:rsidRPr="00FE5398">
              <w:rPr>
                <w:rFonts w:ascii="Times New Roman" w:hAnsi="Times New Roman" w:cs="Times New Roman"/>
                <w:bCs/>
                <w:i/>
                <w:sz w:val="20"/>
                <w:szCs w:val="20"/>
              </w:rPr>
              <w:t>Návrh zákona, ktorým mení a dopĺňa zákon č. 548/2003 Z. z. o Justičnej akadémii a o zmene a doplnení niektorých zákonov v znení neskorších predpisov“</w:t>
            </w:r>
            <w:r w:rsidRPr="00FE5398">
              <w:rPr>
                <w:rFonts w:ascii="Times New Roman" w:hAnsi="Times New Roman" w:cs="Times New Roman"/>
                <w:bCs/>
                <w:sz w:val="20"/>
                <w:szCs w:val="20"/>
              </w:rPr>
              <w:t>. Materiál predpokladá negatívne vplyvy na rozpočet verejnej správy, ktoré nie sú rozpočtovo zabezpečené.</w:t>
            </w:r>
          </w:p>
          <w:p w14:paraId="7ED0AC0D"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rPr>
              <w:br/>
            </w:r>
            <w:r w:rsidRPr="00FE5398">
              <w:rPr>
                <w:rFonts w:ascii="Times New Roman" w:hAnsi="Times New Roman" w:cs="Times New Roman"/>
                <w:b/>
                <w:bCs/>
                <w:sz w:val="20"/>
                <w:szCs w:val="20"/>
              </w:rPr>
              <w:t>II. P</w:t>
            </w:r>
            <w:r w:rsidRPr="00FE5398">
              <w:rPr>
                <w:rFonts w:ascii="Times New Roman" w:hAnsi="Times New Roman" w:cs="Times New Roman"/>
                <w:b/>
                <w:sz w:val="20"/>
                <w:szCs w:val="20"/>
              </w:rPr>
              <w:t>r</w:t>
            </w:r>
            <w:r w:rsidRPr="00FE5398">
              <w:rPr>
                <w:rFonts w:ascii="Times New Roman" w:hAnsi="Times New Roman" w:cs="Times New Roman"/>
                <w:b/>
                <w:bCs/>
                <w:sz w:val="20"/>
                <w:szCs w:val="20"/>
              </w:rPr>
              <w:t>ipomienky a návrhy zm</w:t>
            </w:r>
            <w:r w:rsidRPr="00FE5398">
              <w:rPr>
                <w:rFonts w:ascii="Times New Roman" w:hAnsi="Times New Roman" w:cs="Times New Roman"/>
                <w:b/>
                <w:sz w:val="20"/>
                <w:szCs w:val="20"/>
              </w:rPr>
              <w:t>ie</w:t>
            </w:r>
            <w:r w:rsidRPr="00FE5398">
              <w:rPr>
                <w:rFonts w:ascii="Times New Roman" w:hAnsi="Times New Roman" w:cs="Times New Roman"/>
                <w:b/>
                <w:bCs/>
                <w:sz w:val="20"/>
                <w:szCs w:val="20"/>
              </w:rPr>
              <w:t xml:space="preserve">n: </w:t>
            </w:r>
            <w:r w:rsidRPr="00FE5398">
              <w:rPr>
                <w:rFonts w:ascii="Times New Roman" w:hAnsi="Times New Roman" w:cs="Times New Roman"/>
                <w:bCs/>
                <w:sz w:val="20"/>
                <w:szCs w:val="20"/>
              </w:rPr>
              <w:t>Komisia uplatňuje k materiálu nasledovné pripomienky a odporúčania:</w:t>
            </w:r>
          </w:p>
          <w:p w14:paraId="26657645" w14:textId="77777777" w:rsidR="00FE5398" w:rsidRPr="00FE5398" w:rsidRDefault="00FE5398" w:rsidP="00FE5398">
            <w:pPr>
              <w:jc w:val="both"/>
              <w:rPr>
                <w:rFonts w:ascii="Times New Roman" w:hAnsi="Times New Roman" w:cs="Times New Roman"/>
                <w:bCs/>
                <w:sz w:val="20"/>
                <w:szCs w:val="20"/>
              </w:rPr>
            </w:pPr>
          </w:p>
          <w:p w14:paraId="1D76FF2C" w14:textId="77777777" w:rsidR="00FE5398" w:rsidRPr="00FE5398" w:rsidRDefault="00FE5398" w:rsidP="00FE5398">
            <w:pPr>
              <w:jc w:val="both"/>
              <w:rPr>
                <w:rFonts w:ascii="Times New Roman" w:hAnsi="Times New Roman" w:cs="Times New Roman"/>
                <w:b/>
                <w:bCs/>
                <w:sz w:val="20"/>
                <w:szCs w:val="20"/>
              </w:rPr>
            </w:pPr>
            <w:r w:rsidRPr="00FE5398">
              <w:rPr>
                <w:rFonts w:ascii="Times New Roman" w:hAnsi="Times New Roman" w:cs="Times New Roman"/>
                <w:b/>
                <w:bCs/>
                <w:sz w:val="20"/>
                <w:szCs w:val="20"/>
              </w:rPr>
              <w:t>K doložke vybraných vplyvov</w:t>
            </w:r>
          </w:p>
          <w:p w14:paraId="7928071C"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rPr>
              <w:t>Komisia odporúča predkladateľovi materiálu zameniť  obsah bodov č. 2 a č. 3 Doložky vybraných vplyvov.</w:t>
            </w:r>
          </w:p>
          <w:p w14:paraId="0FA5ABFE"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u w:val="single"/>
              </w:rPr>
              <w:t xml:space="preserve">Odôvodnenie: </w:t>
            </w:r>
            <w:r w:rsidRPr="00FE5398">
              <w:rPr>
                <w:rFonts w:ascii="Times New Roman" w:hAnsi="Times New Roman" w:cs="Times New Roman"/>
                <w:bCs/>
                <w:sz w:val="20"/>
                <w:szCs w:val="20"/>
              </w:rPr>
              <w:t xml:space="preserve">V zmysle JM na posudzovanie vybraných vplyvov je potrebné v bode 2. popísať definovanie problému, ktoré momentálne predkladateľ uvádza v bode 3. </w:t>
            </w:r>
          </w:p>
          <w:p w14:paraId="61C3FBA0"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rPr>
              <w:t xml:space="preserve">V bode 3. je potrebné zas popísať samotný cieľ materiálu, ktorý predkladateľ uvádza ako bod 2. </w:t>
            </w:r>
          </w:p>
          <w:p w14:paraId="3699067D" w14:textId="77777777" w:rsidR="00FE5398" w:rsidRPr="00FE5398" w:rsidRDefault="00FE5398" w:rsidP="00FE5398">
            <w:pPr>
              <w:jc w:val="both"/>
              <w:rPr>
                <w:rFonts w:ascii="Times New Roman" w:hAnsi="Times New Roman" w:cs="Times New Roman"/>
                <w:bCs/>
                <w:sz w:val="20"/>
                <w:szCs w:val="20"/>
              </w:rPr>
            </w:pPr>
          </w:p>
          <w:p w14:paraId="279AA953"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rPr>
              <w:t>K bodu 4. "Dotknuté subjekty" doložky vybraných vplyvov - subjekty uvedené v tomto bode je potrebné uviesť tak, aby ich špecifikácia bola v súlade s predloženým vlastným materiálom. Zároveň je potrebné uviesť všetky osoby (právnické aj fyzické), ktoré sú predloženým návrhom dotknuté a tiež všetky ovplyvnené orgány verejnej moci.</w:t>
            </w:r>
          </w:p>
          <w:p w14:paraId="735EACAA" w14:textId="77777777" w:rsidR="00FE5398" w:rsidRPr="00FE5398" w:rsidRDefault="00FE5398" w:rsidP="00FE5398">
            <w:pPr>
              <w:jc w:val="both"/>
              <w:rPr>
                <w:rFonts w:ascii="Times New Roman" w:hAnsi="Times New Roman" w:cs="Times New Roman"/>
                <w:bCs/>
                <w:sz w:val="20"/>
                <w:szCs w:val="20"/>
              </w:rPr>
            </w:pPr>
          </w:p>
          <w:p w14:paraId="1212FBF5"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rPr>
              <w:t xml:space="preserve">V doložke vybraných vplyvov Komisia žiada prepracovať časť 5. Alternatívne riešenia. </w:t>
            </w:r>
          </w:p>
          <w:p w14:paraId="7D58A5C4"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rPr>
              <w:t>Uvádzaný text nepopisuje základné rámce a problémy nulového variantu, ani sa nevyjadruje k alternatívnym riešeniam resp. nezdôvodňuje prečo neboli riešené ďalšie alternatívy.</w:t>
            </w:r>
          </w:p>
          <w:p w14:paraId="4CDC4025" w14:textId="77777777" w:rsidR="00FE5398" w:rsidRPr="00FE5398" w:rsidRDefault="00FE5398" w:rsidP="00FE5398">
            <w:pPr>
              <w:jc w:val="both"/>
              <w:rPr>
                <w:rFonts w:ascii="Times New Roman" w:hAnsi="Times New Roman" w:cs="Times New Roman"/>
                <w:bCs/>
                <w:sz w:val="20"/>
                <w:szCs w:val="20"/>
              </w:rPr>
            </w:pPr>
          </w:p>
          <w:p w14:paraId="3895B3AB"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rPr>
              <w:t>K bodu 8 "Preskúmanie účelnosti"  doložky vybraných vplyvov - Je potrebné uviesť aj informácie v bode 8 doložky vybraných vplyvov, a to súlade s povinnými obsahovými náležitosťami pre tento bod doložky vybraných vplyvov ustanovenými v bode 8 časti II. Obsahové požiadavky doložky Jednotnej metodiky na posudzovanie vybraných vplyvov. Odôvodnenie:  Povinnými obsahovými náležitosťami bodu 8 doložky vybraných vplyvov podľa bodu 8 časti II. Obsahové požiadavky doložky Jednotnej metodiky na posudzovanie vybraných vplyvov sú:  termín (čas), po ktorom predkladateľ plánuje vykonať preskúmanie účelnosti predkladaného materiálu a kritériá (indikátory), na základe ktorých sa preskúmanie zrealizuje a ktoré si stanoví predkladateľ podľa charakteru upravovanej problematiky. Odporúča sa, aby indikátory boli zvolené tak, aby umožňovali preskúmanie účelnosti a účinnosti predkladaného návrhu vychádzajúc z jeho cieľov (výsledného stavu).  Pri (budúcom) preskúmaní účinnosti a účelnosti sa  hodnotí najmä: existencia problému, kvôli ktorému bolo opatrenie vytvorené; splnenie cieľov (dosiahnutie výsledného stavu); súlad skutočných vplyvov s predpokladanými vplyvmi a výskyt neočakávaných vplyvov.</w:t>
            </w:r>
          </w:p>
          <w:p w14:paraId="621A73FF" w14:textId="77777777" w:rsidR="00FE5398" w:rsidRPr="00FE5398" w:rsidRDefault="00FE5398" w:rsidP="00FE5398">
            <w:pPr>
              <w:jc w:val="both"/>
              <w:rPr>
                <w:rFonts w:ascii="Times New Roman" w:hAnsi="Times New Roman" w:cs="Times New Roman"/>
                <w:bCs/>
                <w:sz w:val="20"/>
                <w:szCs w:val="20"/>
              </w:rPr>
            </w:pPr>
          </w:p>
          <w:p w14:paraId="2BE0E56A"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rPr>
              <w:t>Komisia odporúča predkladateľovi doplniť  v časti 11. Kontakt na spotrebiteľa – telefonický kontakt.</w:t>
            </w:r>
          </w:p>
          <w:p w14:paraId="6DCDDCEF" w14:textId="77777777" w:rsidR="00FE5398" w:rsidRPr="00FE5398" w:rsidRDefault="00FE5398" w:rsidP="00FE5398">
            <w:pPr>
              <w:jc w:val="both"/>
              <w:rPr>
                <w:rFonts w:ascii="Times New Roman" w:hAnsi="Times New Roman" w:cs="Times New Roman"/>
                <w:bCs/>
                <w:sz w:val="20"/>
                <w:szCs w:val="20"/>
                <w:u w:val="single"/>
              </w:rPr>
            </w:pPr>
            <w:r w:rsidRPr="00FE5398">
              <w:rPr>
                <w:rFonts w:ascii="Times New Roman" w:hAnsi="Times New Roman" w:cs="Times New Roman"/>
                <w:bCs/>
                <w:sz w:val="20"/>
                <w:szCs w:val="20"/>
                <w:u w:val="single"/>
              </w:rPr>
              <w:t>Odôvodnenie</w:t>
            </w:r>
            <w:r w:rsidRPr="00FE5398">
              <w:rPr>
                <w:rFonts w:ascii="Times New Roman" w:hAnsi="Times New Roman" w:cs="Times New Roman"/>
                <w:bCs/>
                <w:sz w:val="20"/>
                <w:szCs w:val="20"/>
              </w:rPr>
              <w:t>: Povinná časť v zmysle JM na posudzovanie vybraných vplyvov.</w:t>
            </w:r>
          </w:p>
          <w:p w14:paraId="0DA1BD54" w14:textId="77777777" w:rsidR="00FE5398" w:rsidRPr="00FE5398" w:rsidRDefault="00FE5398" w:rsidP="00FE5398">
            <w:pPr>
              <w:jc w:val="both"/>
              <w:rPr>
                <w:rFonts w:ascii="Times New Roman" w:hAnsi="Times New Roman" w:cs="Times New Roman"/>
                <w:bCs/>
                <w:sz w:val="20"/>
                <w:szCs w:val="20"/>
              </w:rPr>
            </w:pPr>
          </w:p>
          <w:p w14:paraId="10E906C7" w14:textId="77777777" w:rsidR="00FE5398" w:rsidRPr="00FE5398" w:rsidRDefault="00FE5398" w:rsidP="00FE5398">
            <w:pPr>
              <w:jc w:val="both"/>
              <w:rPr>
                <w:rFonts w:ascii="Times New Roman" w:hAnsi="Times New Roman" w:cs="Times New Roman"/>
                <w:b/>
                <w:bCs/>
                <w:sz w:val="20"/>
                <w:szCs w:val="20"/>
              </w:rPr>
            </w:pPr>
            <w:r w:rsidRPr="00FE5398">
              <w:rPr>
                <w:rFonts w:ascii="Times New Roman" w:hAnsi="Times New Roman" w:cs="Times New Roman"/>
                <w:b/>
                <w:bCs/>
                <w:sz w:val="20"/>
                <w:szCs w:val="20"/>
              </w:rPr>
              <w:t>K vplyvom na rozpočet verejnej správy</w:t>
            </w:r>
          </w:p>
          <w:p w14:paraId="56B5A9CD" w14:textId="77777777" w:rsidR="00FE5398" w:rsidRPr="00FE5398" w:rsidRDefault="00FE5398" w:rsidP="00FE5398">
            <w:pPr>
              <w:jc w:val="both"/>
              <w:rPr>
                <w:rFonts w:ascii="Times New Roman" w:hAnsi="Times New Roman" w:cs="Times New Roman"/>
                <w:bCs/>
                <w:sz w:val="20"/>
                <w:szCs w:val="20"/>
              </w:rPr>
            </w:pPr>
            <w:r w:rsidRPr="00FE5398">
              <w:rPr>
                <w:rFonts w:ascii="Times New Roman" w:hAnsi="Times New Roman" w:cs="Times New Roman"/>
                <w:bCs/>
                <w:sz w:val="20"/>
                <w:szCs w:val="20"/>
              </w:rPr>
              <w:t xml:space="preserve">V doložke vybraných vplyvov je označený negatívny, rozpočtovo nekrytý vplyv na rozpočet verejnej správy, avšak v analýze vplyvov sú predmetné výdavky v sume 250 000 eur ročne od roku 2025 uvedené ako rozpočtovo zabezpečené v kapitole Ministerstva spravodlivosti SR a v časti 2.1.1. je uvedené, že negatívny vplyv na rozpočet bude zabezpečený v rámci limitov záväzných ukazovateľov v návrhu rozpočtu kapitoly Ministerstvo spravodlivosti SR od roku 2025. V nadväznosti na uvedené Komisia jednoznačne žiada všetky vplyvy na </w:t>
            </w:r>
            <w:r w:rsidRPr="00FE5398">
              <w:rPr>
                <w:rFonts w:ascii="Times New Roman" w:hAnsi="Times New Roman" w:cs="Times New Roman"/>
                <w:bCs/>
                <w:sz w:val="20"/>
                <w:szCs w:val="20"/>
              </w:rPr>
              <w:lastRenderedPageBreak/>
              <w:t>rozpočet verejnej správy zabezpečiť v rámci schváleného limitu výdavkov ako aj schváleného limitu počtu zamestnancov kapitoly Ministerstva spravodlivosti SR na príslušný rozpočtový rok, bez dodatočných požiadaviek na štátny rozpočet. V tejto súvislosti je potrebné v bode 9. doložky vybraných vplyvov v riadku „z toho rozpočtovo zabezpečené vplyvy“ označiť možnosť „áno“.</w:t>
            </w:r>
          </w:p>
          <w:p w14:paraId="12400F71" w14:textId="77777777" w:rsidR="00FE5398" w:rsidRPr="00FE5398" w:rsidRDefault="00FE5398" w:rsidP="00FE5398">
            <w:pPr>
              <w:jc w:val="both"/>
              <w:rPr>
                <w:rStyle w:val="norm00e1lnychar1"/>
                <w:b/>
              </w:rPr>
            </w:pPr>
          </w:p>
          <w:p w14:paraId="3E9D2018" w14:textId="77777777" w:rsidR="00FE5398" w:rsidRPr="00FE5398" w:rsidRDefault="00FE5398" w:rsidP="00FE5398">
            <w:pPr>
              <w:jc w:val="both"/>
              <w:rPr>
                <w:rFonts w:ascii="Times New Roman" w:hAnsi="Times New Roman" w:cs="Times New Roman"/>
                <w:sz w:val="20"/>
                <w:szCs w:val="20"/>
              </w:rPr>
            </w:pPr>
            <w:r w:rsidRPr="00FE5398">
              <w:rPr>
                <w:rStyle w:val="norm00e1lnychar1"/>
                <w:b/>
                <w:bCs/>
              </w:rPr>
              <w:t xml:space="preserve">III. Záver: </w:t>
            </w:r>
            <w:r w:rsidRPr="00FE5398">
              <w:rPr>
                <w:rStyle w:val="norm00e1lnychar1"/>
              </w:rPr>
              <w:t xml:space="preserve">Stála pracovná komisia na posudzovanie vybraných vplyvov vyjadruje </w:t>
            </w:r>
          </w:p>
          <w:p w14:paraId="2CE4FB7B" w14:textId="77777777" w:rsidR="00FE5398" w:rsidRPr="00FE5398" w:rsidRDefault="00FE5398" w:rsidP="00FE5398">
            <w:pPr>
              <w:pStyle w:val="norm00e1lny"/>
              <w:rPr>
                <w:rStyle w:val="norm00e1lnychar1"/>
                <w:b/>
                <w:bCs/>
              </w:rPr>
            </w:pPr>
            <w:r w:rsidRPr="00FE5398">
              <w:t> </w:t>
            </w:r>
          </w:p>
          <w:p w14:paraId="67907174" w14:textId="77777777" w:rsidR="00FE5398" w:rsidRPr="00FE5398" w:rsidRDefault="00FE5398" w:rsidP="00FE5398">
            <w:pPr>
              <w:pStyle w:val="norm00e1lny"/>
              <w:spacing w:line="240" w:lineRule="atLeast"/>
              <w:jc w:val="center"/>
            </w:pPr>
            <w:r w:rsidRPr="00FE5398">
              <w:rPr>
                <w:rStyle w:val="norm00e1lnychar1"/>
                <w:b/>
                <w:bCs/>
              </w:rPr>
              <w:t>nesúhlasné stanovisko</w:t>
            </w:r>
          </w:p>
          <w:p w14:paraId="2B5D4BD4" w14:textId="77777777" w:rsidR="00FE5398" w:rsidRPr="00FE5398" w:rsidRDefault="00FE5398" w:rsidP="00FE5398">
            <w:pPr>
              <w:pStyle w:val="norm00e1lny"/>
              <w:spacing w:line="240" w:lineRule="atLeast"/>
              <w:jc w:val="both"/>
              <w:rPr>
                <w:rStyle w:val="norm00e1lnychar1"/>
              </w:rPr>
            </w:pPr>
          </w:p>
          <w:p w14:paraId="3532D1F1" w14:textId="77777777" w:rsidR="00FE5398" w:rsidRPr="00FE5398" w:rsidRDefault="00FE5398" w:rsidP="00FE5398">
            <w:pPr>
              <w:pStyle w:val="norm00e1lny"/>
              <w:spacing w:line="240" w:lineRule="atLeast"/>
              <w:jc w:val="both"/>
            </w:pPr>
            <w:r w:rsidRPr="00FE5398">
              <w:rPr>
                <w:rStyle w:val="norm00e1lnychar1"/>
              </w:rPr>
              <w:t>s materiálom predloženým na predbežné pripomienkové konanie s odporúčaním na jeho dopracovanie podľa pripomienok v bode II.</w:t>
            </w:r>
          </w:p>
          <w:p w14:paraId="79ACE0CA" w14:textId="77777777" w:rsidR="00FE5398" w:rsidRPr="00FE5398" w:rsidRDefault="00FE5398" w:rsidP="00FE5398">
            <w:pPr>
              <w:pStyle w:val="norm00e1lny"/>
            </w:pPr>
          </w:p>
          <w:p w14:paraId="7838A834" w14:textId="77777777" w:rsidR="00FE5398" w:rsidRPr="00FE5398" w:rsidRDefault="00FE5398" w:rsidP="00FE5398">
            <w:pPr>
              <w:pStyle w:val="norm00e1lny"/>
              <w:spacing w:line="240" w:lineRule="atLeast"/>
              <w:jc w:val="both"/>
            </w:pPr>
            <w:r w:rsidRPr="00FE5398">
              <w:rPr>
                <w:rStyle w:val="norm00e1lnychar1"/>
                <w:b/>
                <w:bCs/>
              </w:rPr>
              <w:t>IV. Poznámka:</w:t>
            </w:r>
            <w:r w:rsidRPr="00FE5398">
              <w:rPr>
                <w:rStyle w:val="norm00e1lnychar1"/>
              </w:rPr>
              <w:t xml:space="preserve"> Predkladateľ zapracuje pripomienky a odporúčania na úpravu uvedené v bode II a uvedie stanovisko Komisie do doložky vybraných vplyvov spolu s vyhodnotením pripomienok.</w:t>
            </w:r>
          </w:p>
          <w:p w14:paraId="3099D8CA" w14:textId="77777777" w:rsidR="00FE5398" w:rsidRPr="00FE5398" w:rsidRDefault="00FE5398" w:rsidP="00FE5398">
            <w:pPr>
              <w:pStyle w:val="norm00e1lny"/>
            </w:pPr>
            <w:r w:rsidRPr="00FE5398">
              <w:t> </w:t>
            </w:r>
          </w:p>
          <w:p w14:paraId="191E87A4" w14:textId="77777777" w:rsidR="00FE5398" w:rsidRPr="00FE5398" w:rsidRDefault="00FE5398" w:rsidP="00FE5398">
            <w:pPr>
              <w:pStyle w:val="z00e1kladn00fd0020text"/>
              <w:spacing w:after="0" w:line="240" w:lineRule="atLeast"/>
              <w:jc w:val="both"/>
            </w:pPr>
            <w:r w:rsidRPr="00FE5398">
              <w:rPr>
                <w:rStyle w:val="z00e1kladn00fd0020textchar1"/>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43465247" w14:textId="77777777" w:rsidR="00FE5398" w:rsidRPr="00FE5398" w:rsidRDefault="00FE5398" w:rsidP="00FE5398">
            <w:pPr>
              <w:jc w:val="both"/>
              <w:rPr>
                <w:rFonts w:ascii="Times New Roman" w:hAnsi="Times New Roman" w:cs="Times New Roman"/>
                <w:sz w:val="20"/>
                <w:szCs w:val="20"/>
              </w:rPr>
            </w:pPr>
          </w:p>
          <w:p w14:paraId="7BCF545E" w14:textId="6FEFA5AE" w:rsidR="00FE5398" w:rsidRPr="00FE5398" w:rsidRDefault="00FE5398" w:rsidP="00D704DF">
            <w:pPr>
              <w:autoSpaceDE w:val="0"/>
              <w:autoSpaceDN w:val="0"/>
              <w:adjustRightInd w:val="0"/>
              <w:jc w:val="both"/>
              <w:rPr>
                <w:rFonts w:ascii="Times New Roman" w:hAnsi="Times New Roman" w:cs="Times New Roman"/>
                <w:sz w:val="20"/>
                <w:szCs w:val="20"/>
              </w:rPr>
            </w:pPr>
            <w:r w:rsidRPr="00FE5398">
              <w:rPr>
                <w:rFonts w:ascii="Times New Roman" w:hAnsi="Times New Roman" w:cs="Times New Roman"/>
                <w:b/>
                <w:bCs/>
                <w:sz w:val="20"/>
                <w:szCs w:val="20"/>
              </w:rPr>
              <w:t xml:space="preserve">Vyjadrenie MS SR: </w:t>
            </w:r>
            <w:r w:rsidRPr="00D704DF">
              <w:rPr>
                <w:rFonts w:ascii="Times New Roman" w:hAnsi="Times New Roman" w:cs="Times New Roman"/>
                <w:sz w:val="20"/>
                <w:szCs w:val="20"/>
              </w:rPr>
              <w:t>Pripomienky</w:t>
            </w:r>
            <w:r w:rsidR="00DB67BA">
              <w:rPr>
                <w:rFonts w:ascii="Times New Roman" w:hAnsi="Times New Roman" w:cs="Times New Roman"/>
                <w:sz w:val="20"/>
                <w:szCs w:val="20"/>
              </w:rPr>
              <w:t xml:space="preserve"> </w:t>
            </w:r>
            <w:r w:rsidRPr="00D704DF">
              <w:rPr>
                <w:rFonts w:ascii="Times New Roman" w:hAnsi="Times New Roman" w:cs="Times New Roman"/>
                <w:sz w:val="20"/>
                <w:szCs w:val="20"/>
              </w:rPr>
              <w:t xml:space="preserve">komisie </w:t>
            </w:r>
            <w:r w:rsidR="00DB67BA">
              <w:rPr>
                <w:rFonts w:ascii="Times New Roman" w:hAnsi="Times New Roman" w:cs="Times New Roman"/>
                <w:sz w:val="20"/>
                <w:szCs w:val="20"/>
              </w:rPr>
              <w:t>k doložke vybraných vplyvov</w:t>
            </w:r>
            <w:r w:rsidR="00DB67BA" w:rsidRPr="00D704DF">
              <w:rPr>
                <w:rFonts w:ascii="Times New Roman" w:hAnsi="Times New Roman" w:cs="Times New Roman"/>
                <w:sz w:val="20"/>
                <w:szCs w:val="20"/>
              </w:rPr>
              <w:t xml:space="preserve"> </w:t>
            </w:r>
            <w:r w:rsidRPr="00D704DF">
              <w:rPr>
                <w:rFonts w:ascii="Times New Roman" w:hAnsi="Times New Roman" w:cs="Times New Roman"/>
                <w:sz w:val="20"/>
                <w:szCs w:val="20"/>
              </w:rPr>
              <w:t>boli z formál</w:t>
            </w:r>
            <w:r w:rsidR="00D704DF">
              <w:rPr>
                <w:rFonts w:ascii="Times New Roman" w:hAnsi="Times New Roman" w:cs="Times New Roman"/>
                <w:sz w:val="20"/>
                <w:szCs w:val="20"/>
              </w:rPr>
              <w:t xml:space="preserve">nej stránky a z vecnej stránky </w:t>
            </w:r>
            <w:r w:rsidRPr="00D704DF">
              <w:rPr>
                <w:rFonts w:ascii="Times New Roman" w:hAnsi="Times New Roman" w:cs="Times New Roman"/>
                <w:sz w:val="20"/>
                <w:szCs w:val="20"/>
              </w:rPr>
              <w:t>zapracované. V</w:t>
            </w:r>
            <w:r w:rsidR="00D704DF" w:rsidRPr="00D704DF">
              <w:rPr>
                <w:rFonts w:ascii="Times New Roman" w:hAnsi="Times New Roman" w:cs="Times New Roman"/>
                <w:sz w:val="20"/>
                <w:szCs w:val="20"/>
              </w:rPr>
              <w:t> </w:t>
            </w:r>
            <w:r w:rsidRPr="00D704DF">
              <w:rPr>
                <w:rFonts w:ascii="Times New Roman" w:hAnsi="Times New Roman" w:cs="Times New Roman"/>
                <w:sz w:val="20"/>
                <w:szCs w:val="20"/>
              </w:rPr>
              <w:t>ostatných</w:t>
            </w:r>
            <w:r w:rsidR="00D704DF" w:rsidRPr="00D704DF">
              <w:rPr>
                <w:rFonts w:ascii="Times New Roman" w:hAnsi="Times New Roman" w:cs="Times New Roman"/>
                <w:sz w:val="20"/>
                <w:szCs w:val="20"/>
              </w:rPr>
              <w:t xml:space="preserve"> </w:t>
            </w:r>
            <w:r w:rsidRPr="00D704DF">
              <w:rPr>
                <w:rFonts w:ascii="Times New Roman" w:hAnsi="Times New Roman" w:cs="Times New Roman"/>
                <w:sz w:val="20"/>
                <w:szCs w:val="20"/>
              </w:rPr>
              <w:t>častiach MS SR naďalej trvá na znení materiálu tak ako je predkladaný.</w:t>
            </w:r>
          </w:p>
          <w:p w14:paraId="392EF5A0" w14:textId="77777777" w:rsidR="00CB09CF" w:rsidRPr="00FE5398" w:rsidRDefault="00CB09CF" w:rsidP="000800FC">
            <w:pPr>
              <w:rPr>
                <w:rFonts w:ascii="Times New Roman" w:eastAsia="Times New Roman" w:hAnsi="Times New Roman" w:cs="Times New Roman"/>
                <w:b/>
                <w:sz w:val="20"/>
                <w:szCs w:val="20"/>
                <w:lang w:eastAsia="sk-SK"/>
              </w:rPr>
            </w:pPr>
          </w:p>
          <w:p w14:paraId="5991D317" w14:textId="77777777" w:rsidR="00CB09CF" w:rsidRPr="00FE5398" w:rsidRDefault="00CB09CF" w:rsidP="000800FC">
            <w:pPr>
              <w:rPr>
                <w:rFonts w:ascii="Times New Roman" w:eastAsia="Times New Roman" w:hAnsi="Times New Roman" w:cs="Times New Roman"/>
                <w:b/>
                <w:sz w:val="20"/>
                <w:szCs w:val="20"/>
                <w:lang w:eastAsia="sk-SK"/>
              </w:rPr>
            </w:pPr>
          </w:p>
          <w:p w14:paraId="4A5BFCA3" w14:textId="77777777" w:rsidR="001B23B7" w:rsidRPr="00FE5398" w:rsidRDefault="001B23B7" w:rsidP="000800FC">
            <w:pPr>
              <w:rPr>
                <w:rFonts w:ascii="Times New Roman" w:eastAsia="Times New Roman" w:hAnsi="Times New Roman" w:cs="Times New Roman"/>
                <w:b/>
                <w:sz w:val="20"/>
                <w:szCs w:val="20"/>
                <w:lang w:eastAsia="sk-SK"/>
              </w:rPr>
            </w:pPr>
          </w:p>
        </w:tc>
      </w:tr>
      <w:tr w:rsidR="00612E08" w:rsidRPr="00612E08" w14:paraId="09BD8521" w14:textId="77777777" w:rsidTr="004910AD">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14:paraId="4D88875B" w14:textId="77777777" w:rsidR="001B23B7" w:rsidRPr="00612E08" w:rsidRDefault="001B23B7" w:rsidP="00681EFE">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zo záverečného posúdenia </w:t>
            </w:r>
            <w:r w:rsidR="00681EFE">
              <w:rPr>
                <w:rFonts w:ascii="Times New Roman" w:eastAsia="Calibri" w:hAnsi="Times New Roman" w:cs="Times New Roman"/>
                <w:b/>
              </w:rPr>
              <w:br/>
            </w:r>
            <w:r w:rsidRPr="00612E08">
              <w:rPr>
                <w:rFonts w:ascii="Times New Roman" w:eastAsia="Calibri" w:hAnsi="Times New Roman" w:cs="Times New Roman"/>
                <w:b/>
              </w:rPr>
              <w:t xml:space="preserve">č. </w:t>
            </w:r>
            <w:r w:rsidR="00681EFE">
              <w:rPr>
                <w:rFonts w:ascii="Times New Roman" w:eastAsia="Calibri" w:hAnsi="Times New Roman" w:cs="Times New Roman"/>
                <w:b/>
              </w:rPr>
              <w:t xml:space="preserve">LP-2023-594 </w:t>
            </w:r>
            <w:r w:rsidRPr="00612E08">
              <w:rPr>
                <w:rFonts w:ascii="Times New Roman" w:eastAsia="Calibri" w:hAnsi="Times New Roman" w:cs="Times New Roman"/>
              </w:rPr>
              <w:t xml:space="preserve">(v prípade, ak sa uskutočnilo v zmysle bodu 9.1. Jednotnej metodiky) </w:t>
            </w:r>
          </w:p>
        </w:tc>
      </w:tr>
      <w:tr w:rsidR="00612E08" w:rsidRPr="00612E08" w14:paraId="0C70158E" w14:textId="77777777" w:rsidTr="004910AD">
        <w:tblPrEx>
          <w:tblBorders>
            <w:insideH w:val="single" w:sz="4" w:space="0" w:color="FFFFFF"/>
            <w:insideV w:val="single" w:sz="4" w:space="0" w:color="FFFFFF"/>
          </w:tblBorders>
        </w:tblPrEx>
        <w:tc>
          <w:tcPr>
            <w:tcW w:w="9176" w:type="dxa"/>
            <w:gridSpan w:val="7"/>
            <w:shd w:val="clear" w:color="auto" w:fill="FFFFFF"/>
          </w:tcPr>
          <w:p w14:paraId="46A8F903"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5F2C0165" w14:textId="77777777" w:rsidTr="000800FC">
              <w:trPr>
                <w:trHeight w:val="396"/>
              </w:trPr>
              <w:tc>
                <w:tcPr>
                  <w:tcW w:w="2552" w:type="dxa"/>
                </w:tcPr>
                <w:p w14:paraId="5B65C081" w14:textId="77777777" w:rsidR="001B23B7" w:rsidRPr="00612E08" w:rsidRDefault="00D64A1B"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9F7C6D">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6996FB96" w14:textId="77777777" w:rsidR="001B23B7" w:rsidRPr="00612E08" w:rsidRDefault="00D64A1B"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03EAAD1" w14:textId="77777777" w:rsidR="001B23B7" w:rsidRPr="00612E08" w:rsidRDefault="00D64A1B"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363E67FE" w14:textId="77777777"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13284F1F" w14:textId="77777777" w:rsidR="001B23B7" w:rsidRPr="00612E08" w:rsidRDefault="001B23B7" w:rsidP="00235D12">
            <w:pPr>
              <w:jc w:val="both"/>
              <w:rPr>
                <w:rFonts w:ascii="Times New Roman" w:eastAsia="Times New Roman" w:hAnsi="Times New Roman" w:cs="Times New Roman"/>
                <w:b/>
                <w:sz w:val="20"/>
                <w:szCs w:val="20"/>
                <w:lang w:eastAsia="sk-SK"/>
              </w:rPr>
            </w:pPr>
          </w:p>
        </w:tc>
      </w:tr>
    </w:tbl>
    <w:p w14:paraId="42F7B264" w14:textId="77777777" w:rsidR="00274130" w:rsidRPr="00612E08" w:rsidRDefault="00D64A1B"/>
    <w:sectPr w:rsidR="00274130" w:rsidRPr="00612E08" w:rsidSect="00732BBF">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5C6F6" w14:textId="77777777" w:rsidR="00D64A1B" w:rsidRDefault="00D64A1B" w:rsidP="001B23B7">
      <w:pPr>
        <w:spacing w:after="0" w:line="240" w:lineRule="auto"/>
      </w:pPr>
      <w:r>
        <w:separator/>
      </w:r>
    </w:p>
  </w:endnote>
  <w:endnote w:type="continuationSeparator" w:id="0">
    <w:p w14:paraId="517422BE" w14:textId="77777777" w:rsidR="00D64A1B" w:rsidRDefault="00D64A1B"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127115859"/>
      <w:docPartObj>
        <w:docPartGallery w:val="Page Numbers (Bottom of Page)"/>
        <w:docPartUnique/>
      </w:docPartObj>
    </w:sdtPr>
    <w:sdtEndPr/>
    <w:sdtContent>
      <w:p w14:paraId="2FF0009C" w14:textId="7CFBCD92" w:rsidR="00732BBF" w:rsidRPr="00732BBF" w:rsidRDefault="00732BBF">
        <w:pPr>
          <w:pStyle w:val="Pta"/>
          <w:jc w:val="center"/>
          <w:rPr>
            <w:rFonts w:ascii="Times New Roman" w:hAnsi="Times New Roman" w:cs="Times New Roman"/>
            <w:sz w:val="24"/>
          </w:rPr>
        </w:pPr>
        <w:r w:rsidRPr="00732BBF">
          <w:rPr>
            <w:rFonts w:ascii="Times New Roman" w:hAnsi="Times New Roman" w:cs="Times New Roman"/>
            <w:sz w:val="24"/>
          </w:rPr>
          <w:fldChar w:fldCharType="begin"/>
        </w:r>
        <w:r w:rsidRPr="00732BBF">
          <w:rPr>
            <w:rFonts w:ascii="Times New Roman" w:hAnsi="Times New Roman" w:cs="Times New Roman"/>
            <w:sz w:val="24"/>
          </w:rPr>
          <w:instrText>PAGE   \* MERGEFORMAT</w:instrText>
        </w:r>
        <w:r w:rsidRPr="00732BBF">
          <w:rPr>
            <w:rFonts w:ascii="Times New Roman" w:hAnsi="Times New Roman" w:cs="Times New Roman"/>
            <w:sz w:val="24"/>
          </w:rPr>
          <w:fldChar w:fldCharType="separate"/>
        </w:r>
        <w:r w:rsidR="00B01D1C">
          <w:rPr>
            <w:rFonts w:ascii="Times New Roman" w:hAnsi="Times New Roman" w:cs="Times New Roman"/>
            <w:noProof/>
            <w:sz w:val="24"/>
          </w:rPr>
          <w:t>4</w:t>
        </w:r>
        <w:r w:rsidRPr="00732BBF">
          <w:rPr>
            <w:rFonts w:ascii="Times New Roman" w:hAnsi="Times New Roman" w:cs="Times New Roman"/>
            <w:sz w:val="24"/>
          </w:rPr>
          <w:fldChar w:fldCharType="end"/>
        </w:r>
      </w:p>
    </w:sdtContent>
  </w:sdt>
  <w:p w14:paraId="25541F04" w14:textId="77777777" w:rsidR="00732BBF" w:rsidRPr="00732BBF" w:rsidRDefault="00732BBF">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41099" w14:textId="77777777" w:rsidR="00D64A1B" w:rsidRDefault="00D64A1B" w:rsidP="001B23B7">
      <w:pPr>
        <w:spacing w:after="0" w:line="240" w:lineRule="auto"/>
      </w:pPr>
      <w:r>
        <w:separator/>
      </w:r>
    </w:p>
  </w:footnote>
  <w:footnote w:type="continuationSeparator" w:id="0">
    <w:p w14:paraId="30A9CC55" w14:textId="77777777" w:rsidR="00D64A1B" w:rsidRDefault="00D64A1B"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7368"/>
    <w:rsid w:val="00043706"/>
    <w:rsid w:val="0008556E"/>
    <w:rsid w:val="00097069"/>
    <w:rsid w:val="000B330B"/>
    <w:rsid w:val="000D348F"/>
    <w:rsid w:val="000E1563"/>
    <w:rsid w:val="000E40E4"/>
    <w:rsid w:val="000E5B85"/>
    <w:rsid w:val="000F2BE9"/>
    <w:rsid w:val="00113AE4"/>
    <w:rsid w:val="00156064"/>
    <w:rsid w:val="00161FB4"/>
    <w:rsid w:val="00174C99"/>
    <w:rsid w:val="00187182"/>
    <w:rsid w:val="001B23B7"/>
    <w:rsid w:val="001E3562"/>
    <w:rsid w:val="00203EE3"/>
    <w:rsid w:val="00206202"/>
    <w:rsid w:val="002243BB"/>
    <w:rsid w:val="0023360B"/>
    <w:rsid w:val="00235D12"/>
    <w:rsid w:val="00243652"/>
    <w:rsid w:val="00277BB6"/>
    <w:rsid w:val="002812D9"/>
    <w:rsid w:val="002F6ADB"/>
    <w:rsid w:val="003145AE"/>
    <w:rsid w:val="003553ED"/>
    <w:rsid w:val="003809FF"/>
    <w:rsid w:val="003919B4"/>
    <w:rsid w:val="003A057B"/>
    <w:rsid w:val="003A0817"/>
    <w:rsid w:val="003A381E"/>
    <w:rsid w:val="00411898"/>
    <w:rsid w:val="00487AB3"/>
    <w:rsid w:val="004910AD"/>
    <w:rsid w:val="0049476D"/>
    <w:rsid w:val="004A4383"/>
    <w:rsid w:val="004A7868"/>
    <w:rsid w:val="004C6831"/>
    <w:rsid w:val="004F17FF"/>
    <w:rsid w:val="004F3F31"/>
    <w:rsid w:val="00500BC8"/>
    <w:rsid w:val="00501715"/>
    <w:rsid w:val="00513BDB"/>
    <w:rsid w:val="00540FE8"/>
    <w:rsid w:val="005508BD"/>
    <w:rsid w:val="0056089C"/>
    <w:rsid w:val="00591EC6"/>
    <w:rsid w:val="00591ED3"/>
    <w:rsid w:val="005B2624"/>
    <w:rsid w:val="005B6147"/>
    <w:rsid w:val="005C0615"/>
    <w:rsid w:val="00612E08"/>
    <w:rsid w:val="00614FA4"/>
    <w:rsid w:val="00647031"/>
    <w:rsid w:val="00681EFE"/>
    <w:rsid w:val="006B2A55"/>
    <w:rsid w:val="006D12C5"/>
    <w:rsid w:val="006F678E"/>
    <w:rsid w:val="006F6B62"/>
    <w:rsid w:val="00720322"/>
    <w:rsid w:val="00732BBF"/>
    <w:rsid w:val="00733310"/>
    <w:rsid w:val="00741DC5"/>
    <w:rsid w:val="007434C3"/>
    <w:rsid w:val="0075197E"/>
    <w:rsid w:val="00761208"/>
    <w:rsid w:val="007756BE"/>
    <w:rsid w:val="007B40C1"/>
    <w:rsid w:val="007C5312"/>
    <w:rsid w:val="007D6F2C"/>
    <w:rsid w:val="007E01F3"/>
    <w:rsid w:val="007F587A"/>
    <w:rsid w:val="0080042A"/>
    <w:rsid w:val="00810567"/>
    <w:rsid w:val="008535EC"/>
    <w:rsid w:val="00854CB9"/>
    <w:rsid w:val="00865E81"/>
    <w:rsid w:val="008801B5"/>
    <w:rsid w:val="00881E07"/>
    <w:rsid w:val="008B222D"/>
    <w:rsid w:val="008B45CC"/>
    <w:rsid w:val="008C79B7"/>
    <w:rsid w:val="009431E3"/>
    <w:rsid w:val="009475F5"/>
    <w:rsid w:val="00956B44"/>
    <w:rsid w:val="00963B9A"/>
    <w:rsid w:val="009655BF"/>
    <w:rsid w:val="009717F5"/>
    <w:rsid w:val="0098472E"/>
    <w:rsid w:val="009C2BDE"/>
    <w:rsid w:val="009C424C"/>
    <w:rsid w:val="009C72EC"/>
    <w:rsid w:val="009D2375"/>
    <w:rsid w:val="009E09F7"/>
    <w:rsid w:val="009F4832"/>
    <w:rsid w:val="009F7C6D"/>
    <w:rsid w:val="00A27676"/>
    <w:rsid w:val="00A319F4"/>
    <w:rsid w:val="00A340BB"/>
    <w:rsid w:val="00A35E64"/>
    <w:rsid w:val="00A551D8"/>
    <w:rsid w:val="00A60413"/>
    <w:rsid w:val="00A7788F"/>
    <w:rsid w:val="00AA73EB"/>
    <w:rsid w:val="00AC30D6"/>
    <w:rsid w:val="00AC7376"/>
    <w:rsid w:val="00AD3DDB"/>
    <w:rsid w:val="00B00B6E"/>
    <w:rsid w:val="00B01D1C"/>
    <w:rsid w:val="00B547F5"/>
    <w:rsid w:val="00B84F87"/>
    <w:rsid w:val="00BA2BF4"/>
    <w:rsid w:val="00BC1848"/>
    <w:rsid w:val="00BE058D"/>
    <w:rsid w:val="00C50937"/>
    <w:rsid w:val="00C60496"/>
    <w:rsid w:val="00C66865"/>
    <w:rsid w:val="00C67C8B"/>
    <w:rsid w:val="00C77D59"/>
    <w:rsid w:val="00C77E1D"/>
    <w:rsid w:val="00C86714"/>
    <w:rsid w:val="00C94E4E"/>
    <w:rsid w:val="00CB08AE"/>
    <w:rsid w:val="00CB09CF"/>
    <w:rsid w:val="00CD12A0"/>
    <w:rsid w:val="00CD6E04"/>
    <w:rsid w:val="00CE6AAE"/>
    <w:rsid w:val="00CF1A25"/>
    <w:rsid w:val="00D053E6"/>
    <w:rsid w:val="00D2313B"/>
    <w:rsid w:val="00D23481"/>
    <w:rsid w:val="00D2461C"/>
    <w:rsid w:val="00D50F1E"/>
    <w:rsid w:val="00D55DFD"/>
    <w:rsid w:val="00D64A1B"/>
    <w:rsid w:val="00D704DF"/>
    <w:rsid w:val="00D76E18"/>
    <w:rsid w:val="00DA3428"/>
    <w:rsid w:val="00DB67BA"/>
    <w:rsid w:val="00DD2DE8"/>
    <w:rsid w:val="00DF158A"/>
    <w:rsid w:val="00DF1C3D"/>
    <w:rsid w:val="00DF357C"/>
    <w:rsid w:val="00E236F8"/>
    <w:rsid w:val="00E440B4"/>
    <w:rsid w:val="00E461D9"/>
    <w:rsid w:val="00E50F8A"/>
    <w:rsid w:val="00E77358"/>
    <w:rsid w:val="00EA0A6C"/>
    <w:rsid w:val="00EB2467"/>
    <w:rsid w:val="00EB4319"/>
    <w:rsid w:val="00EC58A5"/>
    <w:rsid w:val="00ED165A"/>
    <w:rsid w:val="00ED1AC0"/>
    <w:rsid w:val="00F26C54"/>
    <w:rsid w:val="00F44DDB"/>
    <w:rsid w:val="00F467E2"/>
    <w:rsid w:val="00F50A84"/>
    <w:rsid w:val="00F87681"/>
    <w:rsid w:val="00FA02DB"/>
    <w:rsid w:val="00FE5398"/>
    <w:rsid w:val="00FF59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E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F26C54"/>
    <w:rPr>
      <w:color w:val="0563C1" w:themeColor="hyperlink"/>
      <w:u w:val="single"/>
    </w:rPr>
  </w:style>
  <w:style w:type="character" w:customStyle="1" w:styleId="awspan">
    <w:name w:val="awspan"/>
    <w:basedOn w:val="Predvolenpsmoodseku"/>
    <w:rsid w:val="009D2375"/>
  </w:style>
  <w:style w:type="character" w:styleId="Odkaznakomentr">
    <w:name w:val="annotation reference"/>
    <w:basedOn w:val="Predvolenpsmoodseku"/>
    <w:uiPriority w:val="99"/>
    <w:semiHidden/>
    <w:unhideWhenUsed/>
    <w:rsid w:val="00A27676"/>
    <w:rPr>
      <w:sz w:val="16"/>
      <w:szCs w:val="16"/>
    </w:rPr>
  </w:style>
  <w:style w:type="paragraph" w:styleId="Textkomentra">
    <w:name w:val="annotation text"/>
    <w:basedOn w:val="Normlny"/>
    <w:link w:val="TextkomentraChar"/>
    <w:uiPriority w:val="99"/>
    <w:semiHidden/>
    <w:unhideWhenUsed/>
    <w:rsid w:val="00A27676"/>
    <w:pPr>
      <w:spacing w:line="240" w:lineRule="auto"/>
    </w:pPr>
    <w:rPr>
      <w:sz w:val="20"/>
      <w:szCs w:val="20"/>
    </w:rPr>
  </w:style>
  <w:style w:type="character" w:customStyle="1" w:styleId="TextkomentraChar">
    <w:name w:val="Text komentára Char"/>
    <w:basedOn w:val="Predvolenpsmoodseku"/>
    <w:link w:val="Textkomentra"/>
    <w:uiPriority w:val="99"/>
    <w:semiHidden/>
    <w:rsid w:val="00A27676"/>
    <w:rPr>
      <w:sz w:val="20"/>
      <w:szCs w:val="20"/>
    </w:rPr>
  </w:style>
  <w:style w:type="paragraph" w:styleId="Predmetkomentra">
    <w:name w:val="annotation subject"/>
    <w:basedOn w:val="Textkomentra"/>
    <w:next w:val="Textkomentra"/>
    <w:link w:val="PredmetkomentraChar"/>
    <w:uiPriority w:val="99"/>
    <w:semiHidden/>
    <w:unhideWhenUsed/>
    <w:rsid w:val="00A27676"/>
    <w:rPr>
      <w:b/>
      <w:bCs/>
    </w:rPr>
  </w:style>
  <w:style w:type="character" w:customStyle="1" w:styleId="PredmetkomentraChar">
    <w:name w:val="Predmet komentára Char"/>
    <w:basedOn w:val="TextkomentraChar"/>
    <w:link w:val="Predmetkomentra"/>
    <w:uiPriority w:val="99"/>
    <w:semiHidden/>
    <w:rsid w:val="00A27676"/>
    <w:rPr>
      <w:b/>
      <w:bCs/>
      <w:sz w:val="20"/>
      <w:szCs w:val="20"/>
    </w:rPr>
  </w:style>
  <w:style w:type="paragraph" w:customStyle="1" w:styleId="norm00e1lny">
    <w:name w:val="norm_00e1lny"/>
    <w:basedOn w:val="Normlny"/>
    <w:rsid w:val="00FE5398"/>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FE5398"/>
    <w:pPr>
      <w:spacing w:after="120" w:line="200" w:lineRule="atLeast"/>
    </w:pPr>
    <w:rPr>
      <w:rFonts w:ascii="Times New Roman" w:eastAsia="Times New Roman" w:hAnsi="Times New Roman" w:cs="Times New Roman"/>
      <w:sz w:val="20"/>
      <w:szCs w:val="20"/>
      <w:lang w:eastAsia="sk-SK"/>
    </w:rPr>
  </w:style>
  <w:style w:type="character" w:styleId="Jemnodkaz">
    <w:name w:val="Subtle Reference"/>
    <w:basedOn w:val="Predvolenpsmoodseku"/>
    <w:uiPriority w:val="31"/>
    <w:qFormat/>
    <w:rsid w:val="00FE5398"/>
    <w:rPr>
      <w:smallCaps/>
      <w:color w:val="5A5A5A" w:themeColor="text1" w:themeTint="A5"/>
    </w:rPr>
  </w:style>
  <w:style w:type="character" w:customStyle="1" w:styleId="norm00e1lnychar1">
    <w:name w:val="norm_00e1lny__char1"/>
    <w:rsid w:val="00FE5398"/>
    <w:rPr>
      <w:rFonts w:ascii="Times New Roman" w:hAnsi="Times New Roman" w:cs="Times New Roman" w:hint="default"/>
      <w:strike w:val="0"/>
      <w:dstrike w:val="0"/>
      <w:sz w:val="20"/>
      <w:szCs w:val="20"/>
      <w:u w:val="none"/>
      <w:effect w:val="none"/>
    </w:rPr>
  </w:style>
  <w:style w:type="character" w:customStyle="1" w:styleId="z00e1kladn00fd0020textchar1">
    <w:name w:val="z_00e1kladn_00fd_0020text__char1"/>
    <w:rsid w:val="00FE5398"/>
    <w:rPr>
      <w:rFonts w:ascii="Times New Roman" w:hAnsi="Times New Roman" w:cs="Times New Roman"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ndrea.scevikova@justice.sk" TargetMode="External"/><Relationship Id="rId4" Type="http://schemas.openxmlformats.org/officeDocument/2006/relationships/styles" Target="styles.xml"/><Relationship Id="rId9" Type="http://schemas.openxmlformats.org/officeDocument/2006/relationships/hyperlink" Target="https://www.slov-lex.sk/pravne-predpisy/SK/ZZ/1991/45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3F3E55-E550-4CAD-8F40-CBA04D5D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10511</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2024-12-13T07:57:00Z</dcterms:created>
  <dcterms:modified xsi:type="dcterms:W3CDTF">2024-12-13T07:57:00Z</dcterms:modified>
</cp:coreProperties>
</file>