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795A0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714060C" w14:textId="0919ABCE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  <w:r w:rsidR="00904C1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</w:p>
    <w:p w14:paraId="3638DBEB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E598CE1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C7E6AA9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68CE7D7B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400"/>
        <w:gridCol w:w="1267"/>
      </w:tblGrid>
      <w:tr w:rsidR="007D5748" w:rsidRPr="007B7470" w14:paraId="0BA18123" w14:textId="77777777" w:rsidTr="009013F3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54B0B85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201" w:type="dxa"/>
            <w:gridSpan w:val="4"/>
            <w:shd w:val="clear" w:color="auto" w:fill="BFBFBF" w:themeFill="background1" w:themeFillShade="BF"/>
            <w:vAlign w:val="center"/>
          </w:tcPr>
          <w:p w14:paraId="1A9CC79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618F294C" w14:textId="77777777" w:rsidTr="009013F3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4DE3E5A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AEEB5AD" w14:textId="0907D055" w:rsidR="007D5748" w:rsidRPr="007B7470" w:rsidRDefault="00904C1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2BC7E8B" w14:textId="0694E53A" w:rsidR="007D5748" w:rsidRPr="007B7470" w:rsidRDefault="00904C1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444F8C63" w14:textId="6BF3C5F6" w:rsidR="007D5748" w:rsidRPr="007B7470" w:rsidRDefault="00904C1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AC98F67" w14:textId="0D86BB71" w:rsidR="007D5748" w:rsidRPr="007B7470" w:rsidRDefault="00904C1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44D40D81" w14:textId="77777777" w:rsidTr="009013F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C30425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26EF05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507B59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C0C0C0"/>
            <w:vAlign w:val="center"/>
          </w:tcPr>
          <w:p w14:paraId="33CE364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905F6A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9DDDDEC" w14:textId="77777777" w:rsidTr="009013F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1616E77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07BB167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591F8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091B718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DE5E8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117D2B2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F97A86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0825945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4B8F4F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noWrap/>
            <w:vAlign w:val="center"/>
          </w:tcPr>
          <w:p w14:paraId="669BAC3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D2B4C3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0ACF7043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9FA9BC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E36119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4D57A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5127C3A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88F94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0CCB9038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31263A0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0384CE31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E6D1D8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6A0D0D1B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BCA325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40AF26A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8687CA5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5B82D10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99185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40486B1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406FB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620E51D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30276B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090484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30CB4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7CF3C26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74E92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C9B3CAB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7027DF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5A79DA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574A6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11CF647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4DB81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9FDD3DB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A73337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089BFF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96EE0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2C36675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269A6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B3A9CB0" w14:textId="77777777" w:rsidTr="009013F3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9B5571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CDBFC9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E759C1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C0C0C0"/>
            <w:noWrap/>
            <w:vAlign w:val="center"/>
          </w:tcPr>
          <w:p w14:paraId="70F1445D" w14:textId="544EF767" w:rsidR="007D5748" w:rsidRPr="007B7470" w:rsidRDefault="009013F3" w:rsidP="00D7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 w:rsidR="00D75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722 868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2D89E37" w14:textId="6AF3DA9D" w:rsidR="007D5748" w:rsidRPr="007B7470" w:rsidRDefault="009013F3" w:rsidP="00694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3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61</w:t>
            </w:r>
            <w:r w:rsidR="007A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694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368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B7470" w14:paraId="554A4BAA" w14:textId="77777777" w:rsidTr="00D90A9F">
        <w:trPr>
          <w:trHeight w:val="1093"/>
          <w:jc w:val="center"/>
        </w:trPr>
        <w:tc>
          <w:tcPr>
            <w:tcW w:w="4661" w:type="dxa"/>
            <w:noWrap/>
          </w:tcPr>
          <w:p w14:paraId="39E08049" w14:textId="77777777" w:rsidR="007D5748" w:rsidRPr="00D90A9F" w:rsidRDefault="004E09CE" w:rsidP="007D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9F">
              <w:rPr>
                <w:rFonts w:ascii="Times New Roman" w:hAnsi="Times New Roman" w:cs="Times New Roman"/>
                <w:sz w:val="24"/>
                <w:szCs w:val="24"/>
              </w:rPr>
              <w:t>v tom: kapitola MF SR / 0EK 0D IT financované zo ŠR – MF SR</w:t>
            </w:r>
          </w:p>
          <w:p w14:paraId="1299FDC2" w14:textId="7382C8D2" w:rsidR="00112262" w:rsidRPr="00D90A9F" w:rsidRDefault="004E09CE" w:rsidP="007D5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A9F">
              <w:rPr>
                <w:rFonts w:ascii="Times New Roman" w:hAnsi="Times New Roman" w:cs="Times New Roman"/>
                <w:sz w:val="24"/>
                <w:szCs w:val="24"/>
              </w:rPr>
              <w:t>v tom: kapitola MF SR / 072 Výber daní, cla, odvodov a</w:t>
            </w:r>
            <w:r w:rsidR="00112262" w:rsidRPr="00D90A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0A9F">
              <w:rPr>
                <w:rFonts w:ascii="Times New Roman" w:hAnsi="Times New Roman" w:cs="Times New Roman"/>
                <w:sz w:val="24"/>
                <w:szCs w:val="24"/>
              </w:rPr>
              <w:t>príspevkov</w:t>
            </w:r>
          </w:p>
        </w:tc>
        <w:tc>
          <w:tcPr>
            <w:tcW w:w="1267" w:type="dxa"/>
            <w:noWrap/>
            <w:vAlign w:val="center"/>
          </w:tcPr>
          <w:p w14:paraId="2D77C7DA" w14:textId="77777777" w:rsidR="007D5748" w:rsidRDefault="004E09C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2AFA29DA" w14:textId="77777777" w:rsidR="004E09CE" w:rsidRDefault="004E09C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7948FFD" w14:textId="6D2328D6" w:rsidR="004E09CE" w:rsidRDefault="004E09C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38A8ABA8" w14:textId="36E9158B" w:rsidR="00112262" w:rsidRPr="007B7470" w:rsidRDefault="00112262" w:rsidP="00D9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05105AB" w14:textId="77777777" w:rsidR="007D5748" w:rsidRDefault="004E09C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7527F471" w14:textId="77777777" w:rsidR="004E09CE" w:rsidRDefault="004E09C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43555A3" w14:textId="534D6650" w:rsidR="004E09CE" w:rsidRDefault="004E09C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39CE1E01" w14:textId="2377502B" w:rsidR="00112262" w:rsidRPr="007B7470" w:rsidRDefault="00112262" w:rsidP="00D9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noWrap/>
            <w:vAlign w:val="center"/>
          </w:tcPr>
          <w:p w14:paraId="7F2D97A1" w14:textId="0077A2CD" w:rsidR="007D5748" w:rsidRDefault="004E09CE" w:rsidP="004E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  <w:r w:rsidR="00D758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667 400</w:t>
            </w:r>
          </w:p>
          <w:p w14:paraId="72AD5910" w14:textId="77777777" w:rsidR="004E09CE" w:rsidRDefault="004E09CE" w:rsidP="004E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BB22FE0" w14:textId="565D2656" w:rsidR="004E09CE" w:rsidRDefault="004E09CE" w:rsidP="0011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  <w:r w:rsidR="001122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7A69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  <w:r w:rsidR="001122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  <w:p w14:paraId="3361DB44" w14:textId="7D91385E" w:rsidR="00112262" w:rsidRPr="007B7470" w:rsidRDefault="00112262" w:rsidP="00D9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4148A55" w14:textId="29DE5344" w:rsidR="007D5748" w:rsidRDefault="004E09CE" w:rsidP="004E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405</w:t>
            </w:r>
            <w:r w:rsidR="007A69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</w:t>
            </w:r>
          </w:p>
          <w:p w14:paraId="46CB1092" w14:textId="77777777" w:rsidR="004E09CE" w:rsidRDefault="004E09CE" w:rsidP="004E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26EFBD5" w14:textId="1B7A85F8" w:rsidR="004E09CE" w:rsidRDefault="004E09CE" w:rsidP="0011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  <w:r w:rsidR="001122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7A69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  <w:r w:rsidR="001122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  <w:p w14:paraId="4C257D72" w14:textId="0ED15F72" w:rsidR="00112262" w:rsidRPr="007B7470" w:rsidRDefault="00112262" w:rsidP="00D9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47F15CA5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459D0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6FA5574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5121AC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noWrap/>
            <w:vAlign w:val="center"/>
          </w:tcPr>
          <w:p w14:paraId="129B2CC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6117CE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013F3" w:rsidRPr="007B7470" w14:paraId="00F0B592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17BFEA9" w14:textId="77777777" w:rsidR="009013F3" w:rsidRPr="007B7470" w:rsidRDefault="009013F3" w:rsidP="00901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CE54F44" w14:textId="77777777" w:rsidR="009013F3" w:rsidRPr="007B7470" w:rsidRDefault="009013F3" w:rsidP="00901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1ED48B" w14:textId="77777777" w:rsidR="009013F3" w:rsidRPr="007B7470" w:rsidRDefault="009013F3" w:rsidP="00901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0DCCC778" w14:textId="44D87A87" w:rsidR="009013F3" w:rsidRPr="009013F3" w:rsidRDefault="009013F3" w:rsidP="00D7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01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694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D75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722 868</w:t>
            </w:r>
            <w:r w:rsidR="00D7586A" w:rsidRPr="00901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040CFA73" w14:textId="7A108BCC" w:rsidR="009013F3" w:rsidRPr="009013F3" w:rsidRDefault="00694455" w:rsidP="00694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461 368</w:t>
            </w:r>
          </w:p>
        </w:tc>
      </w:tr>
      <w:tr w:rsidR="009013F3" w:rsidRPr="007B7470" w14:paraId="4CBE268F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D724076" w14:textId="77777777" w:rsidR="009013F3" w:rsidRPr="007B7470" w:rsidRDefault="009013F3" w:rsidP="009013F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31FBEF8" w14:textId="77777777" w:rsidR="009013F3" w:rsidRPr="007B7470" w:rsidRDefault="009013F3" w:rsidP="00901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EDF5BD" w14:textId="77777777" w:rsidR="009013F3" w:rsidRPr="007B7470" w:rsidRDefault="009013F3" w:rsidP="00901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1AF93A5A" w14:textId="4481EE4E" w:rsidR="009013F3" w:rsidRPr="009013F3" w:rsidRDefault="00694455" w:rsidP="00D7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</w:t>
            </w:r>
            <w:r w:rsidR="00D758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722 868</w:t>
            </w:r>
            <w:r w:rsidR="00D7586A" w:rsidRPr="0090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66405307" w14:textId="2F9DE517" w:rsidR="009013F3" w:rsidRPr="009013F3" w:rsidRDefault="00694455" w:rsidP="007A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461 368</w:t>
            </w:r>
          </w:p>
        </w:tc>
      </w:tr>
      <w:tr w:rsidR="007D5748" w:rsidRPr="007B7470" w14:paraId="2C682ADD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5DA0ED2" w14:textId="20D3DFFA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  <w:r w:rsidR="004E0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0977641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4752A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7F3A55A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F6214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AC75041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3413A6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686B2EC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EE778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416D9F0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7B004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FEDB69D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B5EB5F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B7885C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B1C99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2490521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AA363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9B30CE9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D838371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69568128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36A5C62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AFB23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3F54BEF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2F2BE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55B6BEB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5032CFF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5E2114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BD6DB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5A26E3A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F8D6F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F84634A" w14:textId="77777777" w:rsidTr="009013F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F47D3F7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219B6A0C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6240147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5F003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0A97FAA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78774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AEA2A09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E1E3D3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8EDFC9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008FD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7999FFB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F50C6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9D5DD63" w14:textId="77777777" w:rsidTr="009013F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45B417B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BEBFDF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77A2D3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14:paraId="65248970" w14:textId="2C72B7A8" w:rsidR="005307FC" w:rsidRPr="007B7470" w:rsidRDefault="00D8104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+ 2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5B98952" w14:textId="58B7DBC3" w:rsidR="005307FC" w:rsidRPr="007B7470" w:rsidRDefault="00D8104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+ 2</w:t>
            </w:r>
          </w:p>
        </w:tc>
      </w:tr>
      <w:tr w:rsidR="005307FC" w:rsidRPr="007B7470" w14:paraId="6835F8CC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C9B0D90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36404B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14905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42F1CFCA" w14:textId="5E780F06" w:rsidR="005307FC" w:rsidRPr="007B7470" w:rsidRDefault="00D8104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+ 2</w:t>
            </w:r>
          </w:p>
        </w:tc>
        <w:tc>
          <w:tcPr>
            <w:tcW w:w="1267" w:type="dxa"/>
            <w:noWrap/>
            <w:vAlign w:val="center"/>
          </w:tcPr>
          <w:p w14:paraId="51BD5A17" w14:textId="14CBFBFE" w:rsidR="005307FC" w:rsidRPr="007B7470" w:rsidRDefault="00D8104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+ 2</w:t>
            </w:r>
          </w:p>
        </w:tc>
      </w:tr>
      <w:tr w:rsidR="005307FC" w:rsidRPr="007B7470" w14:paraId="0511C037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9969F25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264440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91B40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1FB540D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8499E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8C6991E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507AA6A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221735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52610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4B60A7D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132D8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8AA7C71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5ECDE27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B13583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2CB60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1E4F5E1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DA743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8EC146B" w14:textId="77777777" w:rsidTr="009013F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F74AF94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A8080E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EDE0A56" w14:textId="2E7852D3" w:rsidR="005307FC" w:rsidRPr="007B7470" w:rsidRDefault="00D8104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14:paraId="273F7F14" w14:textId="6D7C3F4D" w:rsidR="005307FC" w:rsidRPr="007B7470" w:rsidRDefault="003B1D5F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40</w:t>
            </w:r>
            <w:r w:rsidR="00D81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9FAE33A" w14:textId="4A33C18A" w:rsidR="005307FC" w:rsidRPr="007B7470" w:rsidRDefault="003B1D5F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40</w:t>
            </w:r>
            <w:r w:rsidR="00D81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</w:t>
            </w:r>
            <w:r w:rsidR="00D81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00</w:t>
            </w:r>
          </w:p>
        </w:tc>
      </w:tr>
      <w:tr w:rsidR="005307FC" w:rsidRPr="007B7470" w14:paraId="677F0527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3D8195F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4523CD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F3AF3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7C96690F" w14:textId="679DD539" w:rsidR="005307FC" w:rsidRPr="007B7470" w:rsidRDefault="003B1D5F" w:rsidP="003B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</w:t>
            </w:r>
            <w:r w:rsidR="00D810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</w:t>
            </w:r>
            <w:r w:rsidR="00D810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noWrap/>
            <w:vAlign w:val="center"/>
          </w:tcPr>
          <w:p w14:paraId="3149639B" w14:textId="6C482DE1" w:rsidR="005307FC" w:rsidRPr="007B7470" w:rsidRDefault="003B1D5F" w:rsidP="003B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</w:t>
            </w:r>
            <w:r w:rsidR="00D810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</w:t>
            </w:r>
            <w:r w:rsidR="00D810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</w:p>
        </w:tc>
      </w:tr>
      <w:tr w:rsidR="005307FC" w:rsidRPr="007B7470" w14:paraId="1C8BF29A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EF58CD3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D28447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D7132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3205653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0846A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2452533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FE6C7AD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387078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37703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6FD81EE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27787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F4E01EE" w14:textId="77777777" w:rsidTr="009013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1B109AA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FCCAD9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2BD30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14:paraId="0E4C236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F6775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6687650" w14:textId="77777777" w:rsidTr="009013F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EACC475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4F96A7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F750B6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C0C0C0"/>
            <w:noWrap/>
            <w:vAlign w:val="center"/>
          </w:tcPr>
          <w:p w14:paraId="08442C0B" w14:textId="618C8080" w:rsidR="005307FC" w:rsidRPr="007B7470" w:rsidRDefault="003907ED" w:rsidP="00E73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</w:t>
            </w:r>
            <w:r w:rsidR="00D75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722 868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A5A5480" w14:textId="7944B541" w:rsidR="005307FC" w:rsidRPr="007B7470" w:rsidRDefault="003907ED" w:rsidP="00390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461 368</w:t>
            </w:r>
          </w:p>
        </w:tc>
      </w:tr>
      <w:tr w:rsidR="005307FC" w:rsidRPr="007B7470" w14:paraId="35B6AE6B" w14:textId="77777777" w:rsidTr="009013F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989006F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7E268C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3D9AA6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14:paraId="506BEA2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70353E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A610979" w14:textId="77777777" w:rsidTr="009013F3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3C4E0F1F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9A6E05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1F95FC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A6A6A6" w:themeFill="background1" w:themeFillShade="A6"/>
            <w:noWrap/>
            <w:vAlign w:val="center"/>
          </w:tcPr>
          <w:p w14:paraId="46DBCD33" w14:textId="6E72557C" w:rsidR="005307FC" w:rsidRPr="007B7470" w:rsidRDefault="003907ED" w:rsidP="00694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95C060D" w14:textId="2F9D541F" w:rsidR="005307FC" w:rsidRPr="007B7470" w:rsidRDefault="003907ED" w:rsidP="00694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14:paraId="3EE8ABE2" w14:textId="77777777" w:rsidR="00651F9D" w:rsidRDefault="00651F9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7B53E66" w14:textId="44FD27B2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9013F3" w:rsidRPr="007B7470" w14:paraId="58901760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27A7EB" w14:textId="77777777" w:rsidR="009013F3" w:rsidRPr="007B7470" w:rsidRDefault="009013F3" w:rsidP="00901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61CC8C" w14:textId="3B3DCB90" w:rsidR="009013F3" w:rsidRPr="007B7470" w:rsidRDefault="009013F3" w:rsidP="0090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F0D919" w14:textId="2B5476F2" w:rsidR="009013F3" w:rsidRPr="007B7470" w:rsidRDefault="009013F3" w:rsidP="0090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C55D6F" w14:textId="2B996805" w:rsidR="009013F3" w:rsidRPr="007B7470" w:rsidRDefault="009013F3" w:rsidP="0090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9E64DB" w14:textId="045B7182" w:rsidR="009013F3" w:rsidRPr="007B7470" w:rsidRDefault="009013F3" w:rsidP="0090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14:paraId="6BBA4D89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DD946B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ED9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935E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6140" w14:textId="06C22308" w:rsidR="001C721D" w:rsidRPr="007B7470" w:rsidRDefault="003907E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C7DE" w14:textId="2F2AA747" w:rsidR="001C721D" w:rsidRPr="007B7470" w:rsidRDefault="003907E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3907ED" w:rsidRPr="007B7470" w14:paraId="4212C336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3D8252" w14:textId="12A5E7ED" w:rsidR="003907ED" w:rsidRPr="007B7470" w:rsidRDefault="003907ED" w:rsidP="0039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5FE1" w14:textId="1FBA1B5B" w:rsidR="003907ED" w:rsidRPr="007B7470" w:rsidRDefault="003907E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F749" w14:textId="54F4375B" w:rsidR="003907ED" w:rsidRPr="007B7470" w:rsidRDefault="003907E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5602" w14:textId="37FC8D41" w:rsidR="003907ED" w:rsidRPr="007B7470" w:rsidRDefault="003907E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DD3" w14:textId="6EC3BF5E" w:rsidR="003907ED" w:rsidRPr="007B7470" w:rsidRDefault="003907E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3DB14CBF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D7C41C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9AD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5414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6220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DD2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134DB" w:rsidRPr="007B7470" w14:paraId="0F2B3EF0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DA22B6" w14:textId="77777777" w:rsidR="00B134DB" w:rsidRPr="007B7470" w:rsidRDefault="00B134DB" w:rsidP="00B1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8C77" w14:textId="77777777" w:rsidR="00B134DB" w:rsidRPr="007B7470" w:rsidRDefault="00B134DB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7DBC" w14:textId="77777777" w:rsidR="00B134DB" w:rsidRPr="007B7470" w:rsidRDefault="00B134DB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5A3B" w14:textId="30747D66" w:rsidR="00B134DB" w:rsidRPr="007B7470" w:rsidRDefault="003907E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6778" w14:textId="323BF84E" w:rsidR="00B134DB" w:rsidRPr="007B7470" w:rsidRDefault="003907E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1B755FDF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1A3696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D136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F1B6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EF1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E5B6" w14:textId="77777777" w:rsidR="001C721D" w:rsidRPr="007B7470" w:rsidRDefault="001C721D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1D5B2DFF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EB9F18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0E38" w14:textId="5F547DAE" w:rsidR="002135D4" w:rsidRPr="007B7470" w:rsidRDefault="00E41D01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6485" w14:textId="017EC4A4" w:rsidR="002135D4" w:rsidRPr="007B7470" w:rsidRDefault="00E41D01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1003" w14:textId="77F5E0A7" w:rsidR="002135D4" w:rsidRPr="007B7470" w:rsidRDefault="00E41D01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5128" w14:textId="3394D202" w:rsidR="002135D4" w:rsidRPr="007B7470" w:rsidRDefault="00E41D01" w:rsidP="0072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49716676" w14:textId="77777777" w:rsidR="00AC4C25" w:rsidRDefault="00AC4C25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C53094" w14:textId="1A8A5F29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4705E524" w14:textId="77777777" w:rsidR="005779AA" w:rsidRPr="003905CB" w:rsidRDefault="005779AA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Prijatie návrhu zákona predpokladá pozitívny aj negatívny vplyv na rozpočet verejnej správy na roky 2026 až 2028.</w:t>
      </w:r>
    </w:p>
    <w:p w14:paraId="48347F0D" w14:textId="77777777" w:rsidR="005779AA" w:rsidRPr="003905CB" w:rsidRDefault="005779AA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0FB01EC" w14:textId="363F44D2" w:rsidR="005779AA" w:rsidRDefault="005779AA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Cieľom návrhu zákona a transponovanej smernice je posilniť existujúci legislatívny rámec rozšírením rozsahu oznamovacích a registračných povinností a celkovej administratívnej spolupráce daňových správ. Návrh zákona zavádza nový druh automatickej výmeny informácií o 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kryptoaktívach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v rámci ktorej ukladá povinnosť pre poskytovateľov služieb 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kryptoaktív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oznamovať finančnej správe informácie o 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kryptoaktívach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slúžiacich na platobné a investičné účely. Okrem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ového druhu automatickej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výmeny sa rozširuje aj pôsobnosť automatickej výmeny o finančných účtoch aj na elektronické peniaze a digitálne meny centrálnych bánk</w:t>
      </w:r>
      <w:r w:rsidR="00B134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súlade s aktualizáciou spoločného štandardu oznamovania (CRS). Návrh zákona zároveň rozšíri rozsah pravidiel výmeny informácií o cezhraničných záväzných stanoviskách zahrnutím ustanovení o výmene cezhraničných záväzných stanovísk týkajúcich sa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majetných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fyzických osôb, ako aj ustanovení o automatickej výmene informácií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dividendách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vyplatených na iný ako správcovský  účet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 cieľom znížiť riziká daňových únikov, vyhýbania sa daňovým povinnostiam a daňových podvodov. Cieľom návrhu je tiež zlepšiť pravidlá oznamovania a zasielania daňového identifikačného čísla (DIČ) v záujme uľahčenia úlohy daňových orgánov pri identifikácii príslušných daňovníkov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účely kontroly plnenia daňových povinností. V súlade s cieľmi smernice sa navrhujú aj príslušné sankcie za nesplnenie povinností vyplývajúcich zo zákona. </w:t>
      </w:r>
    </w:p>
    <w:p w14:paraId="2EEA2451" w14:textId="77777777" w:rsidR="00B21111" w:rsidRPr="003905CB" w:rsidRDefault="00B21111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31EF5E" w14:textId="34400FDF" w:rsidR="005779AA" w:rsidRDefault="005779AA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Vzhľadom na časový rámec smernice a začiatok platnosti pravidiel pre automatickú výmenu informácií podľa </w:t>
      </w:r>
      <w:r w:rsidRPr="003905CB">
        <w:rPr>
          <w:rFonts w:ascii="Times New Roman" w:hAnsi="Times New Roman" w:cs="Times New Roman"/>
          <w:sz w:val="24"/>
          <w:szCs w:val="24"/>
        </w:rPr>
        <w:t xml:space="preserve">smernice Rady (EÚ) 2023/2226 zo 17. októbra 2023, ktorou sa mení smernica 2011/16/EÚ o administratívnej spolupráci v oblasti daní </w:t>
      </w:r>
      <w:r w:rsidRPr="003905CB">
        <w:rPr>
          <w:rFonts w:ascii="Times New Roman" w:hAnsi="Times New Roman" w:cs="Times New Roman"/>
          <w:bCs/>
          <w:sz w:val="24"/>
          <w:szCs w:val="24"/>
        </w:rPr>
        <w:t>(Ú. v. EÚ L 119, 24. 10. 2023)</w:t>
      </w:r>
      <w:r>
        <w:rPr>
          <w:rFonts w:ascii="Times New Roman" w:hAnsi="Times New Roman" w:cs="Times New Roman"/>
          <w:bCs/>
          <w:sz w:val="24"/>
          <w:szCs w:val="24"/>
        </w:rPr>
        <w:t>, tzv</w:t>
      </w:r>
      <w:r w:rsidR="00E41D01">
        <w:rPr>
          <w:rFonts w:ascii="Times New Roman" w:hAnsi="Times New Roman" w:cs="Times New Roman"/>
          <w:bCs/>
          <w:sz w:val="24"/>
          <w:szCs w:val="24"/>
        </w:rPr>
        <w:t>. </w:t>
      </w:r>
      <w:r>
        <w:rPr>
          <w:rFonts w:ascii="Times New Roman" w:hAnsi="Times New Roman" w:cs="Times New Roman"/>
          <w:bCs/>
          <w:sz w:val="24"/>
          <w:szCs w:val="24"/>
        </w:rPr>
        <w:t>smernica DAC8</w:t>
      </w:r>
      <w:r w:rsidRPr="003905CB">
        <w:rPr>
          <w:rFonts w:ascii="Times New Roman" w:hAnsi="Times New Roman" w:cs="Times New Roman"/>
          <w:bCs/>
          <w:sz w:val="24"/>
          <w:szCs w:val="24"/>
        </w:rPr>
        <w:t xml:space="preserve"> (ďalej len „smernica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(EÚ) 2023/2226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ako aj vykonávanie postupov preverovania zo strany poskytovateľov služieb 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kryptoaktív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 účinnosťou od 1. januára 2026, prvé oznámenie informácií prebehne do konca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mája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2027 a prvá automatická výmena podľa smernice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(EÚ) 2023/2226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medzi príslušnými orgánmi sa uskutoční prvýkrát v septembri 2027.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 vyhodnocovaniu a preverovaniu prijatých informácií môže finančná správa prikročiť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koncom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roka 2027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keď budú k dispozícii prijaté dáta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Zavedenie novej výmeny informácií o 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kryptoaktívach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môže mať pozitívny vplyv na dobrovoľné plnenie daňových povinností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dotknutých daňovníkov. Pozitívne prínosy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rozpočet verejnej správy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možno očakávať v horizonte od roku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8, avšak v súčasnosti nie je možné kvantifikovať konkrétnu výšku daňových príjmov. </w:t>
      </w:r>
      <w:r w:rsidR="00197A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informáciu dopĺňame, že Európska komisia v rámci zhodnotenia dopadov smernice uviedla, že iniciatíva bude </w:t>
      </w:r>
      <w:r w:rsidR="00197A50" w:rsidRPr="003C5B2F">
        <w:rPr>
          <w:rFonts w:ascii="Times New Roman" w:eastAsia="Times New Roman" w:hAnsi="Times New Roman" w:cs="Times New Roman"/>
          <w:sz w:val="24"/>
          <w:szCs w:val="24"/>
          <w:lang w:eastAsia="sk-SK"/>
        </w:rPr>
        <w:t>mať pozitívny vplyv na výber daní</w:t>
      </w:r>
      <w:r w:rsidR="00197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členských štátoch EÚ</w:t>
      </w:r>
      <w:r w:rsidR="00197A50" w:rsidRPr="003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pričom dodatočné daňové príjmy plynúce z transakcií s </w:t>
      </w:r>
      <w:proofErr w:type="spellStart"/>
      <w:r w:rsidR="00197A50" w:rsidRPr="003C5B2F">
        <w:rPr>
          <w:rFonts w:ascii="Times New Roman" w:eastAsia="Times New Roman" w:hAnsi="Times New Roman" w:cs="Times New Roman"/>
          <w:sz w:val="24"/>
          <w:szCs w:val="24"/>
          <w:lang w:eastAsia="sk-SK"/>
        </w:rPr>
        <w:t>kryptoaktívami</w:t>
      </w:r>
      <w:proofErr w:type="spellEnd"/>
      <w:r w:rsidR="00197A50" w:rsidRPr="003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97A50">
        <w:rPr>
          <w:rFonts w:ascii="Times New Roman" w:eastAsia="Times New Roman" w:hAnsi="Times New Roman" w:cs="Times New Roman"/>
          <w:sz w:val="24"/>
          <w:szCs w:val="24"/>
          <w:lang w:eastAsia="sk-SK"/>
        </w:rPr>
        <w:t>odhadla</w:t>
      </w:r>
      <w:r w:rsidR="00197A50" w:rsidRPr="003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97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celkovo </w:t>
      </w:r>
      <w:r w:rsidR="00197A50" w:rsidRPr="003C5B2F">
        <w:rPr>
          <w:rFonts w:ascii="Times New Roman" w:eastAsia="Times New Roman" w:hAnsi="Times New Roman" w:cs="Times New Roman"/>
          <w:sz w:val="24"/>
          <w:szCs w:val="24"/>
          <w:lang w:eastAsia="sk-SK"/>
        </w:rPr>
        <w:t>na 1,7 miliardy eur</w:t>
      </w:r>
      <w:r w:rsidR="00197A50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neuviedla rozdelenie týchto očakávaných príjmov pre jednotlivé členské štáty</w:t>
      </w:r>
      <w:r w:rsidR="00197A50" w:rsidRPr="003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19E1A4C" w14:textId="77777777" w:rsidR="00197A50" w:rsidRDefault="00197A50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0F50D29" w14:textId="4031E58C" w:rsidR="005779AA" w:rsidRPr="003905CB" w:rsidRDefault="005779AA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 nesplnenie povinností uvedených v návrhu zákona sa ukladajú poskytovateľom služieb 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kryptoaktív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sankcie, ktoré zohľadňujú požiadavky smernice a sú stanovené tak, aby boli primerané, odrádzajúce a účinné. Výška sankcií zároveň zohľadňuje závažnosť nesplnenej povinnosti. Príjem z uložených a vybratých pokút bude mať pozitívny vplyv na rozpočet verejnej správy, ktorý nie je možné v súčasnosti kvantifikovať a bude závisieť od miery plnenia povinností zo strany poskytovateľov služieb 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kryptoaktív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1406A7A1" w14:textId="77777777" w:rsidR="005779AA" w:rsidRPr="003905CB" w:rsidRDefault="005779AA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E5974C6" w14:textId="2E89CCD6" w:rsidR="005779AA" w:rsidRPr="003905CB" w:rsidRDefault="005779AA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predpokladá aj negatívny vplyv na rozpočet. Ide o nasledovné </w:t>
      </w:r>
      <w:r w:rsidR="00F06F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indikatívne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investičné a prevádzkové náklady v rokoch 2026 – 2028 spojené so zavedením informačného systému pre automatickú výmenu podľa smernice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(EÚ) 2023/2226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zmenami existujúcich informačných systémov (sumy sú uvedené v eurách </w:t>
      </w:r>
      <w:r w:rsidR="00F400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vrátane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DPH</w:t>
      </w:r>
      <w:r w:rsidR="00F400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 výške 23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00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%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):</w:t>
      </w:r>
    </w:p>
    <w:p w14:paraId="0D9D03C3" w14:textId="77777777" w:rsidR="005779AA" w:rsidRDefault="005779AA" w:rsidP="005779AA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9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1735"/>
        <w:gridCol w:w="1658"/>
        <w:gridCol w:w="1725"/>
      </w:tblGrid>
      <w:tr w:rsidR="00B134DB" w14:paraId="73E0D293" w14:textId="77777777" w:rsidTr="00C32DD2">
        <w:trPr>
          <w:trHeight w:hRule="exact" w:val="351"/>
        </w:trPr>
        <w:tc>
          <w:tcPr>
            <w:tcW w:w="42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09F81" w14:textId="3D1CD723" w:rsidR="00B134DB" w:rsidRPr="00AE23F6" w:rsidRDefault="00B134DB" w:rsidP="00723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23F6">
              <w:rPr>
                <w:rFonts w:ascii="Times New Roman" w:hAnsi="Times New Roman" w:cs="Times New Roman"/>
                <w:b/>
                <w:bCs/>
                <w:color w:val="000000"/>
              </w:rPr>
              <w:t>Informačný systém</w:t>
            </w:r>
          </w:p>
        </w:tc>
        <w:tc>
          <w:tcPr>
            <w:tcW w:w="5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40781" w14:textId="01E51E00" w:rsidR="00B134DB" w:rsidRPr="00AE23F6" w:rsidRDefault="00B134DB" w:rsidP="00723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 w:rsidRPr="00AE23F6">
              <w:rPr>
                <w:rFonts w:ascii="Times New Roman" w:hAnsi="Times New Roman" w:cs="Times New Roman"/>
                <w:b/>
                <w:bCs/>
                <w:color w:val="000000"/>
              </w:rPr>
              <w:t>inančný dopad</w:t>
            </w:r>
          </w:p>
        </w:tc>
      </w:tr>
      <w:tr w:rsidR="00B134DB" w14:paraId="04577611" w14:textId="77777777" w:rsidTr="00C32DD2">
        <w:trPr>
          <w:trHeight w:hRule="exact" w:val="345"/>
        </w:trPr>
        <w:tc>
          <w:tcPr>
            <w:tcW w:w="4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B5521" w14:textId="74CA0462" w:rsidR="00B134DB" w:rsidRPr="00AE23F6" w:rsidRDefault="00B134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D930D" w14:textId="77777777" w:rsidR="00B134DB" w:rsidRPr="00AE23F6" w:rsidRDefault="00B134DB" w:rsidP="00723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k-SK"/>
              </w:rPr>
            </w:pPr>
            <w:r w:rsidRPr="00AE23F6"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F3F2C" w14:textId="77777777" w:rsidR="00B134DB" w:rsidRPr="00AE23F6" w:rsidRDefault="00B134DB" w:rsidP="00723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23F6">
              <w:rPr>
                <w:rFonts w:ascii="Times New Roman" w:hAnsi="Times New Roman" w:cs="Times New Roman"/>
                <w:b/>
                <w:bCs/>
                <w:color w:val="000000"/>
              </w:rPr>
              <w:t>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778F1" w14:textId="77777777" w:rsidR="00B134DB" w:rsidRPr="00AE23F6" w:rsidRDefault="00B134DB" w:rsidP="00723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23F6">
              <w:rPr>
                <w:rFonts w:ascii="Times New Roman" w:hAnsi="Times New Roman" w:cs="Times New Roman"/>
                <w:b/>
                <w:bCs/>
                <w:color w:val="000000"/>
              </w:rPr>
              <w:t>2028</w:t>
            </w:r>
          </w:p>
        </w:tc>
      </w:tr>
      <w:tr w:rsidR="00F40099" w14:paraId="72ACCE34" w14:textId="77777777" w:rsidTr="00C32DD2">
        <w:trPr>
          <w:trHeight w:hRule="exact" w:val="339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92CB7" w14:textId="5105E8E2" w:rsidR="00F40099" w:rsidRPr="00AE23F6" w:rsidRDefault="003942C1" w:rsidP="007239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 xml:space="preserve">Portál </w:t>
            </w:r>
            <w:r w:rsidR="00B134DB">
              <w:rPr>
                <w:rFonts w:ascii="Times New Roman" w:hAnsi="Times New Roman" w:cs="Times New Roman"/>
                <w:color w:val="000000"/>
              </w:rPr>
              <w:t>f</w:t>
            </w:r>
            <w:r w:rsidRPr="00AE23F6">
              <w:rPr>
                <w:rFonts w:ascii="Times New Roman" w:hAnsi="Times New Roman" w:cs="Times New Roman"/>
                <w:color w:val="000000"/>
              </w:rPr>
              <w:t>inančnej správy (</w:t>
            </w:r>
            <w:r w:rsidR="00F40099" w:rsidRPr="00AE23F6">
              <w:rPr>
                <w:rFonts w:ascii="Times New Roman" w:hAnsi="Times New Roman" w:cs="Times New Roman"/>
                <w:color w:val="000000"/>
              </w:rPr>
              <w:t>PFS</w:t>
            </w:r>
            <w:r w:rsidRPr="00AE23F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52759" w14:textId="1F0FFBB3" w:rsidR="00F40099" w:rsidRPr="00AE23F6" w:rsidRDefault="00E73E87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331 547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34404" w14:textId="77777777" w:rsidR="00F40099" w:rsidRPr="00AE23F6" w:rsidRDefault="00F40099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5409F" w14:textId="77777777" w:rsidR="00F40099" w:rsidRPr="00AE23F6" w:rsidRDefault="00F40099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40099" w14:paraId="23DC253A" w14:textId="77777777" w:rsidTr="00C32DD2">
        <w:trPr>
          <w:trHeight w:hRule="exact" w:val="556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FB2F0" w14:textId="6DE10EDC" w:rsidR="00F40099" w:rsidRPr="00AE23F6" w:rsidRDefault="003942C1" w:rsidP="007239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I</w:t>
            </w:r>
            <w:r w:rsidR="00B134DB">
              <w:rPr>
                <w:rFonts w:ascii="Times New Roman" w:hAnsi="Times New Roman" w:cs="Times New Roman"/>
                <w:color w:val="000000"/>
              </w:rPr>
              <w:t>ntegrovaný</w:t>
            </w:r>
            <w:r w:rsidRPr="00AE23F6">
              <w:rPr>
                <w:rFonts w:ascii="Times New Roman" w:hAnsi="Times New Roman" w:cs="Times New Roman"/>
                <w:color w:val="000000"/>
              </w:rPr>
              <w:t xml:space="preserve"> systém finančnej správy </w:t>
            </w:r>
            <w:r w:rsidR="00B134DB">
              <w:rPr>
                <w:rFonts w:ascii="Times New Roman" w:hAnsi="Times New Roman" w:cs="Times New Roman"/>
                <w:color w:val="000000"/>
              </w:rPr>
              <w:t xml:space="preserve">– správa daní </w:t>
            </w:r>
            <w:r w:rsidRPr="00AE23F6">
              <w:rPr>
                <w:rFonts w:ascii="Times New Roman" w:hAnsi="Times New Roman" w:cs="Times New Roman"/>
                <w:color w:val="000000"/>
              </w:rPr>
              <w:t>(</w:t>
            </w:r>
            <w:r w:rsidR="00F40099" w:rsidRPr="00AE23F6">
              <w:rPr>
                <w:rFonts w:ascii="Times New Roman" w:hAnsi="Times New Roman" w:cs="Times New Roman"/>
                <w:color w:val="000000"/>
              </w:rPr>
              <w:t>ISFS-SD</w:t>
            </w:r>
            <w:r w:rsidRPr="00AE23F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06D2B" w14:textId="4EC17EED" w:rsidR="00F40099" w:rsidRPr="00AE23F6" w:rsidRDefault="00E73E87" w:rsidP="00E73E8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AE23F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8C524" w14:textId="77777777" w:rsidR="00F40099" w:rsidRPr="00AE23F6" w:rsidRDefault="00F40099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FCA99" w14:textId="77777777" w:rsidR="00F40099" w:rsidRPr="00AE23F6" w:rsidRDefault="00F40099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40099" w14:paraId="7BA2FB3A" w14:textId="77777777" w:rsidTr="00C32DD2">
        <w:trPr>
          <w:trHeight w:hRule="exact" w:val="76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C0EB8" w14:textId="77777777" w:rsidR="00F40099" w:rsidRDefault="003942C1" w:rsidP="007239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 xml:space="preserve">Automatická výmena informácií </w:t>
            </w:r>
            <w:r w:rsidR="00B134DB">
              <w:rPr>
                <w:rFonts w:ascii="Times New Roman" w:hAnsi="Times New Roman" w:cs="Times New Roman"/>
                <w:color w:val="000000"/>
              </w:rPr>
              <w:t>(</w:t>
            </w:r>
            <w:r w:rsidR="00F40099" w:rsidRPr="00AE23F6">
              <w:rPr>
                <w:rFonts w:ascii="Times New Roman" w:hAnsi="Times New Roman" w:cs="Times New Roman"/>
                <w:color w:val="000000"/>
              </w:rPr>
              <w:t>AVI</w:t>
            </w:r>
            <w:r w:rsidR="00B134DB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4F8CED26" w14:textId="59656A21" w:rsidR="00B134DB" w:rsidRPr="00AE23F6" w:rsidRDefault="00B134DB" w:rsidP="007239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Bezpečnostný certifikát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E22D2" w14:textId="14BE8E08" w:rsidR="00F40099" w:rsidRDefault="003942C1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1 </w:t>
            </w:r>
            <w:r w:rsidR="00E73E87" w:rsidRPr="00AE23F6">
              <w:rPr>
                <w:rFonts w:ascii="Times New Roman" w:hAnsi="Times New Roman" w:cs="Times New Roman"/>
                <w:color w:val="000000"/>
              </w:rPr>
              <w:t>0</w:t>
            </w:r>
            <w:r w:rsidR="00E73E87">
              <w:rPr>
                <w:rFonts w:ascii="Times New Roman" w:hAnsi="Times New Roman" w:cs="Times New Roman"/>
                <w:color w:val="000000"/>
              </w:rPr>
              <w:t>70 100</w:t>
            </w:r>
          </w:p>
          <w:p w14:paraId="6C72A4CB" w14:textId="60319CAC" w:rsidR="00B134DB" w:rsidRPr="00AE23F6" w:rsidRDefault="00B134DB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B7C6D" w14:textId="671A8AA9" w:rsidR="00F40099" w:rsidRDefault="003942C1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258</w:t>
            </w:r>
            <w:r w:rsidR="00B134DB">
              <w:rPr>
                <w:rFonts w:ascii="Times New Roman" w:hAnsi="Times New Roman" w:cs="Times New Roman"/>
                <w:color w:val="000000"/>
              </w:rPr>
              <w:t> </w:t>
            </w:r>
            <w:r w:rsidRPr="00AE23F6">
              <w:rPr>
                <w:rFonts w:ascii="Times New Roman" w:hAnsi="Times New Roman" w:cs="Times New Roman"/>
                <w:color w:val="000000"/>
              </w:rPr>
              <w:t>300</w:t>
            </w:r>
          </w:p>
          <w:p w14:paraId="0528DF5C" w14:textId="26419E1D" w:rsidR="00B134DB" w:rsidRPr="00AE23F6" w:rsidRDefault="00B134DB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BA6D1" w14:textId="52361B77" w:rsidR="00F40099" w:rsidRDefault="003942C1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98</w:t>
            </w:r>
            <w:r w:rsidR="00B134DB">
              <w:rPr>
                <w:rFonts w:ascii="Times New Roman" w:hAnsi="Times New Roman" w:cs="Times New Roman"/>
                <w:color w:val="000000"/>
              </w:rPr>
              <w:t> </w:t>
            </w:r>
            <w:r w:rsidRPr="00AE23F6">
              <w:rPr>
                <w:rFonts w:ascii="Times New Roman" w:hAnsi="Times New Roman" w:cs="Times New Roman"/>
                <w:color w:val="000000"/>
              </w:rPr>
              <w:t>400</w:t>
            </w:r>
          </w:p>
          <w:p w14:paraId="0C0D7736" w14:textId="43C5A4AF" w:rsidR="00B134DB" w:rsidRPr="00AE23F6" w:rsidRDefault="00B134DB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0099" w14:paraId="4972A3FE" w14:textId="77777777" w:rsidTr="00C32DD2">
        <w:trPr>
          <w:trHeight w:hRule="exact" w:val="4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CCB25" w14:textId="56B27F51" w:rsidR="00F40099" w:rsidRPr="00AE23F6" w:rsidRDefault="003942C1" w:rsidP="007239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AE23F6">
              <w:rPr>
                <w:rFonts w:ascii="Times New Roman" w:hAnsi="Times New Roman" w:cs="Times New Roman"/>
                <w:color w:val="000000"/>
              </w:rPr>
              <w:t>Warehouse</w:t>
            </w:r>
            <w:proofErr w:type="spellEnd"/>
            <w:r w:rsidRPr="00AE23F6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40099" w:rsidRPr="00AE23F6">
              <w:rPr>
                <w:rFonts w:ascii="Times New Roman" w:hAnsi="Times New Roman" w:cs="Times New Roman"/>
                <w:color w:val="000000"/>
              </w:rPr>
              <w:t>DWH</w:t>
            </w:r>
            <w:r w:rsidRPr="00AE23F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A13A5" w14:textId="77777777" w:rsidR="00F40099" w:rsidRPr="00AE23F6" w:rsidRDefault="00F40099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08C89" w14:textId="4C7F078A" w:rsidR="00F40099" w:rsidRPr="00AE23F6" w:rsidRDefault="003942C1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147 600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C5DAD" w14:textId="0A1656BF" w:rsidR="00F40099" w:rsidRPr="00AE23F6" w:rsidRDefault="003942C1" w:rsidP="00723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23F6">
              <w:rPr>
                <w:rFonts w:ascii="Times New Roman" w:hAnsi="Times New Roman" w:cs="Times New Roman"/>
                <w:color w:val="000000"/>
              </w:rPr>
              <w:t>36 900</w:t>
            </w:r>
          </w:p>
        </w:tc>
      </w:tr>
      <w:tr w:rsidR="00F40099" w14:paraId="7BD3EE88" w14:textId="77777777" w:rsidTr="00C32DD2">
        <w:trPr>
          <w:trHeight w:hRule="exact" w:val="423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A2190" w14:textId="765651BC" w:rsidR="00F40099" w:rsidRPr="00AE23F6" w:rsidRDefault="00AE23F6" w:rsidP="00723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F40099" w:rsidRPr="00AE23F6">
              <w:rPr>
                <w:rFonts w:ascii="Times New Roman" w:hAnsi="Times New Roman" w:cs="Times New Roman"/>
                <w:b/>
                <w:bCs/>
                <w:color w:val="000000"/>
              </w:rPr>
              <w:t>elkom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6666E" w14:textId="5D482DC1" w:rsidR="00F40099" w:rsidRPr="00AE23F6" w:rsidRDefault="00F40099" w:rsidP="00E73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23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 w:rsidR="00E73E87">
              <w:rPr>
                <w:rFonts w:ascii="Times New Roman" w:hAnsi="Times New Roman" w:cs="Times New Roman"/>
                <w:b/>
                <w:bCs/>
                <w:color w:val="000000"/>
              </w:rPr>
              <w:t>667</w:t>
            </w:r>
            <w:r w:rsidR="00E73E87" w:rsidRPr="00AE23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73E87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  <w:r w:rsidR="00E73E87" w:rsidRPr="00AE23F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470FC" w14:textId="5596ADEC" w:rsidR="00F40099" w:rsidRPr="00AE23F6" w:rsidRDefault="002837B5" w:rsidP="00723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23F6">
              <w:rPr>
                <w:rFonts w:ascii="Times New Roman" w:hAnsi="Times New Roman" w:cs="Times New Roman"/>
                <w:b/>
                <w:bCs/>
                <w:color w:val="000000"/>
              </w:rPr>
              <w:t>405 900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F6A76" w14:textId="3EBB89EE" w:rsidR="00F40099" w:rsidRPr="00AE23F6" w:rsidRDefault="002837B5" w:rsidP="00723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23F6">
              <w:rPr>
                <w:rFonts w:ascii="Times New Roman" w:hAnsi="Times New Roman" w:cs="Times New Roman"/>
                <w:b/>
                <w:bCs/>
                <w:color w:val="000000"/>
              </w:rPr>
              <w:t>135 300</w:t>
            </w:r>
          </w:p>
        </w:tc>
      </w:tr>
    </w:tbl>
    <w:p w14:paraId="1B86A249" w14:textId="34B87990" w:rsidR="00694455" w:rsidRPr="007B7093" w:rsidRDefault="00694455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Nadväzne na úpravy a postupy týkajúce sa riešenia porušenia ochrany údajov a bezpečnosti bude potrebné v rámci finančnej správy vypracovať postupy na zamedzenie úniku dát a minimalizácie škôd po identifikovaní úniku dát. Náklady na vydanie bezpečnostného certifikátu súvisiaceho so zavedením automatickej výmeny informácií podľa smernice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(EÚ) 2023/2226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zmien v ostatných moduloch na výmenu informácií sú odhadované </w:t>
      </w:r>
      <w:r w:rsidR="001F4A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rok 2026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 výške </w:t>
      </w:r>
      <w:r w:rsidRPr="007B70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35 000 eur.</w:t>
      </w:r>
    </w:p>
    <w:p w14:paraId="0E1EEEF3" w14:textId="0E45C877" w:rsidR="005779AA" w:rsidRPr="007B7093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49EA2F7" w14:textId="54BB202E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Vzhľadom na zverejnený 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iZoznam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daňových subjektov registrovaných na daň z príjmov na Portáli finančnej správy, ktorý obsahuje aj daňové identifikačné číslo (DIČ) a umožňuje overenie čísla registrácie podobne ako pri 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iZozname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daňových subjektov registrovaných pre DPH, sa nepredpokladajú dodatočné náklady spojené s verifikačný</w:t>
      </w:r>
      <w:r w:rsidR="00C539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systémom na overenie DIČ </w:t>
      </w:r>
      <w:r w:rsidR="00F73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používateľa </w:t>
      </w:r>
      <w:proofErr w:type="spellStart"/>
      <w:r w:rsidR="00F73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kryptoaktív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64DEB7F1" w14:textId="77777777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438D10" w14:textId="6608087E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súvislosti s transponovaním smernice sa predpokladá nárast objemu vymieňaných informácií, požiadavka na efektívne využívanie týchto informácií, hodnotenie účinnosti automatickej výmeny informácií a jej oznamovanie Európskej komisii. V rámci Finančného riaditeľstva SR</w:t>
      </w:r>
      <w:r w:rsidR="00A57F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(FR SR)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bude oddelenie AVI zodpovedné za zabezpečenie a fungovanie výmeny informácií, zabezpečí zverejňovanie informácií na portáli </w:t>
      </w:r>
      <w:r w:rsidR="00C539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inančnej správy pre subjekty, bude riešiť dopyty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od subjektov a bude komunikovať so správcami dane pri riešení dopytov. Z pohľadu využitia informácii podľa smernice DAC8 by mal byť použitý podobný postup ako pri vyhodnocovaní dát získaných v rámci výmeny podľa smernice 2011/16/EÚ (DAC1) a výmeny finančných účtov podľa smernice 2014/107/EÚ (DAC2), globálneho štandardu CRS a Dohody FATCA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 j. prijaté informácie budú zaradené do procesov stotožňovania a vyhodnocovania na oddelení AVI, pričom bude prebiehať analytická a metodická spolupráca s viacerými útvarmi FR</w:t>
      </w:r>
      <w:r w:rsidR="004F434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SR. Kontrola postupov preverovania by mala byť nastavená podobne ako pri FATCA/DAC2/CRS, t. j. oddelenie AVI na základe analýzy vyberie poskytovateľov služieb </w:t>
      </w:r>
      <w:proofErr w:type="spellStart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kryptoaktív</w:t>
      </w:r>
      <w:proofErr w:type="spellEnd"/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</w:t>
      </w:r>
      <w:r w:rsidR="00F73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torých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postúpi na daňový úrad na preverenie.</w:t>
      </w:r>
    </w:p>
    <w:p w14:paraId="6D8789F5" w14:textId="77777777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3C47278" w14:textId="18ADA0DA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Bude potrebné zabezpečiť vyhodnocovanie vymieňaných informácií, analyzovanie rizík a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daňové preverovanie vymieňaných informácií. Všetky tieto činnosti si vyžadujú kvalifikovaných pracovníkov po odbornej aj jazykovej stránke, ktorí budú schopní v praxi zabezpečiť efektívne využitie získaných informácií a na druhej strane aj odborné spracovanie informácií, ktoré budú zasielané zo SR smerom do zahraničia.</w:t>
      </w:r>
    </w:p>
    <w:p w14:paraId="22681FD1" w14:textId="77777777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994D93" w14:textId="46474533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Potreba nových pracovníkov na </w:t>
      </w:r>
      <w:r w:rsidR="00A57F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FR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SR sa odhadla nasledovne:</w:t>
      </w:r>
    </w:p>
    <w:p w14:paraId="0741C02C" w14:textId="77777777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na oddelenie AVI 2 pracovníci</w:t>
      </w:r>
    </w:p>
    <w:p w14:paraId="0075FB34" w14:textId="5C8AAD1D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(mzdové </w:t>
      </w:r>
      <w:r w:rsidR="00A57F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výdavky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jedného zamestnanca 1 700,00 eur + 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poistné a príspevok do poisťovní</w:t>
      </w:r>
      <w:r w:rsidR="00E41D01"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</w:t>
      </w:r>
      <w:r w:rsidR="00F80A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11,15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osobné výdavky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F80A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11,15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jedného zamestnanca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t. j. 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osobné výdavky 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55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F80A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468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ročne </w:t>
      </w:r>
      <w:r w:rsidR="00E41D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Pr="003905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2 zamestnancov).</w:t>
      </w:r>
    </w:p>
    <w:p w14:paraId="7F144A41" w14:textId="77777777" w:rsidR="005779AA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2DF171C" w14:textId="01087ADF" w:rsidR="002837B5" w:rsidRDefault="002837B5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837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Finančné krytie bude zabezpečené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rámci prípravy návrhu rozpočtu </w:t>
      </w:r>
      <w:r w:rsidRPr="002837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verejnej správy na roky 2026 – 2028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155A98D5" w14:textId="77777777" w:rsidR="005779AA" w:rsidRPr="003905CB" w:rsidRDefault="005779AA" w:rsidP="00A57FA1">
      <w:pPr>
        <w:pBdr>
          <w:top w:val="single" w:sz="4" w:space="20" w:color="auto"/>
          <w:left w:val="single" w:sz="4" w:space="6" w:color="auto"/>
          <w:bottom w:val="single" w:sz="4" w:space="0" w:color="auto"/>
          <w:right w:val="single" w:sz="4" w:space="5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F52E73" w14:textId="77777777" w:rsidR="005779AA" w:rsidRDefault="005779A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860A08" w14:textId="1103B969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0F3BC620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2C7ECA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D08B198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92067D" w14:textId="24E73133"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54574752" w14:textId="77777777" w:rsidR="00F4168B" w:rsidRPr="007B7470" w:rsidRDefault="00F4168B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ACE622" w14:textId="1E2B6AF7" w:rsidR="000C13B2" w:rsidRDefault="000C13B2" w:rsidP="00E5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je transpozíciou smernice (EÚ) 2023/2226, ktorou sa mení smernica 2011/16/EÚ o administratívnej spolupráci v oblasti daní. Automatická výmena informácií sa rozširuje o informácie 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kryptoaktívach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rozsah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automatick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výmen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informácií o finančných účtoch sa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rozširuje o elektronické peniaze a digitálne meny centrálnych bánk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7F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SR ako príslušný orgán pre výmenu informácií bude 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získavať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>kryptoaktívach</w:t>
      </w:r>
      <w:proofErr w:type="spellEnd"/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oznamujúcich poskytovateľov služieb </w:t>
      </w:r>
      <w:proofErr w:type="spellStart"/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>kryptoaktív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tieto informácie bude zasiela</w:t>
      </w:r>
      <w:r w:rsidR="00D42B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ť do krajiny daňovej rezidencie používateľa </w:t>
      </w:r>
      <w:proofErr w:type="spellStart"/>
      <w:r w:rsidR="00D42BF7">
        <w:rPr>
          <w:rFonts w:ascii="Times New Roman" w:eastAsia="Times New Roman" w:hAnsi="Times New Roman" w:cs="Times New Roman"/>
          <w:sz w:val="24"/>
          <w:szCs w:val="24"/>
          <w:lang w:eastAsia="sk-SK"/>
        </w:rPr>
        <w:t>kryptoaktív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Rovnako v prípade rozšírenia rozsahu automatickej výmeny o finančných účtoch, informácie budú </w:t>
      </w:r>
      <w:r w:rsidR="00A57FA1">
        <w:rPr>
          <w:rFonts w:ascii="Times New Roman" w:eastAsia="Times New Roman" w:hAnsi="Times New Roman" w:cs="Times New Roman"/>
          <w:sz w:val="24"/>
          <w:szCs w:val="24"/>
          <w:lang w:eastAsia="sk-SK"/>
        </w:rPr>
        <w:t>FR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 zasielať finančné inštitúcie.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transpozície smernice sa </w:t>
      </w:r>
      <w:r w:rsidR="00E53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rozširujú aj iné existujúce druhy automatických výmen (zavádza sa automatická výmena cezhraničných záväzných stanovísk vydaných „majetným“ fyzickým osobám, dopĺňa sa nová kategória príjmov, ktorú si budú vymieňať daňové orgány, a to dividendy vyplatené na iný ako správcovský účet). Posilňuje sa poskytovanie daňových identifikačných čísel zavedením povinnosti poskytovať toto identifikačné číslo v rámci oznamovaných informácií.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65AB6F9" w14:textId="5C93A5B6" w:rsidR="00E41D01" w:rsidRDefault="00E41D0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14:paraId="274918FA" w14:textId="77777777" w:rsidR="00BA77DB" w:rsidRPr="007B7470" w:rsidRDefault="00BA77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F6227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2E95D6A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59665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11B7F9F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59FE255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05EB70E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457B9F1" w14:textId="24A53A9A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904C1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248532D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6A551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3D4F2A4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59959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4A89D9C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1D620A67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63B33EF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6E82722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6A270024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5535C8C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B64D024" w14:textId="6EB5E5D4" w:rsidR="007D5748" w:rsidRPr="007B7470" w:rsidRDefault="00675B8A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591B7FD" w14:textId="2DA8969C" w:rsidR="007D5748" w:rsidRPr="007B7470" w:rsidRDefault="00675B8A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24C469E" w14:textId="50C1A9B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67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33DEFD8" w14:textId="2DC7ACA1" w:rsidR="007D5748" w:rsidRPr="007B7470" w:rsidRDefault="00675B8A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73CA7BF2" w14:textId="77777777" w:rsidTr="002B63FD">
        <w:trPr>
          <w:trHeight w:val="70"/>
        </w:trPr>
        <w:tc>
          <w:tcPr>
            <w:tcW w:w="4530" w:type="dxa"/>
          </w:tcPr>
          <w:p w14:paraId="753D5AA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4DCB1F3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4787DE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D83F93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AFC801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25E15EDB" w14:textId="77777777" w:rsidTr="002B63FD">
        <w:trPr>
          <w:trHeight w:val="70"/>
        </w:trPr>
        <w:tc>
          <w:tcPr>
            <w:tcW w:w="4530" w:type="dxa"/>
          </w:tcPr>
          <w:p w14:paraId="3A01D65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388C94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19F9F4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3AE875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98BDE7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720B7B74" w14:textId="77777777" w:rsidTr="002B63FD">
        <w:trPr>
          <w:trHeight w:val="70"/>
        </w:trPr>
        <w:tc>
          <w:tcPr>
            <w:tcW w:w="4530" w:type="dxa"/>
          </w:tcPr>
          <w:p w14:paraId="5200CE2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03F26D4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6577AA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50989D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9FB201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D8C149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FDC93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1DAC0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4D5C9ED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45ACD0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0D038F31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2D7F" w14:textId="640323B2" w:rsidR="007D5748" w:rsidRDefault="00651F9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Výpočty predpokladaných výdavkov vychádzali z podkladov </w:t>
      </w:r>
      <w:r w:rsidR="00A57F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SR, ktoré </w:t>
      </w:r>
      <w:r w:rsidR="005876A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 založené na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oterajších skúsenost</w:t>
      </w:r>
      <w:r w:rsidR="005876A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 implementácii nových automatických výmen a aktualizácii existujúcich automatických výmen do informačných systémov finančnej správy. </w:t>
      </w:r>
    </w:p>
    <w:p w14:paraId="42909926" w14:textId="7CAC2AF5" w:rsidR="00651F9D" w:rsidRDefault="00651F9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F90112" w14:textId="5F86FFA8" w:rsidR="0020517D" w:rsidRPr="0020517D" w:rsidRDefault="0020517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2051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Informácia k výpočtu nákladov na vydanie bezpečnostného certifikátu:</w:t>
      </w:r>
    </w:p>
    <w:p w14:paraId="1D1E249C" w14:textId="6C61C0FC" w:rsidR="0020517D" w:rsidRPr="0020517D" w:rsidRDefault="0020517D" w:rsidP="0020517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Súčasťou požiadaviek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zabezpečenie výmeny informácií v zmysle smernice EÚ a globálneho štandardu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výmenu informácií 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vypracova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analýz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bezpečnosti a vyda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bezpečnostn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ého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certifikát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nezávislým orgánom v zmysle bezpečnostnej politiky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automatickú výmenu informácií. 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rámci plnenia dodávateľ vykoná audit bezpečnosti v zmysle dokumentu AEOI – </w:t>
      </w:r>
      <w:proofErr w:type="spellStart"/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Security</w:t>
      </w:r>
      <w:proofErr w:type="spellEnd"/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Policy</w:t>
      </w:r>
      <w:proofErr w:type="spellEnd"/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 systémy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výmeny informácií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Rozsah auditu je definovaný v dokumente </w:t>
      </w:r>
      <w:proofErr w:type="spellStart"/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AEOI_Securi</w:t>
      </w:r>
      <w:r w:rsidR="00C539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y_Measure</w:t>
      </w:r>
      <w:proofErr w:type="spellEnd"/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(cca 150 bezpečnostných opatrení) vytvoreného na báze medzinárodnej normy ISO 27001. Výstupom je záverečná správa z auditu v podobe vyplneného auditného dotazníka a potvrdenie certifikátu podľa predloženého vzoru </w:t>
      </w:r>
      <w:r w:rsidR="00A57F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0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slovenskom aj v anglickom jazyku.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 odhadoch výšky </w:t>
      </w:r>
      <w:r w:rsidR="00A57F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výdavkov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vydanie certifikátu sa bral</w:t>
      </w:r>
      <w:r w:rsidR="00A07B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do úvahy cena predchádzajúceho auditu a vydaného certifikátu z roku 2021, kedy však bol auditovaný menší rozsa</w:t>
      </w:r>
      <w:r w:rsidR="007B70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 systémov na výmenu informácií</w:t>
      </w:r>
      <w:r w:rsidR="00A07B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aktuálny rozsah požadovaného auditu a orientačne aj ceny na trhu za vydanie bezpečnostných certifikátov a vykonanie auditu. </w:t>
      </w:r>
    </w:p>
    <w:p w14:paraId="3E055BC9" w14:textId="77777777" w:rsidR="00A07BD7" w:rsidRDefault="00A07BD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CA3EC24" w14:textId="084F91FC" w:rsidR="00651F9D" w:rsidRDefault="00651F9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 odhadoch príjmov boli východiskom očakávané prínosy, ktoré identifikovala Európska komisia pri predstavení návrhu smernice. </w:t>
      </w:r>
    </w:p>
    <w:p w14:paraId="1D5C49D0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88880F5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7C83363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6682485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48E8A8D8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DEE1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B2BD4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014CC2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11426775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48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69CAE" w14:textId="0CC1F371" w:rsidR="003408F5" w:rsidRPr="007B7470" w:rsidRDefault="00CD4879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756D12" w14:textId="37DB5F5F" w:rsidR="003408F5" w:rsidRPr="007B7470" w:rsidRDefault="00CD4879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E6054E" w14:textId="056844FE" w:rsidR="003408F5" w:rsidRPr="007B7470" w:rsidRDefault="00CD4879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668344" w14:textId="65941286" w:rsidR="003408F5" w:rsidRPr="007B7470" w:rsidRDefault="00CD4879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9F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59FF8F7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BBE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904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EB5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1981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46D4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0AB7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4BEFC996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C6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F3AD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FED4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F24C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2983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58F1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EB63B42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3F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9112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52E1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5DF0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E6A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EF127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645306A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7D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D0E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5C8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7CE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B08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D47B8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3E90E01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2CB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58E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A65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92C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AC3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7991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519EBD6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CAFF7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B8A1B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220AE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093D1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7ABC1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F8F3CB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E794E07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6EB341D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DF223D5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D5581E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465B84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D5ABC7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CFD81D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6BEA8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B12196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64AF9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1B1691C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E1A198F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535A3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B9C77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25793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A734A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59BBB1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264513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D8BB2B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54289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EA6215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659E372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19641088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741E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87C0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2A35F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0442B86A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AEAC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6E998F" w14:textId="662EBA67" w:rsidR="007D5748" w:rsidRPr="007B7470" w:rsidRDefault="00AF130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5C9AE" w14:textId="4BCF91CA" w:rsidR="007D5748" w:rsidRPr="007B7470" w:rsidRDefault="00AF130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70409" w14:textId="6C0D6033" w:rsidR="007D5748" w:rsidRPr="007B7470" w:rsidRDefault="00AF130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028F6F" w14:textId="59D10D71" w:rsidR="007D5748" w:rsidRPr="00AF1302" w:rsidRDefault="00AF130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F1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7B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F310E5" w:rsidRPr="007B7470" w14:paraId="0A86273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F13" w14:textId="77777777" w:rsidR="00F310E5" w:rsidRPr="007B7470" w:rsidRDefault="00F310E5" w:rsidP="00F3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127F5" w14:textId="1FCDC098" w:rsidR="00F310E5" w:rsidRPr="007B7470" w:rsidRDefault="00F310E5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6A37E" w14:textId="3362542C" w:rsidR="00F310E5" w:rsidRPr="007B7470" w:rsidRDefault="00F310E5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E92B" w14:textId="2F03F605" w:rsidR="00F310E5" w:rsidRPr="007B7470" w:rsidRDefault="00F310E5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90 </w:t>
            </w:r>
            <w:r w:rsidR="006944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3D4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  <w:r w:rsidR="001122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01300" w14:textId="5133DFFC" w:rsidR="00F310E5" w:rsidRPr="002B29F0" w:rsidRDefault="00F310E5" w:rsidP="00A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55 </w:t>
            </w:r>
            <w:r w:rsidR="006944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7A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  <w:r w:rsidR="001122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5D4EB" w14:textId="77777777" w:rsidR="00F310E5" w:rsidRPr="007B7470" w:rsidRDefault="00F310E5" w:rsidP="00F3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372DB26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B40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5808" w14:textId="4E249825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B0651" w14:textId="6CED95DC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06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4258" w14:textId="719B11A1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40 800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F98C" w14:textId="65003F4D" w:rsidR="00E41D01" w:rsidRPr="002B29F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40 800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91F97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203D5A5C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ADD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07224" w14:textId="558969E1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7B19B" w14:textId="13AFAEB6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06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820A" w14:textId="55CE4B04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14 668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A7B4" w14:textId="6620BC8E" w:rsidR="00E41D01" w:rsidRPr="002B29F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14 668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077B7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53ADAEA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BB5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F891D" w14:textId="10EE8734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BE8D7" w14:textId="29C593C8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06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48A3" w14:textId="1BC33AD9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F6875" w14:textId="2BB54C7B" w:rsidR="00E41D01" w:rsidRPr="002B29F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74923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29C8AE57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84C5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F6670" w14:textId="6543E69E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9AD9C" w14:textId="78F336BA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06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E1C1" w14:textId="25877D06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B022" w14:textId="59D427F8" w:rsidR="00E41D01" w:rsidRPr="002B29F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BEE7C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1DF9410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084A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BB9B4" w14:textId="3B0E384D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2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FF86C" w14:textId="2B92A855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06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0C66" w14:textId="34508DDC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A4B44" w14:textId="115F079E" w:rsidR="00E41D01" w:rsidRPr="002B29F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661F8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310E5" w:rsidRPr="007B7470" w14:paraId="5489EDE0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25D" w14:textId="77777777" w:rsidR="00F310E5" w:rsidRPr="007B7470" w:rsidRDefault="00F310E5" w:rsidP="00F3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0656A" w14:textId="05B3F1F2" w:rsidR="00F310E5" w:rsidRPr="007B7470" w:rsidRDefault="00F310E5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F889E" w14:textId="63559792" w:rsidR="00F310E5" w:rsidRPr="007B7470" w:rsidRDefault="00F310E5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91201" w14:textId="7F2B5108" w:rsidR="00F310E5" w:rsidRPr="007B7470" w:rsidRDefault="00947E1D" w:rsidP="00C32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4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1 </w:t>
            </w:r>
            <w:r w:rsidR="00E73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632</w:t>
            </w:r>
            <w:r w:rsidR="00E73E87" w:rsidRPr="0094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E73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</w:t>
            </w:r>
            <w:r w:rsidR="00E73E87" w:rsidRPr="0094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48CD4" w14:textId="77BD3765" w:rsidR="00F310E5" w:rsidRPr="002B29F0" w:rsidRDefault="00947E1D" w:rsidP="00A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4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405 900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B5A09" w14:textId="77777777" w:rsidR="00F310E5" w:rsidRPr="007B7470" w:rsidRDefault="00F310E5" w:rsidP="00F3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2F20849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5B6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18110" w14:textId="31032576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57A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3CDE" w14:textId="60C0FECD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31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0CBA" w14:textId="4E085F01" w:rsidR="00E41D01" w:rsidRPr="007B7470" w:rsidRDefault="00E41D01" w:rsidP="00C32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47E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 </w:t>
            </w:r>
            <w:r w:rsidR="00E73E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632</w:t>
            </w:r>
            <w:r w:rsidR="00E73E87" w:rsidRPr="00947E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73E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</w:t>
            </w:r>
            <w:r w:rsidR="00E73E87" w:rsidRPr="00947E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A33FB" w14:textId="67725D8D" w:rsidR="00E41D01" w:rsidRPr="002B29F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47E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405 900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8FA21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333BBC7E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B46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972D" w14:textId="297BD1ED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57A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45C68" w14:textId="0E313390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31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F16E" w14:textId="1093D336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FAEF3" w14:textId="121A856D" w:rsidR="00E41D01" w:rsidRPr="002B29F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77DA4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310E5" w:rsidRPr="007B7470" w14:paraId="6A5411CA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54B" w14:textId="77777777" w:rsidR="00F310E5" w:rsidRPr="007B7470" w:rsidRDefault="00F310E5" w:rsidP="00F3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C7B7" w14:textId="4DB29182" w:rsidR="00F310E5" w:rsidRPr="007B7470" w:rsidRDefault="00F310E5" w:rsidP="00A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9D88" w14:textId="48EC297E" w:rsidR="00F310E5" w:rsidRPr="007B7470" w:rsidRDefault="00F310E5" w:rsidP="00A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5362" w14:textId="5E7D5470" w:rsidR="00F310E5" w:rsidRPr="007B7470" w:rsidRDefault="00F310E5" w:rsidP="00A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9C6F" w14:textId="091D378A" w:rsidR="00F310E5" w:rsidRPr="002B29F0" w:rsidRDefault="00F310E5" w:rsidP="00A57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B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D3341" w14:textId="77777777" w:rsidR="00F310E5" w:rsidRPr="007B7470" w:rsidRDefault="00F310E5" w:rsidP="00F3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57024DA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3B4FAB" w14:textId="77777777" w:rsidR="007D5748" w:rsidRPr="007B7470" w:rsidRDefault="003408F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C326F" w14:textId="2D525D0D" w:rsidR="007D5748" w:rsidRPr="007B7470" w:rsidRDefault="00A57FA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78198" w14:textId="68A00CAC" w:rsidR="007D5748" w:rsidRPr="007B7470" w:rsidRDefault="00A57FA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93AA0A" w14:textId="115033C2" w:rsidR="007D5748" w:rsidRPr="007B7470" w:rsidRDefault="002B29F0" w:rsidP="00C32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</w:t>
            </w:r>
            <w:r w:rsidR="00E73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722 868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F2B5B" w14:textId="5720937E" w:rsidR="007D5748" w:rsidRPr="00842AA6" w:rsidRDefault="00842AA6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2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46</w:t>
            </w:r>
            <w:r w:rsidR="0094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</w:t>
            </w:r>
            <w:r w:rsidR="006944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 w:rsidR="001122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5F273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A4277B1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42F6997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96B4899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3CCD68B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144F7ED8" w14:textId="53659E61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8C1F11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34C052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66DBF25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B4AC774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ED2A540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21A689B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A2BF2C6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30D886B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9375FB1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C5ED593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D346528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E199A01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735F678" w14:textId="60370F94" w:rsidR="00440A16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B5D7BCE" w14:textId="77777777" w:rsidR="00BA77DB" w:rsidRPr="007B7470" w:rsidRDefault="00BA77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C3D5F30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979AF8C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50521F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3A9FB290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B34F2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DAFEE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71DFB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F1302" w:rsidRPr="007B7470" w14:paraId="7B836DEC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224AB" w14:textId="77777777" w:rsidR="00AF1302" w:rsidRPr="007B7470" w:rsidRDefault="00AF1302" w:rsidP="00AF1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956C3E" w14:textId="27B87F37" w:rsidR="00AF1302" w:rsidRPr="007B7470" w:rsidRDefault="00AF1302" w:rsidP="00AF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6623D" w14:textId="34B6F753" w:rsidR="00AF1302" w:rsidRPr="007B7470" w:rsidRDefault="00AF1302" w:rsidP="00AF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D37E39" w14:textId="71308480" w:rsidR="00AF1302" w:rsidRPr="007B7470" w:rsidRDefault="00AF1302" w:rsidP="00AF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9E3628" w14:textId="6743FBA3" w:rsidR="00AF1302" w:rsidRPr="007B7470" w:rsidRDefault="00AF1302" w:rsidP="00AF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AF1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A7D" w14:textId="77777777" w:rsidR="00AF1302" w:rsidRPr="007B7470" w:rsidRDefault="00AF1302" w:rsidP="00AF1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F06FDE" w:rsidRPr="007B7470" w14:paraId="61B1DD3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FA1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2F14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FB64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6FF2D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1EA3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C4362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F06FDE" w:rsidRPr="007B7470" w14:paraId="5B45CBE1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8648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C694D" w14:textId="5D29A904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6D3C" w14:textId="2245E016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94D4" w14:textId="6DB279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95BF6" w14:textId="72EAC363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9C921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06FDE" w:rsidRPr="007B7470" w14:paraId="661125D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F3A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6BA8C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425B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916C" w14:textId="3356A23B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B972" w14:textId="1D9A6F40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B22C2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06FDE" w:rsidRPr="007B7470" w14:paraId="0CACB1A1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B19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48BD1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4B3AF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E037B" w14:textId="48AABE78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88DC0" w14:textId="5959E1BA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2F990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06FDE" w:rsidRPr="007B7470" w14:paraId="448AAAB6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653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47C4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E0D56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25BB6" w14:textId="68357821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502D2" w14:textId="664E88D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A2ADA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06FDE" w:rsidRPr="007B7470" w14:paraId="73B1939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6D4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B1D44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EBA22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76AB7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C971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DE185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06FDE" w:rsidRPr="007B7470" w14:paraId="04BC3A54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E83D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7640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F6C75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C468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A5F2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9F86E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F06FDE" w:rsidRPr="007B7470" w14:paraId="2FB6640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BFE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F0F2" w14:textId="6DE48DCC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F4D4D" w14:textId="7420C850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778F" w14:textId="28B192FC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9B12" w14:textId="3F609301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1A727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06FDE" w:rsidRPr="007B7470" w14:paraId="61DF199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1B3F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6EF2A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0FB4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3705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915C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D4864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06FDE" w:rsidRPr="007B7470" w14:paraId="012C263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9F6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3F9E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574A7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0602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3E4F" w14:textId="7777777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B56C3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06FDE" w:rsidRPr="007B7470" w14:paraId="4FDAA964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21E37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DD37C" w14:textId="1B588E59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772788" w14:textId="1C93D707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3468B7" w14:textId="7BF2F71A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A22C4A" w14:textId="6B326B66" w:rsidR="00F06FDE" w:rsidRPr="007B7470" w:rsidRDefault="00F06FDE" w:rsidP="00F0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89FDCE" w14:textId="77777777" w:rsidR="00F06FDE" w:rsidRPr="007B7470" w:rsidRDefault="00F06FDE" w:rsidP="00F0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12A14E34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5141D172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50CD0DD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37B58EF2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4B39998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C3B20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D9266A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479DF7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27F22F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26E0B5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2B5003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4D6E78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7CD57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7165BF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FD3313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413784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F8F95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F82E42F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B78CDE5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47F9678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DBC4FF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C5560F2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</w:t>
      </w:r>
    </w:p>
    <w:p w14:paraId="0274FB0F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79644F46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02B7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1F625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0CC81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F1302" w:rsidRPr="007B7470" w14:paraId="00342AAB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2307C" w14:textId="77777777" w:rsidR="00AF1302" w:rsidRPr="007B7470" w:rsidRDefault="00AF1302" w:rsidP="00AF1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AC8DB" w14:textId="235793C1" w:rsidR="00AF1302" w:rsidRPr="00AF1302" w:rsidRDefault="00AF1302" w:rsidP="00AF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F130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086228" w14:textId="4038E613" w:rsidR="00AF1302" w:rsidRPr="00AF1302" w:rsidRDefault="00AF1302" w:rsidP="00AF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F130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AA8840" w14:textId="4987AFF1" w:rsidR="00AF1302" w:rsidRPr="00AF1302" w:rsidRDefault="00AF1302" w:rsidP="00AF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F130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39D26C" w14:textId="38DDB4EA" w:rsidR="00AF1302" w:rsidRPr="00AF1302" w:rsidRDefault="00AF1302" w:rsidP="00AF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F130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4A448A" w14:textId="77777777" w:rsidR="00AF1302" w:rsidRPr="007B7470" w:rsidRDefault="00AF1302" w:rsidP="00AF1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6712AD" w:rsidRPr="007B7470" w14:paraId="17B76D7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8F00" w14:textId="77777777" w:rsidR="006712AD" w:rsidRPr="007B7470" w:rsidRDefault="006712AD" w:rsidP="0067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BEBA3" w14:textId="1BDC47FB" w:rsidR="006712AD" w:rsidRPr="007B7470" w:rsidRDefault="006712AD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9F03" w14:textId="10C30370" w:rsidR="006712AD" w:rsidRPr="007B7470" w:rsidRDefault="006712AD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004EB" w14:textId="3B7EA04F" w:rsidR="006712AD" w:rsidRPr="007B7470" w:rsidRDefault="006712AD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6225" w14:textId="19469EF8" w:rsidR="006712AD" w:rsidRPr="007B7470" w:rsidRDefault="006712AD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+ 2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6F6D1" w14:textId="77777777" w:rsidR="006712AD" w:rsidRPr="007B7470" w:rsidRDefault="006712AD" w:rsidP="0067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12AD" w:rsidRPr="007B7470" w14:paraId="66FD78E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6C2" w14:textId="77777777" w:rsidR="006712AD" w:rsidRPr="007B7470" w:rsidRDefault="006712AD" w:rsidP="0067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91118" w14:textId="6CC223F9" w:rsidR="006712AD" w:rsidRPr="007B7470" w:rsidRDefault="006712AD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19FDC" w14:textId="2467A213" w:rsidR="006712AD" w:rsidRPr="007B7470" w:rsidRDefault="006712AD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E821C" w14:textId="7E50AC8C" w:rsidR="006712AD" w:rsidRPr="007B7470" w:rsidRDefault="006712AD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20EB8" w14:textId="4442E6F1" w:rsidR="006712AD" w:rsidRPr="007B7470" w:rsidRDefault="006712AD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+ 2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B5235" w14:textId="77777777" w:rsidR="006712AD" w:rsidRPr="007B7470" w:rsidRDefault="006712AD" w:rsidP="0067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1D01" w:rsidRPr="007B7470" w14:paraId="32BF950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C05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DCDD4" w14:textId="17C72516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18D5" w14:textId="4DE68E70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B5C8C" w14:textId="20F3498A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A5768" w14:textId="3058E75C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7DDAB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46DEBDD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850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2AF0B" w14:textId="5DB07F0D" w:rsidR="00E41D01" w:rsidRPr="00E41D01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22E1B" w14:textId="5706EC44" w:rsidR="00E41D01" w:rsidRPr="00E41D01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FBE6A" w14:textId="3FA2BEAD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8C50B" w14:textId="170AA07E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C1D58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03A936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4D6B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DF184" w14:textId="204CA835" w:rsidR="007D5748" w:rsidRPr="007B7470" w:rsidRDefault="007D5748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70FEC" w14:textId="77777777" w:rsidR="007D5748" w:rsidRPr="007B7470" w:rsidRDefault="007D5748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AA8B4" w14:textId="0DBBCF07" w:rsidR="007D5748" w:rsidRPr="007B7470" w:rsidRDefault="003D43A7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</w:t>
            </w:r>
            <w:r w:rsidR="002A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D6BE4F" w14:textId="7901FD6E" w:rsidR="007D5748" w:rsidRPr="007B7470" w:rsidRDefault="006712AD" w:rsidP="000F7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</w:t>
            </w:r>
            <w:r w:rsidR="002A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468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94FAA0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329118F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D7C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4A6E" w14:textId="5C646683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D5CBD" w14:textId="12BD8BAE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A563" w14:textId="166E12F7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A1EE" w14:textId="2AF60093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4EE90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3EE6248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02AB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B176A" w14:textId="3A80CF09" w:rsidR="00E41D01" w:rsidRPr="00E41D01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E074F" w14:textId="7A93589E" w:rsidR="00E41D01" w:rsidRPr="00E41D01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5EAE" w14:textId="01BBA920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40 800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C1226" w14:textId="1753F0B1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40 800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12CF2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755D67EC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02A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CD2AB" w14:textId="0A457565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AA191" w14:textId="25B56BED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2165" w14:textId="3BFA1A78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14 668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F2B48" w14:textId="04D6505A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14 668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C5248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41D01" w:rsidRPr="007B7470" w14:paraId="2E7C707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BC9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AC06" w14:textId="2CD54F9C" w:rsidR="00E41D01" w:rsidRPr="00E41D01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1907" w14:textId="0E5BCF05" w:rsidR="00E41D01" w:rsidRPr="00E41D01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EF9E3" w14:textId="7321A0E5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14 668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532DC" w14:textId="6C26663A" w:rsidR="00E41D01" w:rsidRPr="007B7470" w:rsidRDefault="00E41D01" w:rsidP="00E4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14 668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D0101" w14:textId="77777777" w:rsidR="00E41D01" w:rsidRPr="007B7470" w:rsidRDefault="00E41D01" w:rsidP="00E4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D71FA6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3245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56C9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431E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A47B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E6D0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9AA2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2C2B898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8A11A63" w14:textId="77777777"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E2C4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61B6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6165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2B11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0716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6E69B8F9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D471B31" w14:textId="77777777"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BEAEDE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5C59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68B9583A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A0C1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F7E7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0465F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8859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97AA4A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0A7C1E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487D9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07CD6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85F81F9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309DEB0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CB0C660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B732CF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324F22F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B6BDDBF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426DF26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24B8AE7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 </w:t>
      </w:r>
    </w:p>
    <w:p w14:paraId="271C6815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07D1AEE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2F59B1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3D908E41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AE1AD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B49ACE3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0D5D0902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647A4C37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42CACC5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90D46A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1FBE12FB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452F410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40DDB4CE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46E1CD4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F54AA42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E149D7D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7EA9363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4D2501A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51FF8932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59EAE573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2371447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B5B90D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2CFA61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323F6C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5C021F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6E4C8F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1EFA0E77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33F2399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384575A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BBF760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B20267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7B706BF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2EB8AB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134BB1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5D1A4990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A09AC0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601A006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08E6A8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299813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65FF732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13F153E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2C2D336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4851445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6777AE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6C67152A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30C75BC9" w14:textId="117AC6BF" w:rsidR="002B63FD" w:rsidRPr="00EB7EFF" w:rsidRDefault="002B63FD" w:rsidP="00EB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EB7E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</w:t>
      </w:r>
      <w:r w:rsidR="00841B3A">
        <w:rPr>
          <w:rFonts w:ascii="Times New Roman" w:eastAsia="Times New Roman" w:hAnsi="Times New Roman" w:cs="Times New Roman"/>
          <w:sz w:val="24"/>
          <w:szCs w:val="24"/>
          <w:lang w:eastAsia="sk-SK"/>
        </w:rPr>
        <w:t>nia všetkých opatrení súčasne.</w:t>
      </w:r>
    </w:p>
    <w:p w14:paraId="16B5945C" w14:textId="77777777" w:rsidR="00CB3623" w:rsidRPr="00A738C0" w:rsidRDefault="00CB3623" w:rsidP="00841B3A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1E0CA" w14:textId="77777777" w:rsidR="00D7586A" w:rsidRDefault="00D7586A">
      <w:pPr>
        <w:spacing w:after="0" w:line="240" w:lineRule="auto"/>
      </w:pPr>
      <w:r>
        <w:separator/>
      </w:r>
    </w:p>
  </w:endnote>
  <w:endnote w:type="continuationSeparator" w:id="0">
    <w:p w14:paraId="38DF0C80" w14:textId="77777777" w:rsidR="00D7586A" w:rsidRDefault="00D7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0C11F" w14:textId="77777777" w:rsidR="00D7586A" w:rsidRDefault="00D758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3ADB02F" w14:textId="77777777" w:rsidR="00D7586A" w:rsidRDefault="00D758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09DB" w14:textId="156A8F62" w:rsidR="00D7586A" w:rsidRDefault="00D7586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32DD2">
      <w:rPr>
        <w:noProof/>
      </w:rPr>
      <w:t>1</w:t>
    </w:r>
    <w:r>
      <w:fldChar w:fldCharType="end"/>
    </w:r>
  </w:p>
  <w:p w14:paraId="6E1DF856" w14:textId="77777777" w:rsidR="00D7586A" w:rsidRDefault="00D7586A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832E" w14:textId="77777777" w:rsidR="00D7586A" w:rsidRDefault="00D7586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B374717" w14:textId="77777777" w:rsidR="00D7586A" w:rsidRDefault="00D758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50E63" w14:textId="77777777" w:rsidR="00D7586A" w:rsidRDefault="00D7586A">
      <w:pPr>
        <w:spacing w:after="0" w:line="240" w:lineRule="auto"/>
      </w:pPr>
      <w:r>
        <w:separator/>
      </w:r>
    </w:p>
  </w:footnote>
  <w:footnote w:type="continuationSeparator" w:id="0">
    <w:p w14:paraId="0E4AC02A" w14:textId="77777777" w:rsidR="00D7586A" w:rsidRDefault="00D7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52523" w14:textId="77777777" w:rsidR="00D7586A" w:rsidRDefault="00D7586A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1E4E7EB1" w14:textId="77777777" w:rsidR="00D7586A" w:rsidRPr="00EB59C8" w:rsidRDefault="00D7586A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6939" w14:textId="45C08318" w:rsidR="00D7586A" w:rsidRPr="0024067A" w:rsidRDefault="00D7586A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5350" w14:textId="77777777" w:rsidR="00D7586A" w:rsidRPr="000A15AE" w:rsidRDefault="00D7586A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0F36"/>
    <w:rsid w:val="00021DFF"/>
    <w:rsid w:val="00024E31"/>
    <w:rsid w:val="00027314"/>
    <w:rsid w:val="00035EB6"/>
    <w:rsid w:val="00036E55"/>
    <w:rsid w:val="00057135"/>
    <w:rsid w:val="00076129"/>
    <w:rsid w:val="00087A66"/>
    <w:rsid w:val="000A1D30"/>
    <w:rsid w:val="000B509B"/>
    <w:rsid w:val="000C13B2"/>
    <w:rsid w:val="000F00DA"/>
    <w:rsid w:val="000F779A"/>
    <w:rsid w:val="00112262"/>
    <w:rsid w:val="001127A8"/>
    <w:rsid w:val="00116F99"/>
    <w:rsid w:val="00131A18"/>
    <w:rsid w:val="00170D2B"/>
    <w:rsid w:val="00173855"/>
    <w:rsid w:val="00197A50"/>
    <w:rsid w:val="001C721D"/>
    <w:rsid w:val="001F4AE6"/>
    <w:rsid w:val="001F5D86"/>
    <w:rsid w:val="001F624A"/>
    <w:rsid w:val="00200898"/>
    <w:rsid w:val="0020517D"/>
    <w:rsid w:val="00212894"/>
    <w:rsid w:val="002135D4"/>
    <w:rsid w:val="002177DB"/>
    <w:rsid w:val="002309F4"/>
    <w:rsid w:val="002837B5"/>
    <w:rsid w:val="002A3FF7"/>
    <w:rsid w:val="002B29F0"/>
    <w:rsid w:val="002B5AD4"/>
    <w:rsid w:val="002B63FD"/>
    <w:rsid w:val="00317B90"/>
    <w:rsid w:val="003408F5"/>
    <w:rsid w:val="003516DD"/>
    <w:rsid w:val="00370DAF"/>
    <w:rsid w:val="003907ED"/>
    <w:rsid w:val="003942C1"/>
    <w:rsid w:val="003A475A"/>
    <w:rsid w:val="003A5862"/>
    <w:rsid w:val="003B1D5F"/>
    <w:rsid w:val="003B7684"/>
    <w:rsid w:val="003C5D33"/>
    <w:rsid w:val="003D43A7"/>
    <w:rsid w:val="003F35B7"/>
    <w:rsid w:val="0042480F"/>
    <w:rsid w:val="00440A16"/>
    <w:rsid w:val="00446310"/>
    <w:rsid w:val="00447C49"/>
    <w:rsid w:val="00474F11"/>
    <w:rsid w:val="00487203"/>
    <w:rsid w:val="004A4209"/>
    <w:rsid w:val="004D169C"/>
    <w:rsid w:val="004E09CE"/>
    <w:rsid w:val="004E5E76"/>
    <w:rsid w:val="004F4342"/>
    <w:rsid w:val="005005EC"/>
    <w:rsid w:val="00501051"/>
    <w:rsid w:val="00501D58"/>
    <w:rsid w:val="005307FC"/>
    <w:rsid w:val="00532E9D"/>
    <w:rsid w:val="005532E2"/>
    <w:rsid w:val="00553992"/>
    <w:rsid w:val="005765B3"/>
    <w:rsid w:val="005779AA"/>
    <w:rsid w:val="005876A5"/>
    <w:rsid w:val="00592E96"/>
    <w:rsid w:val="005B051A"/>
    <w:rsid w:val="005C1A2B"/>
    <w:rsid w:val="005E3699"/>
    <w:rsid w:val="005F2ACA"/>
    <w:rsid w:val="005F2D58"/>
    <w:rsid w:val="00651F9D"/>
    <w:rsid w:val="006712AD"/>
    <w:rsid w:val="00675B8A"/>
    <w:rsid w:val="00692C9C"/>
    <w:rsid w:val="00694455"/>
    <w:rsid w:val="006A2947"/>
    <w:rsid w:val="0070178D"/>
    <w:rsid w:val="0072399B"/>
    <w:rsid w:val="007246BD"/>
    <w:rsid w:val="00727689"/>
    <w:rsid w:val="0077530D"/>
    <w:rsid w:val="00782B91"/>
    <w:rsid w:val="00785085"/>
    <w:rsid w:val="00794971"/>
    <w:rsid w:val="007A69EC"/>
    <w:rsid w:val="007B7093"/>
    <w:rsid w:val="007B7470"/>
    <w:rsid w:val="007D5748"/>
    <w:rsid w:val="007F69AE"/>
    <w:rsid w:val="008205B7"/>
    <w:rsid w:val="00830107"/>
    <w:rsid w:val="00832D80"/>
    <w:rsid w:val="00841B3A"/>
    <w:rsid w:val="00842AA6"/>
    <w:rsid w:val="0085408F"/>
    <w:rsid w:val="00893B20"/>
    <w:rsid w:val="00893B76"/>
    <w:rsid w:val="00897BE7"/>
    <w:rsid w:val="008D339D"/>
    <w:rsid w:val="008D59A4"/>
    <w:rsid w:val="008E1DC9"/>
    <w:rsid w:val="008E2736"/>
    <w:rsid w:val="009013F3"/>
    <w:rsid w:val="00903BD3"/>
    <w:rsid w:val="00904C15"/>
    <w:rsid w:val="00920029"/>
    <w:rsid w:val="00943733"/>
    <w:rsid w:val="00945A2A"/>
    <w:rsid w:val="00947E1D"/>
    <w:rsid w:val="009706B7"/>
    <w:rsid w:val="00987BCB"/>
    <w:rsid w:val="009A1797"/>
    <w:rsid w:val="009F3CAE"/>
    <w:rsid w:val="00A07BD7"/>
    <w:rsid w:val="00A57FA1"/>
    <w:rsid w:val="00A72E75"/>
    <w:rsid w:val="00A73404"/>
    <w:rsid w:val="00A738C0"/>
    <w:rsid w:val="00A82EFF"/>
    <w:rsid w:val="00AB5919"/>
    <w:rsid w:val="00AC4C25"/>
    <w:rsid w:val="00AC5FBD"/>
    <w:rsid w:val="00AE23F6"/>
    <w:rsid w:val="00AF1302"/>
    <w:rsid w:val="00B134DB"/>
    <w:rsid w:val="00B15B33"/>
    <w:rsid w:val="00B21111"/>
    <w:rsid w:val="00B5535C"/>
    <w:rsid w:val="00B67CB1"/>
    <w:rsid w:val="00B801BA"/>
    <w:rsid w:val="00B92F23"/>
    <w:rsid w:val="00BA77DB"/>
    <w:rsid w:val="00C15212"/>
    <w:rsid w:val="00C15D88"/>
    <w:rsid w:val="00C16C1B"/>
    <w:rsid w:val="00C32DD2"/>
    <w:rsid w:val="00C455E9"/>
    <w:rsid w:val="00C51FD4"/>
    <w:rsid w:val="00C5394E"/>
    <w:rsid w:val="00C611AD"/>
    <w:rsid w:val="00C64BDB"/>
    <w:rsid w:val="00C653D7"/>
    <w:rsid w:val="00CA18F2"/>
    <w:rsid w:val="00CB04E9"/>
    <w:rsid w:val="00CB3623"/>
    <w:rsid w:val="00CC0E46"/>
    <w:rsid w:val="00CC4C70"/>
    <w:rsid w:val="00CD4879"/>
    <w:rsid w:val="00CE299A"/>
    <w:rsid w:val="00CE359E"/>
    <w:rsid w:val="00CF2C35"/>
    <w:rsid w:val="00D200BE"/>
    <w:rsid w:val="00D42BF7"/>
    <w:rsid w:val="00D638F5"/>
    <w:rsid w:val="00D7236A"/>
    <w:rsid w:val="00D7586A"/>
    <w:rsid w:val="00D8104C"/>
    <w:rsid w:val="00D85029"/>
    <w:rsid w:val="00D90A9F"/>
    <w:rsid w:val="00D9171A"/>
    <w:rsid w:val="00D922E5"/>
    <w:rsid w:val="00DD6A27"/>
    <w:rsid w:val="00DE04C5"/>
    <w:rsid w:val="00DE5BF1"/>
    <w:rsid w:val="00E07CE9"/>
    <w:rsid w:val="00E110DD"/>
    <w:rsid w:val="00E41D01"/>
    <w:rsid w:val="00E4770B"/>
    <w:rsid w:val="00E531C1"/>
    <w:rsid w:val="00E73E87"/>
    <w:rsid w:val="00E963A3"/>
    <w:rsid w:val="00EA1E90"/>
    <w:rsid w:val="00EB7EFF"/>
    <w:rsid w:val="00ED2B29"/>
    <w:rsid w:val="00EE0CA3"/>
    <w:rsid w:val="00EE28EB"/>
    <w:rsid w:val="00F03306"/>
    <w:rsid w:val="00F06FDE"/>
    <w:rsid w:val="00F20986"/>
    <w:rsid w:val="00F2530E"/>
    <w:rsid w:val="00F310E5"/>
    <w:rsid w:val="00F348E6"/>
    <w:rsid w:val="00F40099"/>
    <w:rsid w:val="00F40136"/>
    <w:rsid w:val="00F4168B"/>
    <w:rsid w:val="00F56BAE"/>
    <w:rsid w:val="00F73C17"/>
    <w:rsid w:val="00F80A0D"/>
    <w:rsid w:val="00FB4A4A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274F10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501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8443B5-0D8A-432D-BF43-20563B82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Pekarova Elena</cp:lastModifiedBy>
  <cp:revision>4</cp:revision>
  <cp:lastPrinted>2024-11-07T06:33:00Z</cp:lastPrinted>
  <dcterms:created xsi:type="dcterms:W3CDTF">2024-11-21T15:13:00Z</dcterms:created>
  <dcterms:modified xsi:type="dcterms:W3CDTF">2024-12-31T12:10:00Z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