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4291C" w14:textId="77777777" w:rsidR="00870D7E" w:rsidRPr="00CF0E64" w:rsidRDefault="00870D7E" w:rsidP="00037C5A">
      <w:pPr>
        <w:suppressAutoHyphens/>
        <w:spacing w:before="120" w:after="0" w:line="252" w:lineRule="auto"/>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Osobitná časť</w:t>
      </w:r>
    </w:p>
    <w:p w14:paraId="726D42D5" w14:textId="77777777" w:rsidR="00870D7E" w:rsidRPr="00CF0E64" w:rsidRDefault="00870D7E" w:rsidP="00037C5A">
      <w:pPr>
        <w:suppressAutoHyphens/>
        <w:spacing w:before="120" w:after="0" w:line="252" w:lineRule="auto"/>
        <w:rPr>
          <w:rFonts w:ascii="Times New Roman" w:eastAsia="Arial Unicode MS" w:hAnsi="Times New Roman" w:cs="Times New Roman"/>
          <w:b/>
          <w:kern w:val="1"/>
          <w:sz w:val="24"/>
          <w:szCs w:val="24"/>
          <w:lang w:eastAsia="ar-SA"/>
        </w:rPr>
      </w:pPr>
      <w:r w:rsidRPr="00CF0E64">
        <w:rPr>
          <w:rFonts w:ascii="Times New Roman" w:eastAsia="Arial Unicode MS" w:hAnsi="Times New Roman" w:cs="Times New Roman"/>
          <w:b/>
          <w:kern w:val="1"/>
          <w:sz w:val="24"/>
          <w:szCs w:val="24"/>
          <w:lang w:eastAsia="ar-SA"/>
        </w:rPr>
        <w:t>K Čl. I</w:t>
      </w:r>
    </w:p>
    <w:p w14:paraId="632D0A38" w14:textId="69955BBB" w:rsidR="00870D7E" w:rsidRPr="00CF0E64" w:rsidRDefault="00870D7E" w:rsidP="00037C5A">
      <w:pPr>
        <w:suppressAutoHyphens/>
        <w:spacing w:before="120" w:after="0" w:line="252" w:lineRule="auto"/>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w:t>
      </w:r>
      <w:r w:rsidR="00632811" w:rsidRPr="00CF0E64">
        <w:rPr>
          <w:rFonts w:ascii="Times New Roman" w:eastAsia="Arial Unicode MS" w:hAnsi="Times New Roman" w:cs="Times New Roman"/>
          <w:b/>
          <w:kern w:val="1"/>
          <w:sz w:val="24"/>
          <w:szCs w:val="24"/>
          <w:u w:val="single"/>
          <w:lang w:eastAsia="ar-SA"/>
        </w:rPr>
        <w:t> bodom 1 a 2</w:t>
      </w:r>
      <w:r w:rsidRPr="00CF0E64">
        <w:rPr>
          <w:rFonts w:ascii="Times New Roman" w:eastAsia="Arial Unicode MS" w:hAnsi="Times New Roman" w:cs="Times New Roman"/>
          <w:b/>
          <w:kern w:val="1"/>
          <w:sz w:val="24"/>
          <w:szCs w:val="24"/>
          <w:u w:val="single"/>
          <w:lang w:eastAsia="ar-SA"/>
        </w:rPr>
        <w:t xml:space="preserve"> – § 1:</w:t>
      </w:r>
      <w:r w:rsidR="003A5C40" w:rsidRPr="00CF0E64">
        <w:rPr>
          <w:rFonts w:ascii="Times New Roman" w:eastAsia="Arial Unicode MS" w:hAnsi="Times New Roman" w:cs="Times New Roman"/>
          <w:b/>
          <w:kern w:val="1"/>
          <w:sz w:val="24"/>
          <w:szCs w:val="24"/>
          <w:u w:val="single"/>
          <w:lang w:eastAsia="ar-SA"/>
        </w:rPr>
        <w:t xml:space="preserve"> </w:t>
      </w:r>
    </w:p>
    <w:p w14:paraId="6561E3E1" w14:textId="5C88F8CF" w:rsidR="00C32C39" w:rsidRPr="00CF0E64" w:rsidRDefault="009321F5" w:rsidP="003B68A9">
      <w:pPr>
        <w:spacing w:after="0" w:line="252" w:lineRule="auto"/>
        <w:jc w:val="both"/>
        <w:rPr>
          <w:rFonts w:ascii="Times New Roman" w:eastAsia="Arial Unicode MS" w:hAnsi="Times New Roman" w:cs="Times New Roman"/>
          <w:bCs/>
          <w:kern w:val="1"/>
          <w:sz w:val="24"/>
          <w:szCs w:val="24"/>
          <w:lang w:eastAsia="ar-SA"/>
        </w:rPr>
      </w:pPr>
      <w:r w:rsidRPr="00CF0E64">
        <w:rPr>
          <w:rFonts w:ascii="Times New Roman" w:eastAsia="Arial Unicode MS" w:hAnsi="Times New Roman" w:cs="Times New Roman"/>
          <w:bCs/>
          <w:kern w:val="1"/>
          <w:sz w:val="24"/>
          <w:szCs w:val="24"/>
          <w:lang w:eastAsia="ar-SA"/>
        </w:rPr>
        <w:t>Predmet zákona sa dopĺňa o úpravu automatickej výmeny informácií o </w:t>
      </w:r>
      <w:proofErr w:type="spellStart"/>
      <w:r w:rsidRPr="00CF0E64">
        <w:rPr>
          <w:rFonts w:ascii="Times New Roman" w:eastAsia="Arial Unicode MS" w:hAnsi="Times New Roman" w:cs="Times New Roman"/>
          <w:bCs/>
          <w:kern w:val="1"/>
          <w:sz w:val="24"/>
          <w:szCs w:val="24"/>
          <w:lang w:eastAsia="ar-SA"/>
        </w:rPr>
        <w:t>kryptoaktívach</w:t>
      </w:r>
      <w:proofErr w:type="spellEnd"/>
      <w:r w:rsidRPr="00CF0E64">
        <w:rPr>
          <w:rFonts w:ascii="Times New Roman" w:eastAsia="Arial Unicode MS" w:hAnsi="Times New Roman" w:cs="Times New Roman"/>
          <w:bCs/>
          <w:kern w:val="1"/>
          <w:sz w:val="24"/>
          <w:szCs w:val="24"/>
          <w:lang w:eastAsia="ar-SA"/>
        </w:rPr>
        <w:t xml:space="preserve"> nadväzne na rozšírenie automatickej výmeny informácií v rámci smernice Rady 2023/2226/EÚ, ktorou sa mení a dopĺňa smernica 2011/16/EÚ o administratívnej spolupráci v oblasti daní (Ú. v. EÚ L 119, 24. 10. 2023), tzv. smernica DAC8 (ďalej len „</w:t>
      </w:r>
      <w:r w:rsidR="00F73FBC" w:rsidRPr="00CF0E64">
        <w:rPr>
          <w:rFonts w:ascii="Times New Roman" w:eastAsia="Arial Unicode MS" w:hAnsi="Times New Roman" w:cs="Times New Roman"/>
          <w:bCs/>
          <w:kern w:val="1"/>
          <w:sz w:val="24"/>
          <w:szCs w:val="24"/>
          <w:lang w:eastAsia="ar-SA"/>
        </w:rPr>
        <w:t>smernica (EÚ) 2023/2226“</w:t>
      </w:r>
      <w:r w:rsidRPr="00CF0E64">
        <w:rPr>
          <w:rFonts w:ascii="Times New Roman" w:eastAsia="Arial Unicode MS" w:hAnsi="Times New Roman" w:cs="Times New Roman"/>
          <w:bCs/>
          <w:kern w:val="1"/>
          <w:sz w:val="24"/>
          <w:szCs w:val="24"/>
          <w:lang w:eastAsia="ar-SA"/>
        </w:rPr>
        <w:t xml:space="preserve">) </w:t>
      </w:r>
      <w:r w:rsidR="00632811" w:rsidRPr="00CF0E64">
        <w:rPr>
          <w:rFonts w:ascii="Times New Roman" w:eastAsia="Arial Unicode MS" w:hAnsi="Times New Roman" w:cs="Times New Roman"/>
          <w:bCs/>
          <w:kern w:val="1"/>
          <w:sz w:val="24"/>
          <w:szCs w:val="24"/>
          <w:lang w:eastAsia="ar-SA"/>
        </w:rPr>
        <w:t>o </w:t>
      </w:r>
      <w:proofErr w:type="spellStart"/>
      <w:r w:rsidR="00632811" w:rsidRPr="00CF0E64">
        <w:rPr>
          <w:rFonts w:ascii="Times New Roman" w:eastAsia="Arial Unicode MS" w:hAnsi="Times New Roman" w:cs="Times New Roman"/>
          <w:bCs/>
          <w:kern w:val="1"/>
          <w:sz w:val="24"/>
          <w:szCs w:val="24"/>
          <w:lang w:eastAsia="ar-SA"/>
        </w:rPr>
        <w:t>kryptoaktíva</w:t>
      </w:r>
      <w:proofErr w:type="spellEnd"/>
      <w:r w:rsidR="00632811" w:rsidRPr="00CF0E64">
        <w:rPr>
          <w:rFonts w:ascii="Times New Roman" w:eastAsia="Arial Unicode MS" w:hAnsi="Times New Roman" w:cs="Times New Roman"/>
          <w:bCs/>
          <w:kern w:val="1"/>
          <w:sz w:val="24"/>
          <w:szCs w:val="24"/>
          <w:lang w:eastAsia="ar-SA"/>
        </w:rPr>
        <w:t xml:space="preserve"> </w:t>
      </w:r>
      <w:r w:rsidRPr="00CF0E64">
        <w:rPr>
          <w:rFonts w:ascii="Times New Roman" w:eastAsia="Arial Unicode MS" w:hAnsi="Times New Roman" w:cs="Times New Roman"/>
          <w:bCs/>
          <w:kern w:val="1"/>
          <w:sz w:val="24"/>
          <w:szCs w:val="24"/>
          <w:lang w:eastAsia="ar-SA"/>
        </w:rPr>
        <w:t xml:space="preserve">a prepojenie s automatickou výmenou informácií o finančných účtoch. </w:t>
      </w:r>
      <w:r w:rsidR="007A0864" w:rsidRPr="00CF0E64">
        <w:rPr>
          <w:rFonts w:ascii="Times New Roman" w:eastAsia="Arial Unicode MS" w:hAnsi="Times New Roman" w:cs="Times New Roman"/>
          <w:bCs/>
          <w:kern w:val="1"/>
          <w:sz w:val="24"/>
          <w:szCs w:val="24"/>
          <w:lang w:eastAsia="ar-SA"/>
        </w:rPr>
        <w:t xml:space="preserve">Pravidlá upravené v predmetnej smernici </w:t>
      </w:r>
      <w:r w:rsidR="003A277B" w:rsidRPr="00CF0E64">
        <w:rPr>
          <w:rFonts w:ascii="Times New Roman" w:eastAsia="Arial Unicode MS" w:hAnsi="Times New Roman" w:cs="Times New Roman"/>
          <w:bCs/>
          <w:kern w:val="1"/>
          <w:sz w:val="24"/>
          <w:szCs w:val="24"/>
          <w:lang w:eastAsia="ar-SA"/>
        </w:rPr>
        <w:t>vychádzajú z globálneho rámca</w:t>
      </w:r>
      <w:r w:rsidR="007A0864" w:rsidRPr="00CF0E64">
        <w:rPr>
          <w:rFonts w:ascii="Times New Roman" w:eastAsia="Arial Unicode MS" w:hAnsi="Times New Roman" w:cs="Times New Roman"/>
          <w:bCs/>
          <w:kern w:val="1"/>
          <w:sz w:val="24"/>
          <w:szCs w:val="24"/>
          <w:lang w:eastAsia="ar-SA"/>
        </w:rPr>
        <w:t xml:space="preserve"> vyvinut</w:t>
      </w:r>
      <w:r w:rsidR="003A277B" w:rsidRPr="00CF0E64">
        <w:rPr>
          <w:rFonts w:ascii="Times New Roman" w:eastAsia="Arial Unicode MS" w:hAnsi="Times New Roman" w:cs="Times New Roman"/>
          <w:bCs/>
          <w:kern w:val="1"/>
          <w:sz w:val="24"/>
          <w:szCs w:val="24"/>
          <w:lang w:eastAsia="ar-SA"/>
        </w:rPr>
        <w:t xml:space="preserve">ého </w:t>
      </w:r>
      <w:r w:rsidR="007A0864" w:rsidRPr="00CF0E64">
        <w:rPr>
          <w:rFonts w:ascii="Times New Roman" w:eastAsia="Arial Unicode MS" w:hAnsi="Times New Roman" w:cs="Times New Roman"/>
          <w:bCs/>
          <w:kern w:val="1"/>
          <w:sz w:val="24"/>
          <w:szCs w:val="24"/>
          <w:lang w:eastAsia="ar-SA"/>
        </w:rPr>
        <w:t>na úrovni Organizácie pre hospodársk</w:t>
      </w:r>
      <w:r w:rsidR="008565F5" w:rsidRPr="00CF0E64">
        <w:rPr>
          <w:rFonts w:ascii="Times New Roman" w:eastAsia="Arial Unicode MS" w:hAnsi="Times New Roman" w:cs="Times New Roman"/>
          <w:bCs/>
          <w:kern w:val="1"/>
          <w:sz w:val="24"/>
          <w:szCs w:val="24"/>
          <w:lang w:eastAsia="ar-SA"/>
        </w:rPr>
        <w:t xml:space="preserve">u </w:t>
      </w:r>
      <w:r w:rsidR="007A0864" w:rsidRPr="00CF0E64">
        <w:rPr>
          <w:rFonts w:ascii="Times New Roman" w:eastAsia="Arial Unicode MS" w:hAnsi="Times New Roman" w:cs="Times New Roman"/>
          <w:bCs/>
          <w:kern w:val="1"/>
          <w:sz w:val="24"/>
          <w:szCs w:val="24"/>
          <w:lang w:eastAsia="ar-SA"/>
        </w:rPr>
        <w:t>spoluprácu</w:t>
      </w:r>
      <w:r w:rsidR="008565F5" w:rsidRPr="00CF0E64">
        <w:rPr>
          <w:rFonts w:ascii="Times New Roman" w:eastAsia="Arial Unicode MS" w:hAnsi="Times New Roman" w:cs="Times New Roman"/>
          <w:bCs/>
          <w:kern w:val="1"/>
          <w:sz w:val="24"/>
          <w:szCs w:val="24"/>
          <w:lang w:eastAsia="ar-SA"/>
        </w:rPr>
        <w:t xml:space="preserve"> a rozvoj</w:t>
      </w:r>
      <w:r w:rsidR="007A0864" w:rsidRPr="00CF0E64">
        <w:rPr>
          <w:rFonts w:ascii="Times New Roman" w:eastAsia="Arial Unicode MS" w:hAnsi="Times New Roman" w:cs="Times New Roman"/>
          <w:bCs/>
          <w:kern w:val="1"/>
          <w:sz w:val="24"/>
          <w:szCs w:val="24"/>
          <w:lang w:eastAsia="ar-SA"/>
        </w:rPr>
        <w:t xml:space="preserve"> (OECD) pre automatickú výmenu informácií o</w:t>
      </w:r>
      <w:r w:rsidR="000C6D78" w:rsidRPr="00CF0E64">
        <w:rPr>
          <w:rFonts w:ascii="Times New Roman" w:eastAsia="Arial Unicode MS" w:hAnsi="Times New Roman" w:cs="Times New Roman"/>
          <w:bCs/>
          <w:kern w:val="1"/>
          <w:sz w:val="24"/>
          <w:szCs w:val="24"/>
          <w:lang w:eastAsia="ar-SA"/>
        </w:rPr>
        <w:t> </w:t>
      </w:r>
      <w:proofErr w:type="spellStart"/>
      <w:r w:rsidR="007A0864" w:rsidRPr="00CF0E64">
        <w:rPr>
          <w:rFonts w:ascii="Times New Roman" w:eastAsia="Arial Unicode MS" w:hAnsi="Times New Roman" w:cs="Times New Roman"/>
          <w:bCs/>
          <w:kern w:val="1"/>
          <w:sz w:val="24"/>
          <w:szCs w:val="24"/>
          <w:lang w:eastAsia="ar-SA"/>
        </w:rPr>
        <w:t>kryptoaktívach</w:t>
      </w:r>
      <w:proofErr w:type="spellEnd"/>
      <w:r w:rsidR="000C6D78" w:rsidRPr="00CF0E64">
        <w:rPr>
          <w:rFonts w:ascii="Times New Roman" w:eastAsia="Arial Unicode MS" w:hAnsi="Times New Roman" w:cs="Times New Roman"/>
          <w:bCs/>
          <w:kern w:val="1"/>
          <w:sz w:val="24"/>
          <w:szCs w:val="24"/>
          <w:lang w:eastAsia="ar-SA"/>
        </w:rPr>
        <w:t xml:space="preserve"> (ďalej len „globálny štandard CARF</w:t>
      </w:r>
      <w:r w:rsidR="00406F01" w:rsidRPr="00CF0E64">
        <w:rPr>
          <w:rFonts w:ascii="Times New Roman" w:eastAsia="Arial Unicode MS" w:hAnsi="Times New Roman" w:cs="Times New Roman"/>
          <w:bCs/>
          <w:kern w:val="1"/>
          <w:sz w:val="24"/>
          <w:szCs w:val="24"/>
          <w:lang w:eastAsia="ar-SA"/>
        </w:rPr>
        <w:t>“</w:t>
      </w:r>
      <w:r w:rsidR="000C6D78" w:rsidRPr="00CF0E64">
        <w:rPr>
          <w:rFonts w:ascii="Times New Roman" w:eastAsia="Arial Unicode MS" w:hAnsi="Times New Roman" w:cs="Times New Roman"/>
          <w:bCs/>
          <w:kern w:val="1"/>
          <w:sz w:val="24"/>
          <w:szCs w:val="24"/>
          <w:lang w:eastAsia="ar-SA"/>
        </w:rPr>
        <w:t>)</w:t>
      </w:r>
      <w:r w:rsidR="007A0864" w:rsidRPr="00CF0E64">
        <w:rPr>
          <w:rFonts w:ascii="Times New Roman" w:eastAsia="Arial Unicode MS" w:hAnsi="Times New Roman" w:cs="Times New Roman"/>
          <w:bCs/>
          <w:kern w:val="1"/>
          <w:sz w:val="24"/>
          <w:szCs w:val="24"/>
          <w:lang w:eastAsia="ar-SA"/>
        </w:rPr>
        <w:t xml:space="preserve">. </w:t>
      </w:r>
    </w:p>
    <w:p w14:paraId="720215E8" w14:textId="11CB956F" w:rsidR="00632811" w:rsidRPr="00CF0E64" w:rsidRDefault="00632811" w:rsidP="003B68A9">
      <w:pPr>
        <w:spacing w:after="0" w:line="252" w:lineRule="auto"/>
        <w:jc w:val="both"/>
        <w:rPr>
          <w:rFonts w:ascii="Times New Roman" w:eastAsia="Arial Unicode MS" w:hAnsi="Times New Roman" w:cs="Times New Roman"/>
          <w:bCs/>
          <w:kern w:val="1"/>
          <w:sz w:val="24"/>
          <w:szCs w:val="24"/>
          <w:lang w:eastAsia="ar-SA"/>
        </w:rPr>
      </w:pPr>
      <w:r w:rsidRPr="00CF0E64">
        <w:rPr>
          <w:rFonts w:ascii="Times New Roman" w:eastAsia="Arial Unicode MS" w:hAnsi="Times New Roman" w:cs="Times New Roman"/>
          <w:bCs/>
          <w:kern w:val="1"/>
          <w:sz w:val="24"/>
          <w:szCs w:val="24"/>
          <w:lang w:eastAsia="ar-SA"/>
        </w:rPr>
        <w:t>Pojem automatická výmena informácií v písm. c) v bodoch 1. až 4. zahŕňa získavanie informácií o </w:t>
      </w:r>
      <w:proofErr w:type="spellStart"/>
      <w:r w:rsidRPr="00CF0E64">
        <w:rPr>
          <w:rFonts w:ascii="Times New Roman" w:eastAsia="Arial Unicode MS" w:hAnsi="Times New Roman" w:cs="Times New Roman"/>
          <w:bCs/>
          <w:kern w:val="1"/>
          <w:sz w:val="24"/>
          <w:szCs w:val="24"/>
          <w:lang w:eastAsia="ar-SA"/>
        </w:rPr>
        <w:t>kryptoaktívach</w:t>
      </w:r>
      <w:proofErr w:type="spellEnd"/>
      <w:r w:rsidRPr="00CF0E64">
        <w:rPr>
          <w:rFonts w:ascii="Times New Roman" w:eastAsia="Arial Unicode MS" w:hAnsi="Times New Roman" w:cs="Times New Roman"/>
          <w:bCs/>
          <w:kern w:val="1"/>
          <w:sz w:val="24"/>
          <w:szCs w:val="24"/>
          <w:lang w:eastAsia="ar-SA"/>
        </w:rPr>
        <w:t xml:space="preserve"> od oznamujúcich poskytovateľov služieb </w:t>
      </w:r>
      <w:proofErr w:type="spellStart"/>
      <w:r w:rsidRPr="00CF0E64">
        <w:rPr>
          <w:rFonts w:ascii="Times New Roman" w:eastAsia="Arial Unicode MS" w:hAnsi="Times New Roman" w:cs="Times New Roman"/>
          <w:bCs/>
          <w:kern w:val="1"/>
          <w:sz w:val="24"/>
          <w:szCs w:val="24"/>
          <w:lang w:eastAsia="ar-SA"/>
        </w:rPr>
        <w:t>kryptoaktív</w:t>
      </w:r>
      <w:proofErr w:type="spellEnd"/>
      <w:r w:rsidRPr="00CF0E64">
        <w:rPr>
          <w:rFonts w:ascii="Times New Roman" w:eastAsia="Arial Unicode MS" w:hAnsi="Times New Roman" w:cs="Times New Roman"/>
          <w:bCs/>
          <w:kern w:val="1"/>
          <w:sz w:val="24"/>
          <w:szCs w:val="24"/>
          <w:lang w:eastAsia="ar-SA"/>
        </w:rPr>
        <w:t xml:space="preserve">, oznamovanie týchto informácií príslušnému orgánu Slovenskej republiky a ich následné zasielanie príslušnému orgánu členského štátu EÚ a príslušnému orgánu zmluvného štátu. Rovnako zahŕňa aj prijímanie informácií o </w:t>
      </w:r>
      <w:proofErr w:type="spellStart"/>
      <w:r w:rsidRPr="00CF0E64">
        <w:rPr>
          <w:rFonts w:ascii="Times New Roman" w:eastAsia="Arial Unicode MS" w:hAnsi="Times New Roman" w:cs="Times New Roman"/>
          <w:bCs/>
          <w:kern w:val="1"/>
          <w:sz w:val="24"/>
          <w:szCs w:val="24"/>
          <w:lang w:eastAsia="ar-SA"/>
        </w:rPr>
        <w:t>kryptoaktívach</w:t>
      </w:r>
      <w:proofErr w:type="spellEnd"/>
      <w:r w:rsidRPr="00CF0E64">
        <w:rPr>
          <w:rFonts w:ascii="Times New Roman" w:eastAsia="Arial Unicode MS" w:hAnsi="Times New Roman" w:cs="Times New Roman"/>
          <w:bCs/>
          <w:kern w:val="1"/>
          <w:sz w:val="24"/>
          <w:szCs w:val="24"/>
          <w:lang w:eastAsia="ar-SA"/>
        </w:rPr>
        <w:t xml:space="preserve"> daňových rezidentov Slovenskej republiky príslušným orgánom Slovenskej republiky</w:t>
      </w:r>
      <w:r w:rsidR="006F22FA" w:rsidRPr="00CF0E64">
        <w:rPr>
          <w:rFonts w:ascii="Times New Roman" w:eastAsia="Arial Unicode MS" w:hAnsi="Times New Roman" w:cs="Times New Roman"/>
          <w:bCs/>
          <w:kern w:val="1"/>
          <w:sz w:val="24"/>
          <w:szCs w:val="24"/>
          <w:lang w:eastAsia="ar-SA"/>
        </w:rPr>
        <w:t xml:space="preserve"> </w:t>
      </w:r>
      <w:r w:rsidRPr="00CF0E64">
        <w:rPr>
          <w:rFonts w:ascii="Times New Roman" w:eastAsia="Arial Unicode MS" w:hAnsi="Times New Roman" w:cs="Times New Roman"/>
          <w:bCs/>
          <w:kern w:val="1"/>
          <w:sz w:val="24"/>
          <w:szCs w:val="24"/>
          <w:lang w:eastAsia="ar-SA"/>
        </w:rPr>
        <w:t xml:space="preserve">od príslušného orgánu členského štátu alebo od príslušného orgánu zmluvného štátu. Zákon upravuje </w:t>
      </w:r>
      <w:r w:rsidR="006F22FA" w:rsidRPr="00CF0E64">
        <w:rPr>
          <w:rFonts w:ascii="Times New Roman" w:eastAsia="Arial Unicode MS" w:hAnsi="Times New Roman" w:cs="Times New Roman"/>
          <w:bCs/>
          <w:kern w:val="1"/>
          <w:sz w:val="24"/>
          <w:szCs w:val="24"/>
          <w:lang w:eastAsia="ar-SA"/>
        </w:rPr>
        <w:t xml:space="preserve">rovnako ako v prípade automatickej výmeny informácií o finančných účtoch </w:t>
      </w:r>
      <w:r w:rsidRPr="00CF0E64">
        <w:rPr>
          <w:rFonts w:ascii="Times New Roman" w:eastAsia="Arial Unicode MS" w:hAnsi="Times New Roman" w:cs="Times New Roman"/>
          <w:bCs/>
          <w:kern w:val="1"/>
          <w:sz w:val="24"/>
          <w:szCs w:val="24"/>
          <w:lang w:eastAsia="ar-SA"/>
        </w:rPr>
        <w:t xml:space="preserve">vzájomné automatické odovzdávanie informácií o </w:t>
      </w:r>
      <w:proofErr w:type="spellStart"/>
      <w:r w:rsidR="006F22FA" w:rsidRPr="00CF0E64">
        <w:rPr>
          <w:rFonts w:ascii="Times New Roman" w:eastAsia="Arial Unicode MS" w:hAnsi="Times New Roman" w:cs="Times New Roman"/>
          <w:bCs/>
          <w:kern w:val="1"/>
          <w:sz w:val="24"/>
          <w:szCs w:val="24"/>
          <w:lang w:eastAsia="ar-SA"/>
        </w:rPr>
        <w:t>kryptoaktívach</w:t>
      </w:r>
      <w:proofErr w:type="spellEnd"/>
      <w:r w:rsidRPr="00CF0E64">
        <w:rPr>
          <w:rFonts w:ascii="Times New Roman" w:eastAsia="Arial Unicode MS" w:hAnsi="Times New Roman" w:cs="Times New Roman"/>
          <w:bCs/>
          <w:kern w:val="1"/>
          <w:sz w:val="24"/>
          <w:szCs w:val="24"/>
          <w:lang w:eastAsia="ar-SA"/>
        </w:rPr>
        <w:t xml:space="preserve">. Predpokladom výmeny a zasielania zo strany príslušného orgánu Slovenskej republiky je získanie informácií zo strany  </w:t>
      </w:r>
      <w:r w:rsidR="006F22FA" w:rsidRPr="00CF0E64">
        <w:rPr>
          <w:rFonts w:ascii="Times New Roman" w:eastAsia="Arial Unicode MS" w:hAnsi="Times New Roman" w:cs="Times New Roman"/>
          <w:bCs/>
          <w:kern w:val="1"/>
          <w:sz w:val="24"/>
          <w:szCs w:val="24"/>
          <w:lang w:eastAsia="ar-SA"/>
        </w:rPr>
        <w:t xml:space="preserve">oznamujúcich poskytovateľov služieb </w:t>
      </w:r>
      <w:proofErr w:type="spellStart"/>
      <w:r w:rsidR="006F22FA" w:rsidRPr="00CF0E64">
        <w:rPr>
          <w:rFonts w:ascii="Times New Roman" w:eastAsia="Arial Unicode MS" w:hAnsi="Times New Roman" w:cs="Times New Roman"/>
          <w:bCs/>
          <w:kern w:val="1"/>
          <w:sz w:val="24"/>
          <w:szCs w:val="24"/>
          <w:lang w:eastAsia="ar-SA"/>
        </w:rPr>
        <w:t>kryptoaktív</w:t>
      </w:r>
      <w:proofErr w:type="spellEnd"/>
      <w:r w:rsidRPr="00CF0E64">
        <w:rPr>
          <w:rFonts w:ascii="Times New Roman" w:eastAsia="Arial Unicode MS" w:hAnsi="Times New Roman" w:cs="Times New Roman"/>
          <w:bCs/>
          <w:kern w:val="1"/>
          <w:sz w:val="24"/>
          <w:szCs w:val="24"/>
          <w:lang w:eastAsia="ar-SA"/>
        </w:rPr>
        <w:t xml:space="preserve"> v Slovenskej republike a ich následné oznamovanie príslušnému orgánu Slovenskej republiky.</w:t>
      </w:r>
    </w:p>
    <w:p w14:paraId="71A54B97" w14:textId="348FB30E" w:rsidR="00632811" w:rsidRPr="00CF0E64" w:rsidRDefault="00632811" w:rsidP="00037C5A">
      <w:pPr>
        <w:suppressAutoHyphens/>
        <w:spacing w:before="120" w:after="0" w:line="252" w:lineRule="auto"/>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 xml:space="preserve">K bodu </w:t>
      </w:r>
      <w:r w:rsidR="005F5C92" w:rsidRPr="00CF0E64">
        <w:rPr>
          <w:rFonts w:ascii="Times New Roman" w:eastAsia="Arial Unicode MS" w:hAnsi="Times New Roman" w:cs="Times New Roman"/>
          <w:b/>
          <w:kern w:val="1"/>
          <w:sz w:val="24"/>
          <w:szCs w:val="24"/>
          <w:u w:val="single"/>
          <w:lang w:eastAsia="ar-SA"/>
        </w:rPr>
        <w:t>3</w:t>
      </w:r>
      <w:r w:rsidRPr="00CF0E64">
        <w:rPr>
          <w:rFonts w:ascii="Times New Roman" w:eastAsia="Arial Unicode MS" w:hAnsi="Times New Roman" w:cs="Times New Roman"/>
          <w:b/>
          <w:kern w:val="1"/>
          <w:sz w:val="24"/>
          <w:szCs w:val="24"/>
          <w:u w:val="single"/>
          <w:lang w:eastAsia="ar-SA"/>
        </w:rPr>
        <w:t xml:space="preserve"> – § </w:t>
      </w:r>
      <w:r w:rsidR="003B64BF" w:rsidRPr="00CF0E64">
        <w:rPr>
          <w:rFonts w:ascii="Times New Roman" w:eastAsia="Arial Unicode MS" w:hAnsi="Times New Roman" w:cs="Times New Roman"/>
          <w:b/>
          <w:kern w:val="1"/>
          <w:sz w:val="24"/>
          <w:szCs w:val="24"/>
          <w:u w:val="single"/>
          <w:lang w:eastAsia="ar-SA"/>
        </w:rPr>
        <w:t>2</w:t>
      </w:r>
      <w:r w:rsidR="002D2DCA">
        <w:rPr>
          <w:rFonts w:ascii="Times New Roman" w:eastAsia="Arial Unicode MS" w:hAnsi="Times New Roman" w:cs="Times New Roman"/>
          <w:b/>
          <w:kern w:val="1"/>
          <w:sz w:val="24"/>
          <w:szCs w:val="24"/>
          <w:u w:val="single"/>
          <w:lang w:eastAsia="ar-SA"/>
        </w:rPr>
        <w:t xml:space="preserve"> písm. h)</w:t>
      </w:r>
      <w:r w:rsidRPr="00CF0E64">
        <w:rPr>
          <w:rFonts w:ascii="Times New Roman" w:eastAsia="Arial Unicode MS" w:hAnsi="Times New Roman" w:cs="Times New Roman"/>
          <w:b/>
          <w:kern w:val="1"/>
          <w:sz w:val="24"/>
          <w:szCs w:val="24"/>
          <w:u w:val="single"/>
          <w:lang w:eastAsia="ar-SA"/>
        </w:rPr>
        <w:t>:</w:t>
      </w:r>
    </w:p>
    <w:p w14:paraId="4E98801B" w14:textId="527D2E4D" w:rsidR="009321F5" w:rsidRPr="00CF0E64" w:rsidRDefault="003B64BF" w:rsidP="003B68A9">
      <w:pPr>
        <w:spacing w:after="0" w:line="252" w:lineRule="auto"/>
        <w:jc w:val="both"/>
        <w:rPr>
          <w:rFonts w:ascii="Times New Roman" w:eastAsia="Arial Unicode MS" w:hAnsi="Times New Roman" w:cs="Times New Roman"/>
          <w:bCs/>
          <w:kern w:val="1"/>
          <w:sz w:val="24"/>
          <w:szCs w:val="24"/>
          <w:lang w:eastAsia="ar-SA"/>
        </w:rPr>
      </w:pPr>
      <w:r w:rsidRPr="00CF0E64">
        <w:rPr>
          <w:rFonts w:ascii="Times New Roman" w:eastAsia="Arial Unicode MS" w:hAnsi="Times New Roman" w:cs="Times New Roman"/>
          <w:bCs/>
          <w:kern w:val="1"/>
          <w:sz w:val="24"/>
          <w:szCs w:val="24"/>
          <w:lang w:eastAsia="ar-SA"/>
        </w:rPr>
        <w:t xml:space="preserve">Spresňuje sa definícia daňového identifikačného čísla podľa požiadaviek oddielu IV Prílohy VI smernice (EÚ) 2023/2226. </w:t>
      </w:r>
    </w:p>
    <w:p w14:paraId="0AE1666E" w14:textId="56C505B0" w:rsidR="00C32C39" w:rsidRPr="00CF0E64" w:rsidRDefault="00C32C39" w:rsidP="00037C5A">
      <w:pPr>
        <w:suppressAutoHyphens/>
        <w:spacing w:before="120"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4 – § 2:</w:t>
      </w:r>
    </w:p>
    <w:p w14:paraId="7CA53622" w14:textId="18DD3602" w:rsidR="005F5C92" w:rsidRPr="00CF0E64" w:rsidRDefault="00C32C39" w:rsidP="003B68A9">
      <w:pPr>
        <w:spacing w:after="0" w:line="252" w:lineRule="auto"/>
        <w:jc w:val="both"/>
        <w:rPr>
          <w:rFonts w:ascii="Times New Roman" w:eastAsia="Arial Unicode MS" w:hAnsi="Times New Roman" w:cs="Times New Roman"/>
          <w:bCs/>
          <w:kern w:val="1"/>
          <w:sz w:val="24"/>
          <w:szCs w:val="24"/>
          <w:lang w:eastAsia="ar-SA"/>
        </w:rPr>
      </w:pPr>
      <w:r w:rsidRPr="00CF0E64">
        <w:rPr>
          <w:rFonts w:ascii="Times New Roman" w:eastAsia="Arial Unicode MS" w:hAnsi="Times New Roman" w:cs="Times New Roman"/>
          <w:bCs/>
          <w:kern w:val="1"/>
          <w:sz w:val="24"/>
          <w:szCs w:val="24"/>
          <w:lang w:eastAsia="ar-SA"/>
        </w:rPr>
        <w:t xml:space="preserve">Do zákona sa dopĺňajú definície </w:t>
      </w:r>
      <w:r w:rsidR="00CB67CC" w:rsidRPr="00CF0E64">
        <w:rPr>
          <w:rFonts w:ascii="Times New Roman" w:eastAsia="Arial Unicode MS" w:hAnsi="Times New Roman" w:cs="Times New Roman"/>
          <w:bCs/>
          <w:kern w:val="1"/>
          <w:sz w:val="24"/>
          <w:szCs w:val="24"/>
          <w:lang w:eastAsia="ar-SA"/>
        </w:rPr>
        <w:t xml:space="preserve">pojmov </w:t>
      </w:r>
      <w:r w:rsidRPr="00CF0E64">
        <w:rPr>
          <w:rFonts w:ascii="Times New Roman" w:eastAsia="Arial Unicode MS" w:hAnsi="Times New Roman" w:cs="Times New Roman"/>
          <w:bCs/>
          <w:kern w:val="1"/>
          <w:sz w:val="24"/>
          <w:szCs w:val="24"/>
          <w:lang w:eastAsia="ar-SA"/>
        </w:rPr>
        <w:t>potrebné v kontexte automatickej výmeny informácií o</w:t>
      </w:r>
      <w:r w:rsidR="00CB67CC" w:rsidRPr="00CF0E64">
        <w:rPr>
          <w:rFonts w:ascii="Times New Roman" w:eastAsia="Arial Unicode MS" w:hAnsi="Times New Roman" w:cs="Times New Roman"/>
          <w:bCs/>
          <w:kern w:val="1"/>
          <w:sz w:val="24"/>
          <w:szCs w:val="24"/>
          <w:lang w:eastAsia="ar-SA"/>
        </w:rPr>
        <w:t> </w:t>
      </w:r>
      <w:proofErr w:type="spellStart"/>
      <w:r w:rsidRPr="00CF0E64">
        <w:rPr>
          <w:rFonts w:ascii="Times New Roman" w:eastAsia="Arial Unicode MS" w:hAnsi="Times New Roman" w:cs="Times New Roman"/>
          <w:bCs/>
          <w:kern w:val="1"/>
          <w:sz w:val="24"/>
          <w:szCs w:val="24"/>
          <w:lang w:eastAsia="ar-SA"/>
        </w:rPr>
        <w:t>kryptoaktíva</w:t>
      </w:r>
      <w:r w:rsidR="00CB67CC" w:rsidRPr="00CF0E64">
        <w:rPr>
          <w:rFonts w:ascii="Times New Roman" w:eastAsia="Arial Unicode MS" w:hAnsi="Times New Roman" w:cs="Times New Roman"/>
          <w:bCs/>
          <w:kern w:val="1"/>
          <w:sz w:val="24"/>
          <w:szCs w:val="24"/>
          <w:lang w:eastAsia="ar-SA"/>
        </w:rPr>
        <w:t>ch</w:t>
      </w:r>
      <w:proofErr w:type="spellEnd"/>
      <w:r w:rsidR="00CB67CC" w:rsidRPr="00CF0E64">
        <w:rPr>
          <w:rFonts w:ascii="Times New Roman" w:eastAsia="Arial Unicode MS" w:hAnsi="Times New Roman" w:cs="Times New Roman"/>
          <w:bCs/>
          <w:kern w:val="1"/>
          <w:sz w:val="24"/>
          <w:szCs w:val="24"/>
          <w:lang w:eastAsia="ar-SA"/>
        </w:rPr>
        <w:t xml:space="preserve">. Pojmy sú zadefinované v súlade so smernicou (EÚ) 2023/2226 a globálnym štandardom </w:t>
      </w:r>
      <w:r w:rsidR="000C6D78" w:rsidRPr="00CF0E64">
        <w:rPr>
          <w:rFonts w:ascii="Times New Roman" w:eastAsia="Arial Unicode MS" w:hAnsi="Times New Roman" w:cs="Times New Roman"/>
          <w:bCs/>
          <w:kern w:val="1"/>
          <w:sz w:val="24"/>
          <w:szCs w:val="24"/>
          <w:lang w:eastAsia="ar-SA"/>
        </w:rPr>
        <w:t>CARF</w:t>
      </w:r>
      <w:r w:rsidR="00CB67CC" w:rsidRPr="00CF0E64">
        <w:rPr>
          <w:rFonts w:ascii="Times New Roman" w:eastAsia="Arial Unicode MS" w:hAnsi="Times New Roman" w:cs="Times New Roman"/>
          <w:bCs/>
          <w:kern w:val="1"/>
          <w:sz w:val="24"/>
          <w:szCs w:val="24"/>
          <w:lang w:eastAsia="ar-SA"/>
        </w:rPr>
        <w:t xml:space="preserve">. </w:t>
      </w:r>
    </w:p>
    <w:p w14:paraId="1630A765" w14:textId="6E7C266E" w:rsidR="00C32C39" w:rsidRPr="00CF0E64" w:rsidRDefault="00CB67CC" w:rsidP="00037C5A">
      <w:pPr>
        <w:spacing w:before="120"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V písmene j) sa zavádza pojem „centrálna banka“, ktorou sa rozumie </w:t>
      </w:r>
      <w:r w:rsidR="005E7B8A" w:rsidRPr="00CF0E64">
        <w:rPr>
          <w:rFonts w:ascii="Times New Roman" w:eastAsia="Arial Unicode MS" w:hAnsi="Times New Roman" w:cs="Times New Roman"/>
          <w:kern w:val="1"/>
          <w:sz w:val="24"/>
          <w:szCs w:val="24"/>
          <w:lang w:eastAsia="ar-SA"/>
        </w:rPr>
        <w:t>inštitúcia, ktorá je zo zákona alebo z poverenia vlády</w:t>
      </w:r>
      <w:r w:rsidR="00406F01" w:rsidRPr="00CF0E64">
        <w:rPr>
          <w:rFonts w:ascii="Times New Roman" w:eastAsia="Arial Unicode MS" w:hAnsi="Times New Roman" w:cs="Times New Roman"/>
          <w:kern w:val="1"/>
          <w:sz w:val="24"/>
          <w:szCs w:val="24"/>
          <w:lang w:eastAsia="ar-SA"/>
        </w:rPr>
        <w:t xml:space="preserve"> </w:t>
      </w:r>
      <w:r w:rsidR="005E7B8A" w:rsidRPr="00CF0E64">
        <w:rPr>
          <w:rFonts w:ascii="Times New Roman" w:eastAsia="Arial Unicode MS" w:hAnsi="Times New Roman" w:cs="Times New Roman"/>
          <w:kern w:val="1"/>
          <w:sz w:val="24"/>
          <w:szCs w:val="24"/>
          <w:lang w:eastAsia="ar-SA"/>
        </w:rPr>
        <w:t>hlavným orgánom, ktorý emituje nástroje, ktoré majú obiehať ako mena. Pre spresnenie sa uvádza, že takáto inštitúcia v rôznych štátoch môže zahŕňať pomocnú organizáciu, ktorá je oddelená od vlády a bez ohľadu na to, či j</w:t>
      </w:r>
      <w:r w:rsidR="005178CC" w:rsidRPr="00CF0E64">
        <w:rPr>
          <w:rFonts w:ascii="Times New Roman" w:eastAsia="Arial Unicode MS" w:hAnsi="Times New Roman" w:cs="Times New Roman"/>
          <w:kern w:val="1"/>
          <w:sz w:val="24"/>
          <w:szCs w:val="24"/>
          <w:lang w:eastAsia="ar-SA"/>
        </w:rPr>
        <w:t>u</w:t>
      </w:r>
      <w:r w:rsidR="005E7B8A" w:rsidRPr="00CF0E64">
        <w:rPr>
          <w:rFonts w:ascii="Times New Roman" w:eastAsia="Arial Unicode MS" w:hAnsi="Times New Roman" w:cs="Times New Roman"/>
          <w:kern w:val="1"/>
          <w:sz w:val="24"/>
          <w:szCs w:val="24"/>
          <w:lang w:eastAsia="ar-SA"/>
        </w:rPr>
        <w:t xml:space="preserve"> štát úplne alebo čiastočne vlastní. </w:t>
      </w:r>
    </w:p>
    <w:p w14:paraId="2E2F10F1" w14:textId="086277B2" w:rsidR="00CB67CC" w:rsidRPr="00CF0E64" w:rsidRDefault="00CB67CC" w:rsidP="00037C5A">
      <w:pPr>
        <w:spacing w:before="120"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V písmene </w:t>
      </w:r>
      <w:r w:rsidR="005E7B8A" w:rsidRPr="00CF0E64">
        <w:rPr>
          <w:rFonts w:ascii="Times New Roman" w:eastAsia="Arial Unicode MS" w:hAnsi="Times New Roman" w:cs="Times New Roman"/>
          <w:kern w:val="1"/>
          <w:sz w:val="24"/>
          <w:szCs w:val="24"/>
          <w:lang w:eastAsia="ar-SA"/>
        </w:rPr>
        <w:t>k</w:t>
      </w:r>
      <w:r w:rsidRPr="00CF0E64">
        <w:rPr>
          <w:rFonts w:ascii="Times New Roman" w:eastAsia="Arial Unicode MS" w:hAnsi="Times New Roman" w:cs="Times New Roman"/>
          <w:kern w:val="1"/>
          <w:sz w:val="24"/>
          <w:szCs w:val="24"/>
          <w:lang w:eastAsia="ar-SA"/>
        </w:rPr>
        <w:t>) sa definuje pojem „</w:t>
      </w:r>
      <w:r w:rsidR="005E7B8A" w:rsidRPr="00CF0E64">
        <w:rPr>
          <w:rFonts w:ascii="Times New Roman" w:eastAsia="Arial Unicode MS" w:hAnsi="Times New Roman" w:cs="Times New Roman"/>
          <w:kern w:val="1"/>
          <w:sz w:val="24"/>
          <w:szCs w:val="24"/>
          <w:lang w:eastAsia="ar-SA"/>
        </w:rPr>
        <w:t>oficiálna mena</w:t>
      </w:r>
      <w:r w:rsidRPr="00CF0E64">
        <w:rPr>
          <w:rFonts w:ascii="Times New Roman" w:eastAsia="Arial Unicode MS" w:hAnsi="Times New Roman" w:cs="Times New Roman"/>
          <w:kern w:val="1"/>
          <w:sz w:val="24"/>
          <w:szCs w:val="24"/>
          <w:lang w:eastAsia="ar-SA"/>
        </w:rPr>
        <w:t>“,</w:t>
      </w:r>
      <w:r w:rsidR="005E7B8A" w:rsidRPr="00CF0E64">
        <w:rPr>
          <w:rFonts w:ascii="Times New Roman" w:eastAsia="Arial Unicode MS" w:hAnsi="Times New Roman" w:cs="Times New Roman"/>
          <w:kern w:val="1"/>
          <w:sz w:val="24"/>
          <w:szCs w:val="24"/>
          <w:lang w:eastAsia="ar-SA"/>
        </w:rPr>
        <w:t xml:space="preserve"> ktorou sa rozumie oficiálna (fiat) </w:t>
      </w:r>
      <w:r w:rsidR="00611981">
        <w:rPr>
          <w:rFonts w:ascii="Times New Roman" w:eastAsia="Arial Unicode MS" w:hAnsi="Times New Roman" w:cs="Times New Roman"/>
          <w:kern w:val="1"/>
          <w:sz w:val="24"/>
          <w:szCs w:val="24"/>
          <w:lang w:eastAsia="ar-SA"/>
        </w:rPr>
        <w:t>menová jednotka</w:t>
      </w:r>
      <w:r w:rsidR="00611981" w:rsidRPr="00CF0E64">
        <w:rPr>
          <w:rFonts w:ascii="Times New Roman" w:eastAsia="Arial Unicode MS" w:hAnsi="Times New Roman" w:cs="Times New Roman"/>
          <w:kern w:val="1"/>
          <w:sz w:val="24"/>
          <w:szCs w:val="24"/>
          <w:lang w:eastAsia="ar-SA"/>
        </w:rPr>
        <w:t xml:space="preserve"> </w:t>
      </w:r>
      <w:r w:rsidR="005E7B8A" w:rsidRPr="00CF0E64">
        <w:rPr>
          <w:rFonts w:ascii="Times New Roman" w:eastAsia="Arial Unicode MS" w:hAnsi="Times New Roman" w:cs="Times New Roman"/>
          <w:kern w:val="1"/>
          <w:sz w:val="24"/>
          <w:szCs w:val="24"/>
          <w:lang w:eastAsia="ar-SA"/>
        </w:rPr>
        <w:t xml:space="preserve">štátu, ktorú vydáva štát, centrálna banka alebo iný menový orgán štátu. Oficiálna mena je reprezentovaná fyzickými bankovkami, mincami alebo peniazmi v rôznych digitálnych formách (vrátane bankových rezerv a digitálnych mien centrálnych bánk). Oficiálnou menou sú aj peniaze bánk </w:t>
      </w:r>
      <w:r w:rsidR="00611981">
        <w:rPr>
          <w:rFonts w:ascii="Times New Roman" w:eastAsia="Arial Unicode MS" w:hAnsi="Times New Roman" w:cs="Times New Roman"/>
          <w:kern w:val="1"/>
          <w:sz w:val="24"/>
          <w:szCs w:val="24"/>
          <w:lang w:eastAsia="ar-SA"/>
        </w:rPr>
        <w:t xml:space="preserve">a zahraničných bánk </w:t>
      </w:r>
      <w:r w:rsidR="005E7B8A" w:rsidRPr="00CF0E64">
        <w:rPr>
          <w:rFonts w:ascii="Times New Roman" w:eastAsia="Arial Unicode MS" w:hAnsi="Times New Roman" w:cs="Times New Roman"/>
          <w:kern w:val="1"/>
          <w:sz w:val="24"/>
          <w:szCs w:val="24"/>
          <w:lang w:eastAsia="ar-SA"/>
        </w:rPr>
        <w:t xml:space="preserve">a produkty elektronických peňazí. </w:t>
      </w:r>
    </w:p>
    <w:p w14:paraId="3B270241" w14:textId="1D0075A6" w:rsidR="005178CC" w:rsidRPr="00CF0E64" w:rsidRDefault="00AC15D4" w:rsidP="00037C5A">
      <w:pPr>
        <w:spacing w:before="120"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V písmene l) sa definuje pojem „digitálna mena centrálnej banky“, ktorou sa </w:t>
      </w:r>
      <w:r w:rsidR="00E76C98" w:rsidRPr="00CF0E64">
        <w:rPr>
          <w:rFonts w:ascii="Times New Roman" w:eastAsia="Arial Unicode MS" w:hAnsi="Times New Roman" w:cs="Times New Roman"/>
          <w:kern w:val="1"/>
          <w:sz w:val="24"/>
          <w:szCs w:val="24"/>
          <w:lang w:eastAsia="ar-SA"/>
        </w:rPr>
        <w:t xml:space="preserve">rozumie digitálna oficiálna mena vydaná centrálnou bankou alebo iným menovým orgánom. </w:t>
      </w:r>
    </w:p>
    <w:p w14:paraId="34562AEC" w14:textId="1526E707" w:rsidR="00CB67CC" w:rsidRPr="00CF0E64" w:rsidRDefault="00767F29" w:rsidP="005178CC">
      <w:pPr>
        <w:spacing w:before="120" w:after="0" w:line="252" w:lineRule="auto"/>
        <w:jc w:val="both"/>
        <w:rPr>
          <w:rFonts w:ascii="Times New Roman" w:hAnsi="Times New Roman" w:cs="Times New Roman"/>
          <w:sz w:val="24"/>
          <w:szCs w:val="24"/>
        </w:rPr>
      </w:pPr>
      <w:r w:rsidRPr="00CF0E64">
        <w:rPr>
          <w:rFonts w:ascii="Times New Roman" w:eastAsia="Arial Unicode MS" w:hAnsi="Times New Roman" w:cs="Times New Roman"/>
          <w:kern w:val="1"/>
          <w:sz w:val="24"/>
          <w:szCs w:val="24"/>
          <w:lang w:eastAsia="ar-SA"/>
        </w:rPr>
        <w:t xml:space="preserve">V písmene m) sa zavádza pojem „elektronické peniaze“, ktorým je produkt splňujúci zákonom vymenované kumulatívne požiadavky. Je digitálnym vyjadrením oficiálnej meny, vydaný pri </w:t>
      </w:r>
      <w:r w:rsidRPr="00CF0E64">
        <w:rPr>
          <w:rFonts w:ascii="Times New Roman" w:eastAsia="Arial Unicode MS" w:hAnsi="Times New Roman" w:cs="Times New Roman"/>
          <w:kern w:val="1"/>
          <w:sz w:val="24"/>
          <w:szCs w:val="24"/>
          <w:lang w:eastAsia="ar-SA"/>
        </w:rPr>
        <w:lastRenderedPageBreak/>
        <w:t>prijatí finančných prostriedkov na účely vykonania platobných transakcií, zastúpený pohľadávkou voči emitentovi vyjadren</w:t>
      </w:r>
      <w:r w:rsidR="005178CC" w:rsidRPr="00CF0E64">
        <w:rPr>
          <w:rFonts w:ascii="Times New Roman" w:eastAsia="Arial Unicode MS" w:hAnsi="Times New Roman" w:cs="Times New Roman"/>
          <w:kern w:val="1"/>
          <w:sz w:val="24"/>
          <w:szCs w:val="24"/>
          <w:lang w:eastAsia="ar-SA"/>
        </w:rPr>
        <w:t>ou</w:t>
      </w:r>
      <w:r w:rsidRPr="00CF0E64">
        <w:rPr>
          <w:rFonts w:ascii="Times New Roman" w:eastAsia="Arial Unicode MS" w:hAnsi="Times New Roman" w:cs="Times New Roman"/>
          <w:kern w:val="1"/>
          <w:sz w:val="24"/>
          <w:szCs w:val="24"/>
          <w:lang w:eastAsia="ar-SA"/>
        </w:rPr>
        <w:t xml:space="preserve"> v tej istej oficiálnej mene, akceptovaný pri platbe fyzickou osobou alebo právnickou osobou inou ako emitent a na základe regulačných požiadaviek, ktorým podlieha emitent, splatný kedykoľvek a v nominálnej hodnote za tú istú oficiálnu menu na žiadosť držiteľa produktu. </w:t>
      </w:r>
      <w:r w:rsidR="00070FA7" w:rsidRPr="00CF0E64">
        <w:rPr>
          <w:rFonts w:ascii="Times New Roman" w:eastAsia="Arial Unicode MS" w:hAnsi="Times New Roman" w:cs="Times New Roman"/>
          <w:kern w:val="1"/>
          <w:sz w:val="24"/>
          <w:szCs w:val="24"/>
          <w:lang w:eastAsia="ar-SA"/>
        </w:rPr>
        <w:t>El</w:t>
      </w:r>
      <w:r w:rsidR="00CB67CC" w:rsidRPr="00CF0E64">
        <w:rPr>
          <w:rFonts w:ascii="Times New Roman" w:hAnsi="Times New Roman" w:cs="Times New Roman"/>
          <w:sz w:val="24"/>
          <w:szCs w:val="24"/>
        </w:rPr>
        <w:t>ektronickými peniazmi nie je produkt vytvorený výlučne na účely uľahčenia prevodu finančných prostriedkov od klienta na inú osobu podľa pokynov klienta</w:t>
      </w:r>
      <w:r w:rsidR="00070FA7" w:rsidRPr="00CF0E64">
        <w:rPr>
          <w:rFonts w:ascii="Times New Roman" w:hAnsi="Times New Roman" w:cs="Times New Roman"/>
          <w:sz w:val="24"/>
          <w:szCs w:val="24"/>
        </w:rPr>
        <w:t>. Uľahčením prevodu finančných prostriedkov sa rozumie</w:t>
      </w:r>
      <w:r w:rsidR="00CB67CC" w:rsidRPr="00CF0E64">
        <w:rPr>
          <w:rFonts w:ascii="Times New Roman" w:hAnsi="Times New Roman" w:cs="Times New Roman"/>
          <w:sz w:val="24"/>
          <w:szCs w:val="24"/>
        </w:rPr>
        <w:t>,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r w:rsidR="00070FA7" w:rsidRPr="00CF0E64">
        <w:rPr>
          <w:rFonts w:ascii="Times New Roman" w:hAnsi="Times New Roman" w:cs="Times New Roman"/>
          <w:sz w:val="24"/>
          <w:szCs w:val="24"/>
        </w:rPr>
        <w:t xml:space="preserve">. </w:t>
      </w:r>
    </w:p>
    <w:p w14:paraId="03D5DEA2" w14:textId="61D315B0" w:rsidR="00070FA7" w:rsidRPr="00CF0E64" w:rsidRDefault="00070FA7" w:rsidP="003B68A9">
      <w:pPr>
        <w:spacing w:before="120"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V písmene n) sa zavádza pojem „</w:t>
      </w:r>
      <w:proofErr w:type="spellStart"/>
      <w:r w:rsidRPr="00CF0E64">
        <w:rPr>
          <w:rFonts w:ascii="Times New Roman" w:hAnsi="Times New Roman" w:cs="Times New Roman"/>
          <w:sz w:val="24"/>
          <w:szCs w:val="24"/>
        </w:rPr>
        <w:t>kryptoaktívum</w:t>
      </w:r>
      <w:proofErr w:type="spellEnd"/>
      <w:r w:rsidRPr="00CF0E64">
        <w:rPr>
          <w:rFonts w:ascii="Times New Roman" w:hAnsi="Times New Roman" w:cs="Times New Roman"/>
          <w:sz w:val="24"/>
          <w:szCs w:val="24"/>
        </w:rPr>
        <w:t xml:space="preserve"> podliehajúce oznamovaniu</w:t>
      </w:r>
      <w:r w:rsidR="00482F12" w:rsidRPr="00CF0E64">
        <w:rPr>
          <w:rFonts w:ascii="Times New Roman" w:hAnsi="Times New Roman" w:cs="Times New Roman"/>
          <w:sz w:val="24"/>
          <w:szCs w:val="24"/>
        </w:rPr>
        <w:t>“</w:t>
      </w:r>
      <w:r w:rsidRPr="00CF0E64">
        <w:rPr>
          <w:rFonts w:ascii="Times New Roman" w:hAnsi="Times New Roman" w:cs="Times New Roman"/>
          <w:sz w:val="24"/>
          <w:szCs w:val="24"/>
        </w:rPr>
        <w:t xml:space="preserve">. Tento pojem zahŕňa </w:t>
      </w:r>
      <w:proofErr w:type="spellStart"/>
      <w:r w:rsidRPr="00CF0E64">
        <w:rPr>
          <w:rFonts w:ascii="Times New Roman" w:hAnsi="Times New Roman" w:cs="Times New Roman"/>
          <w:sz w:val="24"/>
          <w:szCs w:val="24"/>
        </w:rPr>
        <w:t>kryptoaktívum</w:t>
      </w:r>
      <w:proofErr w:type="spellEnd"/>
      <w:r w:rsidRPr="00CF0E64">
        <w:rPr>
          <w:rFonts w:ascii="Times New Roman" w:hAnsi="Times New Roman" w:cs="Times New Roman"/>
          <w:sz w:val="24"/>
          <w:szCs w:val="24"/>
        </w:rPr>
        <w:t xml:space="preserve"> podľa čl. 3 ods. 1 bod 5 nariadenia Európske</w:t>
      </w:r>
      <w:r w:rsidR="00482F12" w:rsidRPr="00CF0E64">
        <w:rPr>
          <w:rFonts w:ascii="Times New Roman" w:hAnsi="Times New Roman" w:cs="Times New Roman"/>
          <w:sz w:val="24"/>
          <w:szCs w:val="24"/>
        </w:rPr>
        <w:t>ho</w:t>
      </w:r>
      <w:r w:rsidRPr="00CF0E64">
        <w:rPr>
          <w:rFonts w:ascii="Times New Roman" w:hAnsi="Times New Roman" w:cs="Times New Roman"/>
          <w:sz w:val="24"/>
          <w:szCs w:val="24"/>
        </w:rPr>
        <w:t xml:space="preserve"> parlamentu a Rady (EÚ) 2023/1114 z 31. mája 2023 o trhoch s </w:t>
      </w:r>
      <w:proofErr w:type="spellStart"/>
      <w:r w:rsidRPr="00CF0E64">
        <w:rPr>
          <w:rFonts w:ascii="Times New Roman" w:hAnsi="Times New Roman" w:cs="Times New Roman"/>
          <w:sz w:val="24"/>
          <w:szCs w:val="24"/>
        </w:rPr>
        <w:t>kryptoaktívami</w:t>
      </w:r>
      <w:proofErr w:type="spellEnd"/>
      <w:r w:rsidRPr="00CF0E64">
        <w:rPr>
          <w:rFonts w:ascii="Times New Roman" w:hAnsi="Times New Roman" w:cs="Times New Roman"/>
          <w:sz w:val="24"/>
          <w:szCs w:val="24"/>
        </w:rPr>
        <w:t xml:space="preserve"> a o zmene nariadení (EÚ) č. 1093/2010 a (EÚ) č. 1095/2010 a smerníc 2013/36/EÚ a (EÚ) 2019/1937 (Ú. v. EÚ L 150, 9.6.2023) (ďalej len „nariadenie (EÚ) 2023/1114“</w:t>
      </w:r>
      <w:r w:rsidR="00AE39F2" w:rsidRPr="00CF0E64">
        <w:rPr>
          <w:rFonts w:ascii="Times New Roman" w:hAnsi="Times New Roman" w:cs="Times New Roman"/>
          <w:sz w:val="24"/>
          <w:szCs w:val="24"/>
        </w:rPr>
        <w:t xml:space="preserve">). Predmetné nariadenie definuje </w:t>
      </w:r>
      <w:proofErr w:type="spellStart"/>
      <w:r w:rsidR="00AE39F2" w:rsidRPr="00CF0E64">
        <w:rPr>
          <w:rFonts w:ascii="Times New Roman" w:hAnsi="Times New Roman" w:cs="Times New Roman"/>
          <w:sz w:val="24"/>
          <w:szCs w:val="24"/>
        </w:rPr>
        <w:t>kryptoaktívum</w:t>
      </w:r>
      <w:proofErr w:type="spellEnd"/>
      <w:r w:rsidR="00AE39F2" w:rsidRPr="00CF0E64">
        <w:rPr>
          <w:rFonts w:ascii="Times New Roman" w:hAnsi="Times New Roman" w:cs="Times New Roman"/>
          <w:sz w:val="24"/>
          <w:szCs w:val="24"/>
        </w:rPr>
        <w:t xml:space="preserve"> ako digitálne vyjadrenie hodnoty alebo práva, ktoré možno prevádzať a elektronicky uchovávať použitím technológie distribuovanej databázy transakcií alebo podobnej technológie. Pre účely automatickej výmeny informácií o </w:t>
      </w:r>
      <w:proofErr w:type="spellStart"/>
      <w:r w:rsidR="00AE39F2" w:rsidRPr="00CF0E64">
        <w:rPr>
          <w:rFonts w:ascii="Times New Roman" w:hAnsi="Times New Roman" w:cs="Times New Roman"/>
          <w:sz w:val="24"/>
          <w:szCs w:val="24"/>
        </w:rPr>
        <w:t>kryptoaktívach</w:t>
      </w:r>
      <w:proofErr w:type="spellEnd"/>
      <w:r w:rsidR="00AE39F2" w:rsidRPr="00CF0E64">
        <w:rPr>
          <w:rFonts w:ascii="Times New Roman" w:hAnsi="Times New Roman" w:cs="Times New Roman"/>
          <w:sz w:val="24"/>
          <w:szCs w:val="24"/>
        </w:rPr>
        <w:t xml:space="preserve"> sú z definície vyňaté </w:t>
      </w:r>
      <w:r w:rsidRPr="00CF0E64">
        <w:rPr>
          <w:rFonts w:ascii="Times New Roman" w:hAnsi="Times New Roman" w:cs="Times New Roman"/>
          <w:sz w:val="24"/>
          <w:szCs w:val="24"/>
        </w:rPr>
        <w:t>digitálne meny centrálnej banky, elektronick</w:t>
      </w:r>
      <w:r w:rsidR="00AE39F2" w:rsidRPr="00CF0E64">
        <w:rPr>
          <w:rFonts w:ascii="Times New Roman" w:hAnsi="Times New Roman" w:cs="Times New Roman"/>
          <w:sz w:val="24"/>
          <w:szCs w:val="24"/>
        </w:rPr>
        <w:t>é</w:t>
      </w:r>
      <w:r w:rsidRPr="00CF0E64">
        <w:rPr>
          <w:rFonts w:ascii="Times New Roman" w:hAnsi="Times New Roman" w:cs="Times New Roman"/>
          <w:sz w:val="24"/>
          <w:szCs w:val="24"/>
        </w:rPr>
        <w:t xml:space="preserve"> pe</w:t>
      </w:r>
      <w:r w:rsidR="00AE39F2" w:rsidRPr="00CF0E64">
        <w:rPr>
          <w:rFonts w:ascii="Times New Roman" w:hAnsi="Times New Roman" w:cs="Times New Roman"/>
          <w:sz w:val="24"/>
          <w:szCs w:val="24"/>
        </w:rPr>
        <w:t>niaze</w:t>
      </w:r>
      <w:r w:rsidRPr="00CF0E64">
        <w:rPr>
          <w:rFonts w:ascii="Times New Roman" w:hAnsi="Times New Roman" w:cs="Times New Roman"/>
          <w:sz w:val="24"/>
          <w:szCs w:val="24"/>
        </w:rPr>
        <w:t xml:space="preserve"> alebo </w:t>
      </w:r>
      <w:proofErr w:type="spellStart"/>
      <w:r w:rsidRPr="00CF0E64">
        <w:rPr>
          <w:rFonts w:ascii="Times New Roman" w:hAnsi="Times New Roman" w:cs="Times New Roman"/>
          <w:sz w:val="24"/>
          <w:szCs w:val="24"/>
        </w:rPr>
        <w:t>kryptoaktíva</w:t>
      </w:r>
      <w:proofErr w:type="spellEnd"/>
      <w:r w:rsidRPr="00CF0E64">
        <w:rPr>
          <w:rFonts w:ascii="Times New Roman" w:hAnsi="Times New Roman" w:cs="Times New Roman"/>
          <w:sz w:val="24"/>
          <w:szCs w:val="24"/>
        </w:rPr>
        <w:t>, v prípade ktor</w:t>
      </w:r>
      <w:r w:rsidR="00AE39F2" w:rsidRPr="00CF0E64">
        <w:rPr>
          <w:rFonts w:ascii="Times New Roman" w:hAnsi="Times New Roman" w:cs="Times New Roman"/>
          <w:sz w:val="24"/>
          <w:szCs w:val="24"/>
        </w:rPr>
        <w:t>ých</w:t>
      </w:r>
      <w:r w:rsidRPr="00CF0E64">
        <w:rPr>
          <w:rFonts w:ascii="Times New Roman" w:hAnsi="Times New Roman" w:cs="Times New Roman"/>
          <w:sz w:val="24"/>
          <w:szCs w:val="24"/>
        </w:rPr>
        <w:t xml:space="preserve"> oznamujúci poskytovateľ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primerane určil, že ho nemožno použiť na platobné alebo investičné účely. </w:t>
      </w:r>
      <w:r w:rsidR="00667F61" w:rsidRPr="00CF0E64">
        <w:rPr>
          <w:rFonts w:ascii="Times New Roman" w:hAnsi="Times New Roman" w:cs="Times New Roman"/>
          <w:sz w:val="24"/>
          <w:szCs w:val="24"/>
        </w:rPr>
        <w:t xml:space="preserve">Pre takéto určenie má podľa komentára ku globálnemu štandardu CARF oznamujúci poskytovateľ služieb </w:t>
      </w:r>
      <w:proofErr w:type="spellStart"/>
      <w:r w:rsidR="00667F61" w:rsidRPr="00CF0E64">
        <w:rPr>
          <w:rFonts w:ascii="Times New Roman" w:hAnsi="Times New Roman" w:cs="Times New Roman"/>
          <w:sz w:val="24"/>
          <w:szCs w:val="24"/>
        </w:rPr>
        <w:t>kryptoaktív</w:t>
      </w:r>
      <w:proofErr w:type="spellEnd"/>
      <w:r w:rsidR="00667F61" w:rsidRPr="00CF0E64">
        <w:rPr>
          <w:rFonts w:ascii="Times New Roman" w:hAnsi="Times New Roman" w:cs="Times New Roman"/>
          <w:sz w:val="24"/>
          <w:szCs w:val="24"/>
        </w:rPr>
        <w:t xml:space="preserve"> </w:t>
      </w:r>
      <w:r w:rsidR="001F661F" w:rsidRPr="00CF0E64">
        <w:rPr>
          <w:rFonts w:ascii="Times New Roman" w:hAnsi="Times New Roman" w:cs="Times New Roman"/>
          <w:sz w:val="24"/>
          <w:szCs w:val="24"/>
        </w:rPr>
        <w:t xml:space="preserve">v prvom kroku vychádzať z klasifikácie </w:t>
      </w:r>
      <w:proofErr w:type="spellStart"/>
      <w:r w:rsidR="001F661F" w:rsidRPr="00CF0E64">
        <w:rPr>
          <w:rFonts w:ascii="Times New Roman" w:hAnsi="Times New Roman" w:cs="Times New Roman"/>
          <w:sz w:val="24"/>
          <w:szCs w:val="24"/>
        </w:rPr>
        <w:t>kryptoaktív</w:t>
      </w:r>
      <w:proofErr w:type="spellEnd"/>
      <w:r w:rsidR="001F661F" w:rsidRPr="00CF0E64">
        <w:rPr>
          <w:rFonts w:ascii="Times New Roman" w:hAnsi="Times New Roman" w:cs="Times New Roman"/>
          <w:sz w:val="24"/>
          <w:szCs w:val="24"/>
        </w:rPr>
        <w:t xml:space="preserve">, ktorá bola uskutočnená za účelom určenia, či je </w:t>
      </w:r>
      <w:proofErr w:type="spellStart"/>
      <w:r w:rsidR="001F661F" w:rsidRPr="00CF0E64">
        <w:rPr>
          <w:rFonts w:ascii="Times New Roman" w:hAnsi="Times New Roman" w:cs="Times New Roman"/>
          <w:sz w:val="24"/>
          <w:szCs w:val="24"/>
        </w:rPr>
        <w:t>kryptoaktívum</w:t>
      </w:r>
      <w:proofErr w:type="spellEnd"/>
      <w:r w:rsidR="001F661F" w:rsidRPr="00CF0E64">
        <w:rPr>
          <w:rFonts w:ascii="Times New Roman" w:hAnsi="Times New Roman" w:cs="Times New Roman"/>
          <w:sz w:val="24"/>
          <w:szCs w:val="24"/>
        </w:rPr>
        <w:t xml:space="preserve"> virtuálnym aktívom pre účely boja proti legalizácii príjmov z trestnej činnosti a financovania terorizmu podľa odporúčaní Finančnej akčnej skupiny (FATF). Ak je </w:t>
      </w:r>
      <w:proofErr w:type="spellStart"/>
      <w:r w:rsidR="001F661F" w:rsidRPr="00CF0E64">
        <w:rPr>
          <w:rFonts w:ascii="Times New Roman" w:hAnsi="Times New Roman" w:cs="Times New Roman"/>
          <w:sz w:val="24"/>
          <w:szCs w:val="24"/>
        </w:rPr>
        <w:t>kryptoaktívum</w:t>
      </w:r>
      <w:proofErr w:type="spellEnd"/>
      <w:r w:rsidR="001F661F" w:rsidRPr="00CF0E64">
        <w:rPr>
          <w:rFonts w:ascii="Times New Roman" w:hAnsi="Times New Roman" w:cs="Times New Roman"/>
          <w:sz w:val="24"/>
          <w:szCs w:val="24"/>
        </w:rPr>
        <w:t xml:space="preserve"> považované za virtuálne aktívum podľa odporúčaní FATF na základe toho, že môže byť použité na platobné alebo investičné účely, je potrebné považovať ho za relevantné pre účely automatickej výmeny informácií o </w:t>
      </w:r>
      <w:proofErr w:type="spellStart"/>
      <w:r w:rsidR="001F661F" w:rsidRPr="00CF0E64">
        <w:rPr>
          <w:rFonts w:ascii="Times New Roman" w:hAnsi="Times New Roman" w:cs="Times New Roman"/>
          <w:sz w:val="24"/>
          <w:szCs w:val="24"/>
        </w:rPr>
        <w:t>kryptoaktívach</w:t>
      </w:r>
      <w:proofErr w:type="spellEnd"/>
      <w:r w:rsidR="001F661F" w:rsidRPr="00CF0E64">
        <w:rPr>
          <w:rFonts w:ascii="Times New Roman" w:hAnsi="Times New Roman" w:cs="Times New Roman"/>
          <w:sz w:val="24"/>
          <w:szCs w:val="24"/>
        </w:rPr>
        <w:t xml:space="preserve">. Podľa komentára ku globálnemu štandardu CARF je v prípade, že </w:t>
      </w:r>
      <w:proofErr w:type="spellStart"/>
      <w:r w:rsidR="001F661F" w:rsidRPr="00CF0E64">
        <w:rPr>
          <w:rFonts w:ascii="Times New Roman" w:hAnsi="Times New Roman" w:cs="Times New Roman"/>
          <w:sz w:val="24"/>
          <w:szCs w:val="24"/>
        </w:rPr>
        <w:t>kryptoaktívum</w:t>
      </w:r>
      <w:proofErr w:type="spellEnd"/>
      <w:r w:rsidR="001F661F" w:rsidRPr="00CF0E64">
        <w:rPr>
          <w:rFonts w:ascii="Times New Roman" w:hAnsi="Times New Roman" w:cs="Times New Roman"/>
          <w:sz w:val="24"/>
          <w:szCs w:val="24"/>
        </w:rPr>
        <w:t xml:space="preserve"> nie je virtuálnym aktívom podľa odporúčaní FATF, oznamujúci poskytovateľ služieb </w:t>
      </w:r>
      <w:proofErr w:type="spellStart"/>
      <w:r w:rsidR="001F661F" w:rsidRPr="00CF0E64">
        <w:rPr>
          <w:rFonts w:ascii="Times New Roman" w:hAnsi="Times New Roman" w:cs="Times New Roman"/>
          <w:sz w:val="24"/>
          <w:szCs w:val="24"/>
        </w:rPr>
        <w:t>kryptoaktív</w:t>
      </w:r>
      <w:proofErr w:type="spellEnd"/>
      <w:r w:rsidR="001F661F" w:rsidRPr="00CF0E64">
        <w:rPr>
          <w:rFonts w:ascii="Times New Roman" w:hAnsi="Times New Roman" w:cs="Times New Roman"/>
          <w:sz w:val="24"/>
          <w:szCs w:val="24"/>
        </w:rPr>
        <w:t xml:space="preserve"> </w:t>
      </w:r>
      <w:r w:rsidR="00A90967" w:rsidRPr="00CF0E64">
        <w:rPr>
          <w:rFonts w:ascii="Times New Roman" w:hAnsi="Times New Roman" w:cs="Times New Roman"/>
          <w:sz w:val="24"/>
          <w:szCs w:val="24"/>
        </w:rPr>
        <w:t>má</w:t>
      </w:r>
      <w:r w:rsidR="001F661F" w:rsidRPr="00CF0E64">
        <w:rPr>
          <w:rFonts w:ascii="Times New Roman" w:hAnsi="Times New Roman" w:cs="Times New Roman"/>
          <w:sz w:val="24"/>
          <w:szCs w:val="24"/>
        </w:rPr>
        <w:t xml:space="preserve"> posúdiť, či je možné toto </w:t>
      </w:r>
      <w:proofErr w:type="spellStart"/>
      <w:r w:rsidR="001F661F" w:rsidRPr="00CF0E64">
        <w:rPr>
          <w:rFonts w:ascii="Times New Roman" w:hAnsi="Times New Roman" w:cs="Times New Roman"/>
          <w:sz w:val="24"/>
          <w:szCs w:val="24"/>
        </w:rPr>
        <w:t>kryptoaktívum</w:t>
      </w:r>
      <w:proofErr w:type="spellEnd"/>
      <w:r w:rsidR="001F661F" w:rsidRPr="00CF0E64">
        <w:rPr>
          <w:rFonts w:ascii="Times New Roman" w:hAnsi="Times New Roman" w:cs="Times New Roman"/>
          <w:sz w:val="24"/>
          <w:szCs w:val="24"/>
        </w:rPr>
        <w:t xml:space="preserve"> využiť na platobné alebo investičné účely, pričom má vziať do úvahy nasledujúce skutočnosti: </w:t>
      </w:r>
    </w:p>
    <w:p w14:paraId="36E9CBDD" w14:textId="717DD4AA" w:rsidR="001F661F" w:rsidRPr="00CF0E64" w:rsidRDefault="00A90967" w:rsidP="003B68A9">
      <w:pPr>
        <w:pStyle w:val="Odsekzoznamu"/>
        <w:numPr>
          <w:ilvl w:val="0"/>
          <w:numId w:val="3"/>
        </w:numPr>
        <w:spacing w:after="0" w:line="252" w:lineRule="auto"/>
        <w:jc w:val="both"/>
        <w:rPr>
          <w:rFonts w:ascii="Times New Roman" w:hAnsi="Times New Roman" w:cs="Times New Roman"/>
          <w:sz w:val="24"/>
          <w:szCs w:val="24"/>
        </w:rPr>
      </w:pPr>
      <w:proofErr w:type="spellStart"/>
      <w:r w:rsidRPr="00CF0E64">
        <w:rPr>
          <w:rFonts w:ascii="Times New Roman" w:hAnsi="Times New Roman" w:cs="Times New Roman"/>
          <w:sz w:val="24"/>
          <w:szCs w:val="24"/>
        </w:rPr>
        <w:t>k</w:t>
      </w:r>
      <w:r w:rsidR="001F661F" w:rsidRPr="00CF0E64">
        <w:rPr>
          <w:rFonts w:ascii="Times New Roman" w:hAnsi="Times New Roman" w:cs="Times New Roman"/>
          <w:sz w:val="24"/>
          <w:szCs w:val="24"/>
        </w:rPr>
        <w:t>ryptoaktívum</w:t>
      </w:r>
      <w:proofErr w:type="spellEnd"/>
      <w:r w:rsidR="001F661F" w:rsidRPr="00CF0E64">
        <w:rPr>
          <w:rFonts w:ascii="Times New Roman" w:hAnsi="Times New Roman" w:cs="Times New Roman"/>
          <w:sz w:val="24"/>
          <w:szCs w:val="24"/>
        </w:rPr>
        <w:t xml:space="preserve">, ktoré je finančným aktívom alebo podlieha právnej regulácii v oblasti finančného práva, môže byť použité na </w:t>
      </w:r>
      <w:r w:rsidR="007D7E9A" w:rsidRPr="00CF0E64">
        <w:rPr>
          <w:rFonts w:ascii="Times New Roman" w:hAnsi="Times New Roman" w:cs="Times New Roman"/>
          <w:sz w:val="24"/>
          <w:szCs w:val="24"/>
        </w:rPr>
        <w:t xml:space="preserve">platobné alebo investičné účely, a preto sa považuje za oznamované </w:t>
      </w:r>
      <w:proofErr w:type="spellStart"/>
      <w:r w:rsidR="007D7E9A" w:rsidRPr="00CF0E64">
        <w:rPr>
          <w:rFonts w:ascii="Times New Roman" w:hAnsi="Times New Roman" w:cs="Times New Roman"/>
          <w:sz w:val="24"/>
          <w:szCs w:val="24"/>
        </w:rPr>
        <w:t>kryptoaktívum</w:t>
      </w:r>
      <w:proofErr w:type="spellEnd"/>
    </w:p>
    <w:p w14:paraId="199339C5" w14:textId="7AE28F2F" w:rsidR="007D7E9A" w:rsidRPr="00CF0E64" w:rsidRDefault="00A90967" w:rsidP="003B68A9">
      <w:pPr>
        <w:pStyle w:val="Odsekzoznamu"/>
        <w:numPr>
          <w:ilvl w:val="0"/>
          <w:numId w:val="3"/>
        </w:num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n</w:t>
      </w:r>
      <w:r w:rsidR="007D7E9A" w:rsidRPr="00CF0E64">
        <w:rPr>
          <w:rFonts w:ascii="Times New Roman" w:hAnsi="Times New Roman" w:cs="Times New Roman"/>
          <w:sz w:val="24"/>
          <w:szCs w:val="24"/>
        </w:rPr>
        <w:t xml:space="preserve">ezameniteľné tokeny (NFT) sú v mnohých prípadoch uvádzané na trh ako zberateľské predmety, avšak táto ich funkcia nebráni tomu, aby mohli byť použité na platobné alebo investičné účely; dôležité je zohľadniť povahu NFT a ich funkciu v praxi, nie aké terminologické alebo marketingové termíny sa používajú; oznamujúci poskytovatelia služieb </w:t>
      </w:r>
      <w:proofErr w:type="spellStart"/>
      <w:r w:rsidR="007D7E9A" w:rsidRPr="00CF0E64">
        <w:rPr>
          <w:rFonts w:ascii="Times New Roman" w:hAnsi="Times New Roman" w:cs="Times New Roman"/>
          <w:sz w:val="24"/>
          <w:szCs w:val="24"/>
        </w:rPr>
        <w:t>kryptoaktív</w:t>
      </w:r>
      <w:proofErr w:type="spellEnd"/>
      <w:r w:rsidR="007D7E9A" w:rsidRPr="00CF0E64">
        <w:rPr>
          <w:rFonts w:ascii="Times New Roman" w:hAnsi="Times New Roman" w:cs="Times New Roman"/>
          <w:sz w:val="24"/>
          <w:szCs w:val="24"/>
        </w:rPr>
        <w:t xml:space="preserve"> by mali v každom jednotlivom prípade zvážiť, či NFT možno alebo nemožno využiť na platobné alebo investičné účely, a to s ohľadom na všeobecne akceptovateľné použitie daného </w:t>
      </w:r>
      <w:proofErr w:type="spellStart"/>
      <w:r w:rsidR="007D7E9A" w:rsidRPr="00CF0E64">
        <w:rPr>
          <w:rFonts w:ascii="Times New Roman" w:hAnsi="Times New Roman" w:cs="Times New Roman"/>
          <w:sz w:val="24"/>
          <w:szCs w:val="24"/>
        </w:rPr>
        <w:t>kryptoaktíva</w:t>
      </w:r>
      <w:proofErr w:type="spellEnd"/>
      <w:r w:rsidR="007D7E9A" w:rsidRPr="00CF0E64">
        <w:rPr>
          <w:rFonts w:ascii="Times New Roman" w:hAnsi="Times New Roman" w:cs="Times New Roman"/>
          <w:sz w:val="24"/>
          <w:szCs w:val="24"/>
        </w:rPr>
        <w:t xml:space="preserve">; NFT, ktoré sú obchodované na trhu, je možné použiť na platobné a investičné účely, a preto </w:t>
      </w:r>
      <w:r w:rsidR="005178CC" w:rsidRPr="00CF0E64">
        <w:rPr>
          <w:rFonts w:ascii="Times New Roman" w:hAnsi="Times New Roman" w:cs="Times New Roman"/>
          <w:sz w:val="24"/>
          <w:szCs w:val="24"/>
        </w:rPr>
        <w:t>sa považujú</w:t>
      </w:r>
      <w:r w:rsidR="007D7E9A" w:rsidRPr="00CF0E64">
        <w:rPr>
          <w:rFonts w:ascii="Times New Roman" w:hAnsi="Times New Roman" w:cs="Times New Roman"/>
          <w:sz w:val="24"/>
          <w:szCs w:val="24"/>
        </w:rPr>
        <w:t xml:space="preserve"> za oznamované </w:t>
      </w:r>
      <w:proofErr w:type="spellStart"/>
      <w:r w:rsidR="007D7E9A" w:rsidRPr="00CF0E64">
        <w:rPr>
          <w:rFonts w:ascii="Times New Roman" w:hAnsi="Times New Roman" w:cs="Times New Roman"/>
          <w:sz w:val="24"/>
          <w:szCs w:val="24"/>
        </w:rPr>
        <w:t>kryptoaktíva</w:t>
      </w:r>
      <w:proofErr w:type="spellEnd"/>
    </w:p>
    <w:p w14:paraId="4F1E36DE" w14:textId="24BACA47" w:rsidR="007D7E9A" w:rsidRPr="00CF0E64" w:rsidRDefault="00A90967" w:rsidP="00037C5A">
      <w:pPr>
        <w:pStyle w:val="Odsekzoznamu"/>
        <w:numPr>
          <w:ilvl w:val="0"/>
          <w:numId w:val="3"/>
        </w:numPr>
        <w:spacing w:before="120"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n</w:t>
      </w:r>
      <w:r w:rsidR="007D7E9A" w:rsidRPr="00CF0E64">
        <w:rPr>
          <w:rFonts w:ascii="Times New Roman" w:hAnsi="Times New Roman" w:cs="Times New Roman"/>
          <w:sz w:val="24"/>
          <w:szCs w:val="24"/>
        </w:rPr>
        <w:t xml:space="preserve">iektoré </w:t>
      </w:r>
      <w:proofErr w:type="spellStart"/>
      <w:r w:rsidR="007D7E9A" w:rsidRPr="00CF0E64">
        <w:rPr>
          <w:rFonts w:ascii="Times New Roman" w:hAnsi="Times New Roman" w:cs="Times New Roman"/>
          <w:sz w:val="24"/>
          <w:szCs w:val="24"/>
        </w:rPr>
        <w:t>kryptoaktíva</w:t>
      </w:r>
      <w:proofErr w:type="spellEnd"/>
      <w:r w:rsidR="007D7E9A" w:rsidRPr="00CF0E64">
        <w:rPr>
          <w:rFonts w:ascii="Times New Roman" w:hAnsi="Times New Roman" w:cs="Times New Roman"/>
          <w:sz w:val="24"/>
          <w:szCs w:val="24"/>
        </w:rPr>
        <w:t xml:space="preserve"> je možné vymeniť </w:t>
      </w:r>
      <w:r w:rsidR="0017719F" w:rsidRPr="00CF0E64">
        <w:rPr>
          <w:rFonts w:ascii="Times New Roman" w:hAnsi="Times New Roman" w:cs="Times New Roman"/>
          <w:sz w:val="24"/>
          <w:szCs w:val="24"/>
        </w:rPr>
        <w:t xml:space="preserve">len obmedzene za určité tovary a služby (napr. poukážky na knihy alebo odmeny v rámci vernostných programov); tovary a služby môžu zahrňovať aj digitálny tovar a služby (napr. hudba, hry, vstupenky, softvérové </w:t>
      </w:r>
      <w:r w:rsidR="0017719F" w:rsidRPr="00CF0E64">
        <w:rPr>
          <w:rFonts w:ascii="Times New Roman" w:hAnsi="Times New Roman" w:cs="Times New Roman"/>
          <w:sz w:val="24"/>
          <w:szCs w:val="24"/>
        </w:rPr>
        <w:lastRenderedPageBreak/>
        <w:t xml:space="preserve">aplikácie); ak takéto </w:t>
      </w:r>
      <w:proofErr w:type="spellStart"/>
      <w:r w:rsidR="0017719F" w:rsidRPr="00CF0E64">
        <w:rPr>
          <w:rFonts w:ascii="Times New Roman" w:hAnsi="Times New Roman" w:cs="Times New Roman"/>
          <w:sz w:val="24"/>
          <w:szCs w:val="24"/>
        </w:rPr>
        <w:t>kryptoaktíva</w:t>
      </w:r>
      <w:proofErr w:type="spellEnd"/>
      <w:r w:rsidR="0017719F" w:rsidRPr="00CF0E64">
        <w:rPr>
          <w:rFonts w:ascii="Times New Roman" w:hAnsi="Times New Roman" w:cs="Times New Roman"/>
          <w:sz w:val="24"/>
          <w:szCs w:val="24"/>
        </w:rPr>
        <w:t xml:space="preserve"> fungujú v obmedzenej pevnej sieti alebo prostredí a mimo tento uzavretý systém ich nemožno predávať alebo vymieňať, takéto </w:t>
      </w:r>
      <w:proofErr w:type="spellStart"/>
      <w:r w:rsidR="0017719F" w:rsidRPr="00CF0E64">
        <w:rPr>
          <w:rFonts w:ascii="Times New Roman" w:hAnsi="Times New Roman" w:cs="Times New Roman"/>
          <w:sz w:val="24"/>
          <w:szCs w:val="24"/>
        </w:rPr>
        <w:t>kryptoaktíva</w:t>
      </w:r>
      <w:proofErr w:type="spellEnd"/>
      <w:r w:rsidR="0017719F" w:rsidRPr="00CF0E64">
        <w:rPr>
          <w:rFonts w:ascii="Times New Roman" w:hAnsi="Times New Roman" w:cs="Times New Roman"/>
          <w:sz w:val="24"/>
          <w:szCs w:val="24"/>
        </w:rPr>
        <w:t xml:space="preserve"> vo všeobecnosti nie je možné používať na platobné alebo investičné účely, a preto </w:t>
      </w:r>
      <w:r w:rsidR="005178CC" w:rsidRPr="00CF0E64">
        <w:rPr>
          <w:rFonts w:ascii="Times New Roman" w:hAnsi="Times New Roman" w:cs="Times New Roman"/>
          <w:sz w:val="24"/>
          <w:szCs w:val="24"/>
        </w:rPr>
        <w:t>sa nepovažujú</w:t>
      </w:r>
      <w:r w:rsidR="0017719F" w:rsidRPr="00CF0E64">
        <w:rPr>
          <w:rFonts w:ascii="Times New Roman" w:hAnsi="Times New Roman" w:cs="Times New Roman"/>
          <w:sz w:val="24"/>
          <w:szCs w:val="24"/>
        </w:rPr>
        <w:t xml:space="preserve"> medzi oznamované </w:t>
      </w:r>
      <w:proofErr w:type="spellStart"/>
      <w:r w:rsidR="0017719F" w:rsidRPr="00CF0E64">
        <w:rPr>
          <w:rFonts w:ascii="Times New Roman" w:hAnsi="Times New Roman" w:cs="Times New Roman"/>
          <w:sz w:val="24"/>
          <w:szCs w:val="24"/>
        </w:rPr>
        <w:t>kryptoaktíva</w:t>
      </w:r>
      <w:proofErr w:type="spellEnd"/>
      <w:r w:rsidR="0017719F" w:rsidRPr="00CF0E64">
        <w:rPr>
          <w:rFonts w:ascii="Times New Roman" w:hAnsi="Times New Roman" w:cs="Times New Roman"/>
          <w:sz w:val="24"/>
          <w:szCs w:val="24"/>
        </w:rPr>
        <w:t>.</w:t>
      </w:r>
    </w:p>
    <w:p w14:paraId="1369DB15" w14:textId="4DA2D46B" w:rsidR="00070FA7" w:rsidRPr="00CF0E64" w:rsidRDefault="00070FA7" w:rsidP="00037C5A">
      <w:pPr>
        <w:spacing w:before="120"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písmene o) sa definuje pojem „výmenná transakcia“, ktorou sa rozumie výmena medzi </w:t>
      </w:r>
      <w:proofErr w:type="spellStart"/>
      <w:r w:rsidRPr="00CF0E64">
        <w:rPr>
          <w:rFonts w:ascii="Times New Roman" w:hAnsi="Times New Roman" w:cs="Times New Roman"/>
          <w:sz w:val="24"/>
          <w:szCs w:val="24"/>
        </w:rPr>
        <w:t>kryptoaktívami</w:t>
      </w:r>
      <w:proofErr w:type="spellEnd"/>
      <w:r w:rsidRPr="00CF0E64">
        <w:rPr>
          <w:rFonts w:ascii="Times New Roman" w:hAnsi="Times New Roman" w:cs="Times New Roman"/>
          <w:sz w:val="24"/>
          <w:szCs w:val="24"/>
        </w:rPr>
        <w:t xml:space="preserve"> podliehajúcimi oznamovaniu a peňažnými prostriedkami vyjadrenými v oficiálnej mene a výmena medzi jednou alebo viacerými formami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podliehajúcich oznamovaniu. </w:t>
      </w:r>
    </w:p>
    <w:p w14:paraId="06E04272" w14:textId="5D453511" w:rsidR="003B68A9" w:rsidRPr="00CF0E64" w:rsidRDefault="00070FA7" w:rsidP="003B68A9">
      <w:pPr>
        <w:spacing w:before="120"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písmene p) sa </w:t>
      </w:r>
      <w:r w:rsidR="00556AB2" w:rsidRPr="00CF0E64">
        <w:rPr>
          <w:rFonts w:ascii="Times New Roman" w:hAnsi="Times New Roman" w:cs="Times New Roman"/>
          <w:sz w:val="24"/>
          <w:szCs w:val="24"/>
        </w:rPr>
        <w:t>zavádza</w:t>
      </w:r>
      <w:r w:rsidRPr="00CF0E64">
        <w:rPr>
          <w:rFonts w:ascii="Times New Roman" w:hAnsi="Times New Roman" w:cs="Times New Roman"/>
          <w:sz w:val="24"/>
          <w:szCs w:val="24"/>
        </w:rPr>
        <w:t xml:space="preserve"> pojem „identifikačná služba“, ktorým sa rozumie elektronický proces, ktorý členský štát alebo Európska únia bezplatne sprístupňuje oznamujúcej finančnej inštitúcii na účely určenia totožnosti a daňovej rezidencie držiteľa účtu alebo ovládajúcej osoby a určenia totožnosti a daňovej rezidencie používateľa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w:t>
      </w:r>
    </w:p>
    <w:p w14:paraId="0144C40A" w14:textId="7B4FC96D" w:rsidR="002F29E3" w:rsidRPr="00CF0E64" w:rsidRDefault="0084713B" w:rsidP="00B93E92">
      <w:pPr>
        <w:spacing w:before="120" w:after="0" w:line="252" w:lineRule="auto"/>
        <w:jc w:val="both"/>
        <w:rPr>
          <w:rFonts w:ascii="Times New Roman" w:eastAsia="Arial Unicode MS" w:hAnsi="Times New Roman" w:cs="Times New Roman"/>
          <w:b/>
          <w:bCs/>
          <w:kern w:val="1"/>
          <w:sz w:val="24"/>
          <w:szCs w:val="24"/>
          <w:u w:val="single"/>
          <w:lang w:eastAsia="ar-SA"/>
        </w:rPr>
      </w:pPr>
      <w:r w:rsidRPr="00CF0E64">
        <w:rPr>
          <w:rFonts w:ascii="Times New Roman" w:eastAsia="Arial Unicode MS" w:hAnsi="Times New Roman" w:cs="Times New Roman"/>
          <w:b/>
          <w:bCs/>
          <w:kern w:val="1"/>
          <w:sz w:val="24"/>
          <w:szCs w:val="24"/>
          <w:u w:val="single"/>
          <w:lang w:eastAsia="ar-SA"/>
        </w:rPr>
        <w:t>K bodu 5 - § 3 ods. 2 písm. b)</w:t>
      </w:r>
    </w:p>
    <w:p w14:paraId="7E338AF6" w14:textId="42DD00F1" w:rsidR="0084713B" w:rsidRPr="00CF0E64" w:rsidRDefault="0084713B"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Rozširuje sa definícia vkladovej inštitúcie s ohľadom na pokrytie elektronických peňazí a digitálnych mien centrálnych bánk, ktoré sa do rozsahu úpravy zaradili v zmysle </w:t>
      </w:r>
      <w:r w:rsidR="004934AA" w:rsidRPr="00CF0E64">
        <w:rPr>
          <w:rFonts w:ascii="Times New Roman" w:eastAsia="Arial Unicode MS" w:hAnsi="Times New Roman" w:cs="Times New Roman"/>
          <w:kern w:val="1"/>
          <w:sz w:val="24"/>
          <w:szCs w:val="24"/>
          <w:lang w:eastAsia="ar-SA"/>
        </w:rPr>
        <w:t xml:space="preserve">dodatku k </w:t>
      </w:r>
      <w:r w:rsidRPr="00CF0E64">
        <w:rPr>
          <w:rFonts w:ascii="Times New Roman" w:eastAsia="Arial Unicode MS" w:hAnsi="Times New Roman" w:cs="Times New Roman"/>
          <w:kern w:val="1"/>
          <w:sz w:val="24"/>
          <w:szCs w:val="24"/>
          <w:lang w:eastAsia="ar-SA"/>
        </w:rPr>
        <w:t>spoločné</w:t>
      </w:r>
      <w:r w:rsidR="004934AA" w:rsidRPr="00CF0E64">
        <w:rPr>
          <w:rFonts w:ascii="Times New Roman" w:eastAsia="Arial Unicode MS" w:hAnsi="Times New Roman" w:cs="Times New Roman"/>
          <w:kern w:val="1"/>
          <w:sz w:val="24"/>
          <w:szCs w:val="24"/>
          <w:lang w:eastAsia="ar-SA"/>
        </w:rPr>
        <w:t>mu</w:t>
      </w:r>
      <w:r w:rsidRPr="00CF0E64">
        <w:rPr>
          <w:rFonts w:ascii="Times New Roman" w:eastAsia="Arial Unicode MS" w:hAnsi="Times New Roman" w:cs="Times New Roman"/>
          <w:kern w:val="1"/>
          <w:sz w:val="24"/>
          <w:szCs w:val="24"/>
          <w:lang w:eastAsia="ar-SA"/>
        </w:rPr>
        <w:t xml:space="preserve"> štandardu oznamovania (CRS). </w:t>
      </w:r>
    </w:p>
    <w:p w14:paraId="3379FE36"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07954DBF" w14:textId="3070E1A4" w:rsidR="0084713B" w:rsidRPr="00CF0E64" w:rsidRDefault="00C60E66" w:rsidP="003B68A9">
      <w:pPr>
        <w:spacing w:after="0" w:line="252" w:lineRule="auto"/>
        <w:jc w:val="both"/>
        <w:rPr>
          <w:rFonts w:ascii="Times New Roman" w:eastAsia="Arial Unicode MS" w:hAnsi="Times New Roman" w:cs="Times New Roman"/>
          <w:b/>
          <w:bCs/>
          <w:kern w:val="1"/>
          <w:sz w:val="24"/>
          <w:szCs w:val="24"/>
          <w:u w:val="single"/>
          <w:lang w:eastAsia="ar-SA"/>
        </w:rPr>
      </w:pPr>
      <w:r w:rsidRPr="00CF0E64">
        <w:rPr>
          <w:rFonts w:ascii="Times New Roman" w:eastAsia="Arial Unicode MS" w:hAnsi="Times New Roman" w:cs="Times New Roman"/>
          <w:b/>
          <w:bCs/>
          <w:kern w:val="1"/>
          <w:sz w:val="24"/>
          <w:szCs w:val="24"/>
          <w:u w:val="single"/>
          <w:lang w:eastAsia="ar-SA"/>
        </w:rPr>
        <w:t>K bodu 6 - § 3 ods. 2 písm. c)</w:t>
      </w:r>
    </w:p>
    <w:p w14:paraId="3FCA08C6" w14:textId="38635554" w:rsidR="00C60E66" w:rsidRPr="00CF0E64" w:rsidRDefault="00C60E66"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Aktualizuje sa definícia pojmu „investičný subjekt“ s ohľadom na zmeny vyplývajúce z rozšírenia automatickej výmeny informácií o </w:t>
      </w:r>
      <w:proofErr w:type="spellStart"/>
      <w:r w:rsidRPr="00CF0E64">
        <w:rPr>
          <w:rFonts w:ascii="Times New Roman" w:eastAsia="Arial Unicode MS" w:hAnsi="Times New Roman" w:cs="Times New Roman"/>
          <w:kern w:val="1"/>
          <w:sz w:val="24"/>
          <w:szCs w:val="24"/>
          <w:lang w:eastAsia="ar-SA"/>
        </w:rPr>
        <w:t>kryptoaktíva</w:t>
      </w:r>
      <w:proofErr w:type="spellEnd"/>
      <w:r w:rsidRPr="00CF0E64">
        <w:rPr>
          <w:rFonts w:ascii="Times New Roman" w:eastAsia="Arial Unicode MS" w:hAnsi="Times New Roman" w:cs="Times New Roman"/>
          <w:kern w:val="1"/>
          <w:sz w:val="24"/>
          <w:szCs w:val="24"/>
          <w:lang w:eastAsia="ar-SA"/>
        </w:rPr>
        <w:t xml:space="preserve"> a dodatok k spoločnému štandardu oznamovania (CRS). Zároveň sa zohľadňuje doterajšia aplikačná prax pri oznamovaní informácií o finančných účtoch zo strany finančných agentov a finančných sprostredkovateľov, ktorí nadväzne na existujúcu legislatívu v Slovenskej republike (zákon č. 186/200</w:t>
      </w:r>
      <w:r w:rsidR="004135C5" w:rsidRPr="00CF0E64">
        <w:rPr>
          <w:rFonts w:ascii="Times New Roman" w:eastAsia="Arial Unicode MS" w:hAnsi="Times New Roman" w:cs="Times New Roman"/>
          <w:kern w:val="1"/>
          <w:sz w:val="24"/>
          <w:szCs w:val="24"/>
          <w:lang w:eastAsia="ar-SA"/>
        </w:rPr>
        <w:t>9</w:t>
      </w:r>
      <w:r w:rsidRPr="00CF0E64">
        <w:rPr>
          <w:rFonts w:ascii="Times New Roman" w:eastAsia="Arial Unicode MS" w:hAnsi="Times New Roman" w:cs="Times New Roman"/>
          <w:kern w:val="1"/>
          <w:sz w:val="24"/>
          <w:szCs w:val="24"/>
          <w:lang w:eastAsia="ar-SA"/>
        </w:rPr>
        <w:t xml:space="preserve">) nie sú oprávnení viesť finančné účty. Z tohto dôvodu už ďalej nie sú </w:t>
      </w:r>
      <w:r w:rsidR="003843B3" w:rsidRPr="00CF0E64">
        <w:rPr>
          <w:rFonts w:ascii="Times New Roman" w:eastAsia="Arial Unicode MS" w:hAnsi="Times New Roman" w:cs="Times New Roman"/>
          <w:kern w:val="1"/>
          <w:sz w:val="24"/>
          <w:szCs w:val="24"/>
          <w:lang w:eastAsia="ar-SA"/>
        </w:rPr>
        <w:t xml:space="preserve">uvedení vo vymenovaných kategóriách investičných subjektov. </w:t>
      </w:r>
      <w:r w:rsidR="00F57FAF" w:rsidRPr="00CF0E64">
        <w:rPr>
          <w:rFonts w:ascii="Times New Roman" w:eastAsia="Arial Unicode MS" w:hAnsi="Times New Roman" w:cs="Times New Roman"/>
          <w:kern w:val="1"/>
          <w:sz w:val="24"/>
          <w:szCs w:val="24"/>
          <w:lang w:eastAsia="ar-SA"/>
        </w:rPr>
        <w:t xml:space="preserve">Nástrojmi peňažného trhu v tomto ustanovení sa rozumejú napr. šeky, zmenky vkladové listy, deriváty. </w:t>
      </w:r>
    </w:p>
    <w:p w14:paraId="0D87FAB0" w14:textId="77777777" w:rsidR="00C11CD3" w:rsidRPr="00CF0E64" w:rsidRDefault="00C11CD3" w:rsidP="00C11CD3">
      <w:pPr>
        <w:spacing w:after="0" w:line="252" w:lineRule="auto"/>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Nadväzne na doplnený komentár k dodatku k spoločnému rámcu oznamovania (CRS) je potrebné na</w:t>
      </w:r>
      <w:r w:rsidRPr="00356CCC">
        <w:rPr>
          <w:rFonts w:ascii="Times New Roman" w:eastAsia="Arial Unicode MS" w:hAnsi="Times New Roman" w:cs="Times New Roman"/>
          <w:kern w:val="1"/>
          <w:sz w:val="24"/>
          <w:szCs w:val="24"/>
          <w:lang w:eastAsia="ar-SA"/>
        </w:rPr>
        <w:t xml:space="preserve"> účely testu hrubého príjmu</w:t>
      </w:r>
      <w:r>
        <w:rPr>
          <w:rFonts w:ascii="Times New Roman" w:eastAsia="Arial Unicode MS" w:hAnsi="Times New Roman" w:cs="Times New Roman"/>
          <w:kern w:val="1"/>
          <w:sz w:val="24"/>
          <w:szCs w:val="24"/>
          <w:lang w:eastAsia="ar-SA"/>
        </w:rPr>
        <w:t>, ktorý je obsiahnutý v definícii,</w:t>
      </w:r>
      <w:r w:rsidRPr="00356CCC">
        <w:rPr>
          <w:rFonts w:ascii="Times New Roman" w:eastAsia="Arial Unicode MS" w:hAnsi="Times New Roman" w:cs="Times New Roman"/>
          <w:kern w:val="1"/>
          <w:sz w:val="24"/>
          <w:szCs w:val="24"/>
          <w:lang w:eastAsia="ar-SA"/>
        </w:rPr>
        <w:t xml:space="preserve"> brať do úvahy všetky odmeny za príslušné činnosti subjektu bez ohľadu na to, či sa táto odmena vypláca priamo subjektu, na ktorý sa test vzťahuje alebo inému subjektu</w:t>
      </w:r>
      <w:r>
        <w:rPr>
          <w:rFonts w:ascii="Times New Roman" w:eastAsia="Arial Unicode MS" w:hAnsi="Times New Roman" w:cs="Times New Roman"/>
          <w:kern w:val="1"/>
          <w:sz w:val="24"/>
          <w:szCs w:val="24"/>
          <w:lang w:eastAsia="ar-SA"/>
        </w:rPr>
        <w:t xml:space="preserve"> (napr. v </w:t>
      </w:r>
      <w:r w:rsidRPr="00356CCC">
        <w:rPr>
          <w:rFonts w:ascii="Times New Roman" w:eastAsia="Arial Unicode MS" w:hAnsi="Times New Roman" w:cs="Times New Roman"/>
          <w:kern w:val="1"/>
          <w:sz w:val="24"/>
          <w:szCs w:val="24"/>
          <w:lang w:eastAsia="ar-SA"/>
        </w:rPr>
        <w:t>určitých prípadoch</w:t>
      </w:r>
      <w:r>
        <w:rPr>
          <w:rFonts w:ascii="Times New Roman" w:eastAsia="Arial Unicode MS" w:hAnsi="Times New Roman" w:cs="Times New Roman"/>
          <w:kern w:val="1"/>
          <w:sz w:val="24"/>
          <w:szCs w:val="24"/>
          <w:lang w:eastAsia="ar-SA"/>
        </w:rPr>
        <w:t>, keď</w:t>
      </w:r>
      <w:r w:rsidRPr="00356CCC">
        <w:rPr>
          <w:rFonts w:ascii="Times New Roman" w:eastAsia="Arial Unicode MS" w:hAnsi="Times New Roman" w:cs="Times New Roman"/>
          <w:kern w:val="1"/>
          <w:sz w:val="24"/>
          <w:szCs w:val="24"/>
          <w:lang w:eastAsia="ar-SA"/>
        </w:rPr>
        <w:t xml:space="preserve"> účtovná alebo právnická firma založí pre klienta </w:t>
      </w:r>
      <w:r>
        <w:rPr>
          <w:rFonts w:ascii="Times New Roman" w:eastAsia="Arial Unicode MS" w:hAnsi="Times New Roman" w:cs="Times New Roman"/>
          <w:kern w:val="1"/>
          <w:sz w:val="24"/>
          <w:szCs w:val="24"/>
          <w:lang w:eastAsia="ar-SA"/>
        </w:rPr>
        <w:t>zverenecký fond</w:t>
      </w:r>
      <w:r w:rsidRPr="00356CCC">
        <w:rPr>
          <w:rFonts w:ascii="Times New Roman" w:eastAsia="Arial Unicode MS" w:hAnsi="Times New Roman" w:cs="Times New Roman"/>
          <w:kern w:val="1"/>
          <w:sz w:val="24"/>
          <w:szCs w:val="24"/>
          <w:lang w:eastAsia="ar-SA"/>
        </w:rPr>
        <w:t xml:space="preserve"> a ako súčasť tohto procesu vymenuje správcu</w:t>
      </w:r>
      <w:r>
        <w:rPr>
          <w:rFonts w:ascii="Times New Roman" w:eastAsia="Arial Unicode MS" w:hAnsi="Times New Roman" w:cs="Times New Roman"/>
          <w:kern w:val="1"/>
          <w:sz w:val="24"/>
          <w:szCs w:val="24"/>
          <w:lang w:eastAsia="ar-SA"/>
        </w:rPr>
        <w:t>)</w:t>
      </w:r>
      <w:r w:rsidRPr="00356CCC">
        <w:rPr>
          <w:rFonts w:ascii="Times New Roman" w:eastAsia="Arial Unicode MS" w:hAnsi="Times New Roman" w:cs="Times New Roman"/>
          <w:kern w:val="1"/>
          <w:sz w:val="24"/>
          <w:szCs w:val="24"/>
          <w:lang w:eastAsia="ar-SA"/>
        </w:rPr>
        <w:t xml:space="preserve">. Klient </w:t>
      </w:r>
      <w:r>
        <w:rPr>
          <w:rFonts w:ascii="Times New Roman" w:eastAsia="Arial Unicode MS" w:hAnsi="Times New Roman" w:cs="Times New Roman"/>
          <w:kern w:val="1"/>
          <w:sz w:val="24"/>
          <w:szCs w:val="24"/>
          <w:lang w:eastAsia="ar-SA"/>
        </w:rPr>
        <w:t>v takomto prípade</w:t>
      </w:r>
      <w:r w:rsidRPr="00356CCC">
        <w:rPr>
          <w:rFonts w:ascii="Times New Roman" w:eastAsia="Arial Unicode MS" w:hAnsi="Times New Roman" w:cs="Times New Roman"/>
          <w:kern w:val="1"/>
          <w:sz w:val="24"/>
          <w:szCs w:val="24"/>
          <w:lang w:eastAsia="ar-SA"/>
        </w:rPr>
        <w:t xml:space="preserve"> zaplatí účtovníckej alebo právnickej firme za všetky služby poskytnuté v súvislosti so zriadením </w:t>
      </w:r>
      <w:r>
        <w:rPr>
          <w:rFonts w:ascii="Times New Roman" w:eastAsia="Arial Unicode MS" w:hAnsi="Times New Roman" w:cs="Times New Roman"/>
          <w:kern w:val="1"/>
          <w:sz w:val="24"/>
          <w:szCs w:val="24"/>
          <w:lang w:eastAsia="ar-SA"/>
        </w:rPr>
        <w:t>zvereneckého fondu</w:t>
      </w:r>
      <w:r w:rsidRPr="00356CCC">
        <w:rPr>
          <w:rFonts w:ascii="Times New Roman" w:eastAsia="Arial Unicode MS" w:hAnsi="Times New Roman" w:cs="Times New Roman"/>
          <w:kern w:val="1"/>
          <w:sz w:val="24"/>
          <w:szCs w:val="24"/>
          <w:lang w:eastAsia="ar-SA"/>
        </w:rPr>
        <w:t xml:space="preserve">, vrátane vymenovania správcu a ďalších služieb správcu. Samotný správca nedostáva za svoje služby priamu odmenu, pretože tieto sa vyplácajú účtovníckej alebo právnickej firme ako súčasť celkového balíka. </w:t>
      </w:r>
      <w:r>
        <w:rPr>
          <w:rFonts w:ascii="Times New Roman" w:eastAsia="Arial Unicode MS" w:hAnsi="Times New Roman" w:cs="Times New Roman"/>
          <w:kern w:val="1"/>
          <w:sz w:val="24"/>
          <w:szCs w:val="24"/>
          <w:lang w:eastAsia="ar-SA"/>
        </w:rPr>
        <w:t>Takáto situácia</w:t>
      </w:r>
      <w:r w:rsidRPr="00356CCC">
        <w:rPr>
          <w:rFonts w:ascii="Times New Roman" w:eastAsia="Arial Unicode MS" w:hAnsi="Times New Roman" w:cs="Times New Roman"/>
          <w:kern w:val="1"/>
          <w:sz w:val="24"/>
          <w:szCs w:val="24"/>
          <w:lang w:eastAsia="ar-SA"/>
        </w:rPr>
        <w:t xml:space="preserve"> môže nastať aj v súvislosti so subjektmi, ktoré poskytujú služby úschovy, ak sa poplatky za takéto služby platia inému subjektu. V oboch prípadoch </w:t>
      </w:r>
      <w:r>
        <w:rPr>
          <w:rFonts w:ascii="Times New Roman" w:eastAsia="Arial Unicode MS" w:hAnsi="Times New Roman" w:cs="Times New Roman"/>
          <w:kern w:val="1"/>
          <w:sz w:val="24"/>
          <w:szCs w:val="24"/>
          <w:lang w:eastAsia="ar-SA"/>
        </w:rPr>
        <w:t>sa má takáto</w:t>
      </w:r>
      <w:r w:rsidRPr="00356CCC">
        <w:rPr>
          <w:rFonts w:ascii="Times New Roman" w:eastAsia="Arial Unicode MS" w:hAnsi="Times New Roman" w:cs="Times New Roman"/>
          <w:kern w:val="1"/>
          <w:sz w:val="24"/>
          <w:szCs w:val="24"/>
          <w:lang w:eastAsia="ar-SA"/>
        </w:rPr>
        <w:t xml:space="preserve"> odmena brať do úvahy na účely testu hrubého príjmu.</w:t>
      </w:r>
    </w:p>
    <w:p w14:paraId="624B3222"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00D96B1B" w14:textId="3BE2CE46" w:rsidR="003843B3" w:rsidRPr="00CF0E64" w:rsidRDefault="00B54FB3"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7 - § 3 ods. 3</w:t>
      </w:r>
    </w:p>
    <w:p w14:paraId="12E79EC4" w14:textId="79CF252E" w:rsidR="00B54FB3" w:rsidRPr="00CF0E64" w:rsidRDefault="00B54FB3"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Aktualizuje a spresňuje sa definícia pojmu „finančné aktívum“ s ohľadom na rozšírenie automatickej výmeny informácií o </w:t>
      </w:r>
      <w:proofErr w:type="spellStart"/>
      <w:r w:rsidRPr="00CF0E64">
        <w:rPr>
          <w:rFonts w:ascii="Times New Roman" w:eastAsia="Arial Unicode MS" w:hAnsi="Times New Roman" w:cs="Times New Roman"/>
          <w:kern w:val="1"/>
          <w:sz w:val="24"/>
          <w:szCs w:val="24"/>
          <w:lang w:eastAsia="ar-SA"/>
        </w:rPr>
        <w:t>kryptoaktíva</w:t>
      </w:r>
      <w:proofErr w:type="spellEnd"/>
      <w:r w:rsidRPr="00CF0E64">
        <w:rPr>
          <w:rFonts w:ascii="Times New Roman" w:eastAsia="Arial Unicode MS" w:hAnsi="Times New Roman" w:cs="Times New Roman"/>
          <w:kern w:val="1"/>
          <w:sz w:val="24"/>
          <w:szCs w:val="24"/>
          <w:lang w:eastAsia="ar-SA"/>
        </w:rPr>
        <w:t xml:space="preserve">. Dopĺňa sa, že finančným aktívom je aj podiel na </w:t>
      </w:r>
      <w:proofErr w:type="spellStart"/>
      <w:r w:rsidRPr="00CF0E64">
        <w:rPr>
          <w:rFonts w:ascii="Times New Roman" w:eastAsia="Arial Unicode MS" w:hAnsi="Times New Roman" w:cs="Times New Roman"/>
          <w:kern w:val="1"/>
          <w:sz w:val="24"/>
          <w:szCs w:val="24"/>
          <w:lang w:eastAsia="ar-SA"/>
        </w:rPr>
        <w:t>kryptoaktíve</w:t>
      </w:r>
      <w:proofErr w:type="spellEnd"/>
      <w:r w:rsidRPr="00CF0E64">
        <w:rPr>
          <w:rFonts w:ascii="Times New Roman" w:eastAsia="Arial Unicode MS" w:hAnsi="Times New Roman" w:cs="Times New Roman"/>
          <w:kern w:val="1"/>
          <w:sz w:val="24"/>
          <w:szCs w:val="24"/>
          <w:lang w:eastAsia="ar-SA"/>
        </w:rPr>
        <w:t xml:space="preserve"> podliehajúcom oznamovaniu. </w:t>
      </w:r>
    </w:p>
    <w:p w14:paraId="1AD245F5"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603F1F21" w14:textId="58E292C9" w:rsidR="00B54FB3" w:rsidRPr="00CF0E64" w:rsidRDefault="00B54FB3" w:rsidP="003B68A9">
      <w:pPr>
        <w:spacing w:after="0" w:line="252" w:lineRule="auto"/>
        <w:jc w:val="both"/>
        <w:rPr>
          <w:rFonts w:ascii="Times New Roman" w:eastAsia="Arial Unicode MS" w:hAnsi="Times New Roman" w:cs="Times New Roman"/>
          <w:b/>
          <w:bCs/>
          <w:kern w:val="1"/>
          <w:sz w:val="24"/>
          <w:szCs w:val="24"/>
          <w:u w:val="single"/>
          <w:lang w:eastAsia="ar-SA"/>
        </w:rPr>
      </w:pPr>
      <w:r w:rsidRPr="00CF0E64">
        <w:rPr>
          <w:rFonts w:ascii="Times New Roman" w:eastAsia="Arial Unicode MS" w:hAnsi="Times New Roman" w:cs="Times New Roman"/>
          <w:b/>
          <w:bCs/>
          <w:kern w:val="1"/>
          <w:sz w:val="24"/>
          <w:szCs w:val="24"/>
          <w:u w:val="single"/>
          <w:lang w:eastAsia="ar-SA"/>
        </w:rPr>
        <w:t xml:space="preserve">K bodu 8 - § 3 </w:t>
      </w:r>
      <w:r w:rsidR="00734CF4" w:rsidRPr="00CF0E64">
        <w:rPr>
          <w:rFonts w:ascii="Times New Roman" w:eastAsia="Arial Unicode MS" w:hAnsi="Times New Roman" w:cs="Times New Roman"/>
          <w:b/>
          <w:bCs/>
          <w:kern w:val="1"/>
          <w:sz w:val="24"/>
          <w:szCs w:val="24"/>
          <w:u w:val="single"/>
          <w:lang w:eastAsia="ar-SA"/>
        </w:rPr>
        <w:t>ods. 4</w:t>
      </w:r>
    </w:p>
    <w:p w14:paraId="37460B5F" w14:textId="48E04103" w:rsidR="00B54FB3" w:rsidRPr="00CF0E64" w:rsidRDefault="00B54FB3"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S ohľadom na definíciu investičného subjektu v § 3 ods. 2 písm. c) sa v novom odseku 4 spresňuje, že nezahŕňa subjekt, ktorý je aktívnym nefinančným subjektom, ktorý spĺňa niektoré </w:t>
      </w:r>
      <w:r w:rsidRPr="00CF0E64">
        <w:rPr>
          <w:rFonts w:ascii="Times New Roman" w:eastAsia="Arial Unicode MS" w:hAnsi="Times New Roman" w:cs="Times New Roman"/>
          <w:kern w:val="1"/>
          <w:sz w:val="24"/>
          <w:szCs w:val="24"/>
          <w:lang w:eastAsia="ar-SA"/>
        </w:rPr>
        <w:lastRenderedPageBreak/>
        <w:t>z kritérií uvedené v § 6 ods.</w:t>
      </w:r>
      <w:r w:rsidR="00406F01" w:rsidRPr="00CF0E64">
        <w:rPr>
          <w:rFonts w:ascii="Times New Roman" w:eastAsia="Arial Unicode MS" w:hAnsi="Times New Roman" w:cs="Times New Roman"/>
          <w:kern w:val="1"/>
          <w:sz w:val="24"/>
          <w:szCs w:val="24"/>
          <w:lang w:eastAsia="ar-SA"/>
        </w:rPr>
        <w:t xml:space="preserve"> 2 písm. c) v bodoch</w:t>
      </w:r>
      <w:r w:rsidRPr="00CF0E64">
        <w:rPr>
          <w:rFonts w:ascii="Times New Roman" w:eastAsia="Arial Unicode MS" w:hAnsi="Times New Roman" w:cs="Times New Roman"/>
          <w:kern w:val="1"/>
          <w:sz w:val="24"/>
          <w:szCs w:val="24"/>
          <w:lang w:eastAsia="ar-SA"/>
        </w:rPr>
        <w:t xml:space="preserve"> 2d až 2g. Uvedené spresnenie vychádza z dodatku k spoločnému štandardu oznamovania (CRS). </w:t>
      </w:r>
    </w:p>
    <w:p w14:paraId="73463102"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386C71BD" w14:textId="585C2219" w:rsidR="007E080D" w:rsidRPr="00CF0E64" w:rsidRDefault="00CD24BA" w:rsidP="003B68A9">
      <w:pPr>
        <w:spacing w:after="0" w:line="252" w:lineRule="auto"/>
        <w:jc w:val="both"/>
        <w:rPr>
          <w:rFonts w:ascii="Times New Roman" w:eastAsia="Arial Unicode MS" w:hAnsi="Times New Roman" w:cs="Times New Roman"/>
          <w:b/>
          <w:bCs/>
          <w:kern w:val="1"/>
          <w:sz w:val="24"/>
          <w:szCs w:val="24"/>
          <w:u w:val="single"/>
          <w:lang w:eastAsia="ar-SA"/>
        </w:rPr>
      </w:pPr>
      <w:r w:rsidRPr="00CF0E64">
        <w:rPr>
          <w:rFonts w:ascii="Times New Roman" w:eastAsia="Arial Unicode MS" w:hAnsi="Times New Roman" w:cs="Times New Roman"/>
          <w:b/>
          <w:bCs/>
          <w:kern w:val="1"/>
          <w:sz w:val="24"/>
          <w:szCs w:val="24"/>
          <w:u w:val="single"/>
          <w:lang w:eastAsia="ar-SA"/>
        </w:rPr>
        <w:t xml:space="preserve">K bodu 9 - § 4 ods. 1 písm. a) </w:t>
      </w:r>
    </w:p>
    <w:p w14:paraId="076302BF" w14:textId="66D30F49" w:rsidR="00CD24BA" w:rsidRPr="00CF0E64" w:rsidRDefault="00E52E3C"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Aktualizuje sa definícia neoznamujúcej finančnej inštitúcie v prípade vládneho subjektu, medzinárodnej organizácie alebo centrálnej banky s ohľadom na doplnenie štandardu spoločného štandardu oznamovania (CRS) a zaradenie digitálnych mien centrálnych bánk do rozsahu automatickej výmeny informácií o finančných účtoch.</w:t>
      </w:r>
    </w:p>
    <w:p w14:paraId="49FE6392"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2E376B5E" w14:textId="75A4FF92" w:rsidR="00CD24BA" w:rsidRPr="00CF0E64" w:rsidRDefault="00E52E3C"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10 - § 5 ods. 2 písm. a)</w:t>
      </w:r>
    </w:p>
    <w:p w14:paraId="55ED6FC9" w14:textId="116A4F29" w:rsidR="00E52E3C" w:rsidRPr="00CF0E64" w:rsidRDefault="00654344"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Nadväzne na doplnenie a úpravu spoločného štandardu oznamovania (CRS) </w:t>
      </w:r>
      <w:r w:rsidR="0048258B" w:rsidRPr="00CF0E64">
        <w:rPr>
          <w:rFonts w:ascii="Times New Roman" w:eastAsia="Arial Unicode MS" w:hAnsi="Times New Roman" w:cs="Times New Roman"/>
          <w:kern w:val="1"/>
          <w:sz w:val="24"/>
          <w:szCs w:val="24"/>
          <w:lang w:eastAsia="ar-SA"/>
        </w:rPr>
        <w:t xml:space="preserve">a smernice (EÚ) 2023/2226 </w:t>
      </w:r>
      <w:r w:rsidRPr="00CF0E64">
        <w:rPr>
          <w:rFonts w:ascii="Times New Roman" w:eastAsia="Arial Unicode MS" w:hAnsi="Times New Roman" w:cs="Times New Roman"/>
          <w:kern w:val="1"/>
          <w:sz w:val="24"/>
          <w:szCs w:val="24"/>
          <w:lang w:eastAsia="ar-SA"/>
        </w:rPr>
        <w:t xml:space="preserve">sa rozširuje definícia pojmu „vkladový účet“. Do definície sa dopĺňa účet alebo </w:t>
      </w:r>
      <w:r w:rsidR="008846E9" w:rsidRPr="00CF0E64">
        <w:rPr>
          <w:rFonts w:ascii="Times New Roman" w:eastAsia="Arial Unicode MS" w:hAnsi="Times New Roman" w:cs="Times New Roman"/>
          <w:kern w:val="1"/>
          <w:sz w:val="24"/>
          <w:szCs w:val="24"/>
          <w:lang w:eastAsia="ar-SA"/>
        </w:rPr>
        <w:t>pomyselný</w:t>
      </w:r>
      <w:r w:rsidR="006E6E5C">
        <w:rPr>
          <w:rFonts w:ascii="Times New Roman" w:eastAsia="Arial Unicode MS" w:hAnsi="Times New Roman" w:cs="Times New Roman"/>
          <w:kern w:val="1"/>
          <w:sz w:val="24"/>
          <w:szCs w:val="24"/>
          <w:lang w:eastAsia="ar-SA"/>
        </w:rPr>
        <w:t xml:space="preserve"> (</w:t>
      </w:r>
      <w:proofErr w:type="spellStart"/>
      <w:r w:rsidR="006E6E5C">
        <w:rPr>
          <w:rFonts w:ascii="Times New Roman" w:eastAsia="Arial Unicode MS" w:hAnsi="Times New Roman" w:cs="Times New Roman"/>
          <w:kern w:val="1"/>
          <w:sz w:val="24"/>
          <w:szCs w:val="24"/>
          <w:lang w:eastAsia="ar-SA"/>
        </w:rPr>
        <w:t>notional</w:t>
      </w:r>
      <w:proofErr w:type="spellEnd"/>
      <w:r w:rsidR="006E6E5C">
        <w:rPr>
          <w:rFonts w:ascii="Times New Roman" w:eastAsia="Arial Unicode MS" w:hAnsi="Times New Roman" w:cs="Times New Roman"/>
          <w:kern w:val="1"/>
          <w:sz w:val="24"/>
          <w:szCs w:val="24"/>
          <w:lang w:eastAsia="ar-SA"/>
        </w:rPr>
        <w:t>)</w:t>
      </w:r>
      <w:r w:rsidRPr="00CF0E64">
        <w:rPr>
          <w:rFonts w:ascii="Times New Roman" w:eastAsia="Arial Unicode MS" w:hAnsi="Times New Roman" w:cs="Times New Roman"/>
          <w:kern w:val="1"/>
          <w:sz w:val="24"/>
          <w:szCs w:val="24"/>
          <w:lang w:eastAsia="ar-SA"/>
        </w:rPr>
        <w:t xml:space="preserve"> účet, ktorý predstavuje všetky elektronické peniaze držané v prospech klienta a účet, na ktorom sú držané jedna alebo viacero digitálnych mien centrálnych bánk v prospech klienta. </w:t>
      </w:r>
    </w:p>
    <w:p w14:paraId="7D4569EA" w14:textId="3F334714" w:rsidR="003B68A9" w:rsidRDefault="00C11CD3" w:rsidP="003B68A9">
      <w:pPr>
        <w:spacing w:after="0" w:line="252" w:lineRule="auto"/>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Nadväzne na doplnený komentár k dodatku k spoločnému rámcu oznamovania (CRS) v</w:t>
      </w:r>
      <w:r w:rsidRPr="00A20082">
        <w:rPr>
          <w:rFonts w:ascii="Times New Roman" w:eastAsia="Arial Unicode MS" w:hAnsi="Times New Roman" w:cs="Times New Roman"/>
          <w:kern w:val="1"/>
          <w:sz w:val="24"/>
          <w:szCs w:val="24"/>
          <w:lang w:eastAsia="ar-SA"/>
        </w:rPr>
        <w:t xml:space="preserve">šetky produkty </w:t>
      </w:r>
      <w:r>
        <w:rPr>
          <w:rFonts w:ascii="Times New Roman" w:eastAsia="Arial Unicode MS" w:hAnsi="Times New Roman" w:cs="Times New Roman"/>
          <w:kern w:val="1"/>
          <w:sz w:val="24"/>
          <w:szCs w:val="24"/>
          <w:lang w:eastAsia="ar-SA"/>
        </w:rPr>
        <w:t>elektronických peňazí</w:t>
      </w:r>
      <w:r w:rsidRPr="00A20082">
        <w:rPr>
          <w:rFonts w:ascii="Times New Roman" w:eastAsia="Arial Unicode MS" w:hAnsi="Times New Roman" w:cs="Times New Roman"/>
          <w:kern w:val="1"/>
          <w:sz w:val="24"/>
          <w:szCs w:val="24"/>
          <w:lang w:eastAsia="ar-SA"/>
        </w:rPr>
        <w:t xml:space="preserve">, ktoré má subjekt v držbe v prospech zákazníka, sa spoločne považujú za </w:t>
      </w:r>
      <w:r>
        <w:rPr>
          <w:rFonts w:ascii="Times New Roman" w:eastAsia="Arial Unicode MS" w:hAnsi="Times New Roman" w:cs="Times New Roman"/>
          <w:kern w:val="1"/>
          <w:sz w:val="24"/>
          <w:szCs w:val="24"/>
          <w:lang w:eastAsia="ar-SA"/>
        </w:rPr>
        <w:t>vkladový</w:t>
      </w:r>
      <w:r w:rsidRPr="00A20082">
        <w:rPr>
          <w:rFonts w:ascii="Times New Roman" w:eastAsia="Arial Unicode MS" w:hAnsi="Times New Roman" w:cs="Times New Roman"/>
          <w:kern w:val="1"/>
          <w:sz w:val="24"/>
          <w:szCs w:val="24"/>
          <w:lang w:eastAsia="ar-SA"/>
        </w:rPr>
        <w:t xml:space="preserve"> účet tohto </w:t>
      </w:r>
      <w:r>
        <w:rPr>
          <w:rFonts w:ascii="Times New Roman" w:eastAsia="Arial Unicode MS" w:hAnsi="Times New Roman" w:cs="Times New Roman"/>
          <w:kern w:val="1"/>
          <w:sz w:val="24"/>
          <w:szCs w:val="24"/>
          <w:lang w:eastAsia="ar-SA"/>
        </w:rPr>
        <w:t>klienta</w:t>
      </w:r>
      <w:r w:rsidRPr="00A20082">
        <w:rPr>
          <w:rFonts w:ascii="Times New Roman" w:eastAsia="Arial Unicode MS" w:hAnsi="Times New Roman" w:cs="Times New Roman"/>
          <w:kern w:val="1"/>
          <w:sz w:val="24"/>
          <w:szCs w:val="24"/>
          <w:lang w:eastAsia="ar-SA"/>
        </w:rPr>
        <w:t xml:space="preserve">. Na účely určenia hodnoty </w:t>
      </w:r>
      <w:r>
        <w:rPr>
          <w:rFonts w:ascii="Times New Roman" w:eastAsia="Arial Unicode MS" w:hAnsi="Times New Roman" w:cs="Times New Roman"/>
          <w:kern w:val="1"/>
          <w:sz w:val="24"/>
          <w:szCs w:val="24"/>
          <w:lang w:eastAsia="ar-SA"/>
        </w:rPr>
        <w:t>vkladového</w:t>
      </w:r>
      <w:r w:rsidRPr="00A20082">
        <w:rPr>
          <w:rFonts w:ascii="Times New Roman" w:eastAsia="Arial Unicode MS" w:hAnsi="Times New Roman" w:cs="Times New Roman"/>
          <w:kern w:val="1"/>
          <w:sz w:val="24"/>
          <w:szCs w:val="24"/>
          <w:lang w:eastAsia="ar-SA"/>
        </w:rPr>
        <w:t xml:space="preserve"> účtu </w:t>
      </w:r>
      <w:r>
        <w:rPr>
          <w:rFonts w:ascii="Times New Roman" w:eastAsia="Arial Unicode MS" w:hAnsi="Times New Roman" w:cs="Times New Roman"/>
          <w:kern w:val="1"/>
          <w:sz w:val="24"/>
          <w:szCs w:val="24"/>
          <w:lang w:eastAsia="ar-SA"/>
        </w:rPr>
        <w:t xml:space="preserve">oznamujúca </w:t>
      </w:r>
      <w:r w:rsidRPr="00A20082">
        <w:rPr>
          <w:rFonts w:ascii="Times New Roman" w:eastAsia="Arial Unicode MS" w:hAnsi="Times New Roman" w:cs="Times New Roman"/>
          <w:kern w:val="1"/>
          <w:sz w:val="24"/>
          <w:szCs w:val="24"/>
          <w:lang w:eastAsia="ar-SA"/>
        </w:rPr>
        <w:t xml:space="preserve">finančná inštitúcia </w:t>
      </w:r>
      <w:r>
        <w:rPr>
          <w:rFonts w:ascii="Times New Roman" w:eastAsia="Arial Unicode MS" w:hAnsi="Times New Roman" w:cs="Times New Roman"/>
          <w:kern w:val="1"/>
          <w:sz w:val="24"/>
          <w:szCs w:val="24"/>
          <w:lang w:eastAsia="ar-SA"/>
        </w:rPr>
        <w:t>agreguje</w:t>
      </w:r>
      <w:r w:rsidRPr="00A20082">
        <w:rPr>
          <w:rFonts w:ascii="Times New Roman" w:eastAsia="Arial Unicode MS" w:hAnsi="Times New Roman" w:cs="Times New Roman"/>
          <w:kern w:val="1"/>
          <w:sz w:val="24"/>
          <w:szCs w:val="24"/>
          <w:lang w:eastAsia="ar-SA"/>
        </w:rPr>
        <w:t xml:space="preserve"> hodnotu všetkých produktov </w:t>
      </w:r>
      <w:r>
        <w:rPr>
          <w:rFonts w:ascii="Times New Roman" w:eastAsia="Arial Unicode MS" w:hAnsi="Times New Roman" w:cs="Times New Roman"/>
          <w:kern w:val="1"/>
          <w:sz w:val="24"/>
          <w:szCs w:val="24"/>
          <w:lang w:eastAsia="ar-SA"/>
        </w:rPr>
        <w:t>peňazí</w:t>
      </w:r>
      <w:r w:rsidRPr="00A20082">
        <w:rPr>
          <w:rFonts w:ascii="Times New Roman" w:eastAsia="Arial Unicode MS" w:hAnsi="Times New Roman" w:cs="Times New Roman"/>
          <w:kern w:val="1"/>
          <w:sz w:val="24"/>
          <w:szCs w:val="24"/>
          <w:lang w:eastAsia="ar-SA"/>
        </w:rPr>
        <w:t xml:space="preserve">, ktoré má </w:t>
      </w:r>
      <w:r>
        <w:rPr>
          <w:rFonts w:ascii="Times New Roman" w:eastAsia="Arial Unicode MS" w:hAnsi="Times New Roman" w:cs="Times New Roman"/>
          <w:kern w:val="1"/>
          <w:sz w:val="24"/>
          <w:szCs w:val="24"/>
          <w:lang w:eastAsia="ar-SA"/>
        </w:rPr>
        <w:t>držiteľ finančného</w:t>
      </w:r>
      <w:r w:rsidRPr="00A20082">
        <w:rPr>
          <w:rFonts w:ascii="Times New Roman" w:eastAsia="Arial Unicode MS" w:hAnsi="Times New Roman" w:cs="Times New Roman"/>
          <w:kern w:val="1"/>
          <w:sz w:val="24"/>
          <w:szCs w:val="24"/>
          <w:lang w:eastAsia="ar-SA"/>
        </w:rPr>
        <w:t xml:space="preserve"> účtu u </w:t>
      </w:r>
      <w:r>
        <w:rPr>
          <w:rFonts w:ascii="Times New Roman" w:eastAsia="Arial Unicode MS" w:hAnsi="Times New Roman" w:cs="Times New Roman"/>
          <w:kern w:val="1"/>
          <w:sz w:val="24"/>
          <w:szCs w:val="24"/>
          <w:lang w:eastAsia="ar-SA"/>
        </w:rPr>
        <w:t>oznamujúcej</w:t>
      </w:r>
      <w:r w:rsidRPr="00A20082">
        <w:rPr>
          <w:rFonts w:ascii="Times New Roman" w:eastAsia="Arial Unicode MS" w:hAnsi="Times New Roman" w:cs="Times New Roman"/>
          <w:kern w:val="1"/>
          <w:sz w:val="24"/>
          <w:szCs w:val="24"/>
          <w:lang w:eastAsia="ar-SA"/>
        </w:rPr>
        <w:t xml:space="preserve"> finančnej inštitúcie. Podobne sa za </w:t>
      </w:r>
      <w:r>
        <w:rPr>
          <w:rFonts w:ascii="Times New Roman" w:eastAsia="Arial Unicode MS" w:hAnsi="Times New Roman" w:cs="Times New Roman"/>
          <w:kern w:val="1"/>
          <w:sz w:val="24"/>
          <w:szCs w:val="24"/>
          <w:lang w:eastAsia="ar-SA"/>
        </w:rPr>
        <w:t>vkladový</w:t>
      </w:r>
      <w:r w:rsidRPr="00A20082">
        <w:rPr>
          <w:rFonts w:ascii="Times New Roman" w:eastAsia="Arial Unicode MS" w:hAnsi="Times New Roman" w:cs="Times New Roman"/>
          <w:kern w:val="1"/>
          <w:sz w:val="24"/>
          <w:szCs w:val="24"/>
          <w:lang w:eastAsia="ar-SA"/>
        </w:rPr>
        <w:t xml:space="preserve"> účet považ</w:t>
      </w:r>
      <w:r>
        <w:rPr>
          <w:rFonts w:ascii="Times New Roman" w:eastAsia="Arial Unicode MS" w:hAnsi="Times New Roman" w:cs="Times New Roman"/>
          <w:kern w:val="1"/>
          <w:sz w:val="24"/>
          <w:szCs w:val="24"/>
          <w:lang w:eastAsia="ar-SA"/>
        </w:rPr>
        <w:t>uje</w:t>
      </w:r>
      <w:r w:rsidRPr="00A20082">
        <w:rPr>
          <w:rFonts w:ascii="Times New Roman" w:eastAsia="Arial Unicode MS" w:hAnsi="Times New Roman" w:cs="Times New Roman"/>
          <w:kern w:val="1"/>
          <w:sz w:val="24"/>
          <w:szCs w:val="24"/>
          <w:lang w:eastAsia="ar-SA"/>
        </w:rPr>
        <w:t xml:space="preserve"> </w:t>
      </w:r>
      <w:r>
        <w:rPr>
          <w:rFonts w:ascii="Times New Roman" w:eastAsia="Arial Unicode MS" w:hAnsi="Times New Roman" w:cs="Times New Roman"/>
          <w:kern w:val="1"/>
          <w:sz w:val="24"/>
          <w:szCs w:val="24"/>
          <w:lang w:eastAsia="ar-SA"/>
        </w:rPr>
        <w:t>akákoľvek dohoda</w:t>
      </w:r>
      <w:r w:rsidRPr="00A20082">
        <w:rPr>
          <w:rFonts w:ascii="Times New Roman" w:eastAsia="Arial Unicode MS" w:hAnsi="Times New Roman" w:cs="Times New Roman"/>
          <w:kern w:val="1"/>
          <w:sz w:val="24"/>
          <w:szCs w:val="24"/>
          <w:lang w:eastAsia="ar-SA"/>
        </w:rPr>
        <w:t>, prostredníctvom ktor</w:t>
      </w:r>
      <w:r>
        <w:rPr>
          <w:rFonts w:ascii="Times New Roman" w:eastAsia="Arial Unicode MS" w:hAnsi="Times New Roman" w:cs="Times New Roman"/>
          <w:kern w:val="1"/>
          <w:sz w:val="24"/>
          <w:szCs w:val="24"/>
          <w:lang w:eastAsia="ar-SA"/>
        </w:rPr>
        <w:t>ej</w:t>
      </w:r>
      <w:r w:rsidRPr="00A20082">
        <w:rPr>
          <w:rFonts w:ascii="Times New Roman" w:eastAsia="Arial Unicode MS" w:hAnsi="Times New Roman" w:cs="Times New Roman"/>
          <w:kern w:val="1"/>
          <w:sz w:val="24"/>
          <w:szCs w:val="24"/>
          <w:lang w:eastAsia="ar-SA"/>
        </w:rPr>
        <w:t xml:space="preserve"> subjekt drží digitálnu menu centrálnej banky v prospech zákazníka. V prípadoch, keď bol</w:t>
      </w:r>
      <w:r>
        <w:rPr>
          <w:rFonts w:ascii="Times New Roman" w:eastAsia="Arial Unicode MS" w:hAnsi="Times New Roman" w:cs="Times New Roman"/>
          <w:kern w:val="1"/>
          <w:sz w:val="24"/>
          <w:szCs w:val="24"/>
          <w:lang w:eastAsia="ar-SA"/>
        </w:rPr>
        <w:t>i</w:t>
      </w:r>
      <w:r w:rsidRPr="00A20082">
        <w:rPr>
          <w:rFonts w:ascii="Times New Roman" w:eastAsia="Arial Unicode MS" w:hAnsi="Times New Roman" w:cs="Times New Roman"/>
          <w:kern w:val="1"/>
          <w:sz w:val="24"/>
          <w:szCs w:val="24"/>
          <w:lang w:eastAsia="ar-SA"/>
        </w:rPr>
        <w:t xml:space="preserve"> produkt elektronických peňazí alebo digitálna mena centrálnej banky vydan</w:t>
      </w:r>
      <w:r>
        <w:rPr>
          <w:rFonts w:ascii="Times New Roman" w:eastAsia="Arial Unicode MS" w:hAnsi="Times New Roman" w:cs="Times New Roman"/>
          <w:kern w:val="1"/>
          <w:sz w:val="24"/>
          <w:szCs w:val="24"/>
          <w:lang w:eastAsia="ar-SA"/>
        </w:rPr>
        <w:t>é</w:t>
      </w:r>
      <w:r w:rsidRPr="00A20082">
        <w:rPr>
          <w:rFonts w:ascii="Times New Roman" w:eastAsia="Arial Unicode MS" w:hAnsi="Times New Roman" w:cs="Times New Roman"/>
          <w:kern w:val="1"/>
          <w:sz w:val="24"/>
          <w:szCs w:val="24"/>
          <w:lang w:eastAsia="ar-SA"/>
        </w:rPr>
        <w:t xml:space="preserve"> ako </w:t>
      </w:r>
      <w:proofErr w:type="spellStart"/>
      <w:r>
        <w:rPr>
          <w:rFonts w:ascii="Times New Roman" w:eastAsia="Arial Unicode MS" w:hAnsi="Times New Roman" w:cs="Times New Roman"/>
          <w:kern w:val="1"/>
          <w:sz w:val="24"/>
          <w:szCs w:val="24"/>
          <w:lang w:eastAsia="ar-SA"/>
        </w:rPr>
        <w:t>kryptoaktívum</w:t>
      </w:r>
      <w:proofErr w:type="spellEnd"/>
      <w:r w:rsidRPr="00A20082">
        <w:rPr>
          <w:rFonts w:ascii="Times New Roman" w:eastAsia="Arial Unicode MS" w:hAnsi="Times New Roman" w:cs="Times New Roman"/>
          <w:kern w:val="1"/>
          <w:sz w:val="24"/>
          <w:szCs w:val="24"/>
          <w:lang w:eastAsia="ar-SA"/>
        </w:rPr>
        <w:t>, má sa za to, že subjekt drží takéto aktívum v prospech zákazníka v rozsahu, v akom uchováva alebo spravuje nástroje umožňujúce kontrolu nad aktívom</w:t>
      </w:r>
      <w:r>
        <w:rPr>
          <w:rFonts w:ascii="Times New Roman" w:eastAsia="Arial Unicode MS" w:hAnsi="Times New Roman" w:cs="Times New Roman"/>
          <w:kern w:val="1"/>
          <w:sz w:val="24"/>
          <w:szCs w:val="24"/>
          <w:lang w:eastAsia="ar-SA"/>
        </w:rPr>
        <w:t xml:space="preserve"> (prostredníctvom súkromných kľúčov)</w:t>
      </w:r>
      <w:r w:rsidRPr="00A20082">
        <w:rPr>
          <w:rFonts w:ascii="Times New Roman" w:eastAsia="Arial Unicode MS" w:hAnsi="Times New Roman" w:cs="Times New Roman"/>
          <w:kern w:val="1"/>
          <w:sz w:val="24"/>
          <w:szCs w:val="24"/>
          <w:lang w:eastAsia="ar-SA"/>
        </w:rPr>
        <w:t xml:space="preserve"> a</w:t>
      </w:r>
      <w:r>
        <w:rPr>
          <w:rFonts w:ascii="Times New Roman" w:eastAsia="Arial Unicode MS" w:hAnsi="Times New Roman" w:cs="Times New Roman"/>
          <w:kern w:val="1"/>
          <w:sz w:val="24"/>
          <w:szCs w:val="24"/>
          <w:lang w:eastAsia="ar-SA"/>
        </w:rPr>
        <w:t xml:space="preserve"> subjekt </w:t>
      </w:r>
      <w:r w:rsidRPr="00A20082">
        <w:rPr>
          <w:rFonts w:ascii="Times New Roman" w:eastAsia="Arial Unicode MS" w:hAnsi="Times New Roman" w:cs="Times New Roman"/>
          <w:kern w:val="1"/>
          <w:sz w:val="24"/>
          <w:szCs w:val="24"/>
          <w:lang w:eastAsia="ar-SA"/>
        </w:rPr>
        <w:t xml:space="preserve">má schopnosť spravovať, obchodovať alebo previesť podkladové aktívum </w:t>
      </w:r>
      <w:r>
        <w:rPr>
          <w:rFonts w:ascii="Times New Roman" w:eastAsia="Arial Unicode MS" w:hAnsi="Times New Roman" w:cs="Times New Roman"/>
          <w:kern w:val="1"/>
          <w:sz w:val="24"/>
          <w:szCs w:val="24"/>
          <w:lang w:eastAsia="ar-SA"/>
        </w:rPr>
        <w:t xml:space="preserve">na tretie strany </w:t>
      </w:r>
      <w:r w:rsidRPr="00A20082">
        <w:rPr>
          <w:rFonts w:ascii="Times New Roman" w:eastAsia="Arial Unicode MS" w:hAnsi="Times New Roman" w:cs="Times New Roman"/>
          <w:kern w:val="1"/>
          <w:sz w:val="24"/>
          <w:szCs w:val="24"/>
          <w:lang w:eastAsia="ar-SA"/>
        </w:rPr>
        <w:t>v mene takéhoto zákazníka.</w:t>
      </w:r>
    </w:p>
    <w:p w14:paraId="2D3AA7B4" w14:textId="77777777" w:rsidR="00C11CD3" w:rsidRPr="00CF0E64" w:rsidRDefault="00C11CD3" w:rsidP="003B68A9">
      <w:pPr>
        <w:spacing w:after="0" w:line="252" w:lineRule="auto"/>
        <w:jc w:val="both"/>
        <w:rPr>
          <w:rFonts w:ascii="Times New Roman" w:eastAsia="Arial Unicode MS" w:hAnsi="Times New Roman" w:cs="Times New Roman"/>
          <w:kern w:val="1"/>
          <w:sz w:val="24"/>
          <w:szCs w:val="24"/>
          <w:lang w:eastAsia="ar-SA"/>
        </w:rPr>
      </w:pPr>
    </w:p>
    <w:p w14:paraId="1C1CEB4C" w14:textId="4EA74AAE" w:rsidR="00654344" w:rsidRPr="00CF0E64" w:rsidRDefault="00654344"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11 - § 5 ods. 3 písm. e)</w:t>
      </w:r>
    </w:p>
    <w:p w14:paraId="02E8DF04" w14:textId="4496A9AD" w:rsidR="00654344" w:rsidRPr="00CF0E64" w:rsidRDefault="00654344"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Do definície vylúčeného účtu sa dopĺňa účet zriadený v súvislosti so založením </w:t>
      </w:r>
      <w:r w:rsidR="002D2DCA">
        <w:rPr>
          <w:rFonts w:ascii="Times New Roman" w:eastAsia="Arial Unicode MS" w:hAnsi="Times New Roman" w:cs="Times New Roman"/>
          <w:kern w:val="1"/>
          <w:sz w:val="24"/>
          <w:szCs w:val="24"/>
          <w:lang w:eastAsia="ar-SA"/>
        </w:rPr>
        <w:t xml:space="preserve">a vznikom </w:t>
      </w:r>
      <w:r w:rsidRPr="00CF0E64">
        <w:rPr>
          <w:rFonts w:ascii="Times New Roman" w:eastAsia="Arial Unicode MS" w:hAnsi="Times New Roman" w:cs="Times New Roman"/>
          <w:kern w:val="1"/>
          <w:sz w:val="24"/>
          <w:szCs w:val="24"/>
          <w:lang w:eastAsia="ar-SA"/>
        </w:rPr>
        <w:t xml:space="preserve">spoločnosti alebo zvýšením jej </w:t>
      </w:r>
      <w:r w:rsidR="002D2DCA">
        <w:rPr>
          <w:rFonts w:ascii="Times New Roman" w:eastAsia="Arial Unicode MS" w:hAnsi="Times New Roman" w:cs="Times New Roman"/>
          <w:kern w:val="1"/>
          <w:sz w:val="24"/>
          <w:szCs w:val="24"/>
          <w:lang w:eastAsia="ar-SA"/>
        </w:rPr>
        <w:t>vlastného imania</w:t>
      </w:r>
      <w:r w:rsidR="002D2DCA" w:rsidRPr="00CF0E64">
        <w:rPr>
          <w:rFonts w:ascii="Times New Roman" w:eastAsia="Arial Unicode MS" w:hAnsi="Times New Roman" w:cs="Times New Roman"/>
          <w:kern w:val="1"/>
          <w:sz w:val="24"/>
          <w:szCs w:val="24"/>
          <w:lang w:eastAsia="ar-SA"/>
        </w:rPr>
        <w:t xml:space="preserve"> </w:t>
      </w:r>
      <w:r w:rsidRPr="00CF0E64">
        <w:rPr>
          <w:rFonts w:ascii="Times New Roman" w:eastAsia="Arial Unicode MS" w:hAnsi="Times New Roman" w:cs="Times New Roman"/>
          <w:kern w:val="1"/>
          <w:sz w:val="24"/>
          <w:szCs w:val="24"/>
          <w:lang w:eastAsia="ar-SA"/>
        </w:rPr>
        <w:t xml:space="preserve">za predpokladu splnenia </w:t>
      </w:r>
      <w:r w:rsidR="00B40345" w:rsidRPr="00CF0E64">
        <w:rPr>
          <w:rFonts w:ascii="Times New Roman" w:eastAsia="Arial Unicode MS" w:hAnsi="Times New Roman" w:cs="Times New Roman"/>
          <w:kern w:val="1"/>
          <w:sz w:val="24"/>
          <w:szCs w:val="24"/>
          <w:lang w:eastAsia="ar-SA"/>
        </w:rPr>
        <w:t xml:space="preserve">5 </w:t>
      </w:r>
      <w:r w:rsidRPr="00CF0E64">
        <w:rPr>
          <w:rFonts w:ascii="Times New Roman" w:eastAsia="Arial Unicode MS" w:hAnsi="Times New Roman" w:cs="Times New Roman"/>
          <w:kern w:val="1"/>
          <w:sz w:val="24"/>
          <w:szCs w:val="24"/>
          <w:lang w:eastAsia="ar-SA"/>
        </w:rPr>
        <w:t>kumulatívnych požiadaviek uvedených v novom piatom bode</w:t>
      </w:r>
      <w:r w:rsidR="00812973" w:rsidRPr="00CF0E64">
        <w:rPr>
          <w:rFonts w:ascii="Times New Roman" w:eastAsia="Arial Unicode MS" w:hAnsi="Times New Roman" w:cs="Times New Roman"/>
          <w:kern w:val="1"/>
          <w:sz w:val="24"/>
          <w:szCs w:val="24"/>
          <w:lang w:eastAsia="ar-SA"/>
        </w:rPr>
        <w:t xml:space="preserve"> v § 5 ods. 3 písmene e)</w:t>
      </w:r>
      <w:r w:rsidRPr="00CF0E64">
        <w:rPr>
          <w:rFonts w:ascii="Times New Roman" w:eastAsia="Arial Unicode MS" w:hAnsi="Times New Roman" w:cs="Times New Roman"/>
          <w:kern w:val="1"/>
          <w:sz w:val="24"/>
          <w:szCs w:val="24"/>
          <w:lang w:eastAsia="ar-SA"/>
        </w:rPr>
        <w:t xml:space="preserve">. Toto doplnenie nadväzuje na doplnenie </w:t>
      </w:r>
      <w:r w:rsidR="00812973" w:rsidRPr="00CF0E64">
        <w:rPr>
          <w:rFonts w:ascii="Times New Roman" w:eastAsia="Arial Unicode MS" w:hAnsi="Times New Roman" w:cs="Times New Roman"/>
          <w:kern w:val="1"/>
          <w:sz w:val="24"/>
          <w:szCs w:val="24"/>
          <w:lang w:eastAsia="ar-SA"/>
        </w:rPr>
        <w:t xml:space="preserve">spoločného štandardu oznamovania (CRS) a smernice (EÚ) 2023/2226. </w:t>
      </w:r>
    </w:p>
    <w:p w14:paraId="0E1E527D"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2D7458A7" w14:textId="714A2A29" w:rsidR="00812973" w:rsidRPr="00CF0E64" w:rsidRDefault="00812973"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12 - § 5 ods. 3 písm. f)</w:t>
      </w:r>
    </w:p>
    <w:p w14:paraId="68760762" w14:textId="3C4F489F" w:rsidR="00812973" w:rsidRPr="00CF0E64" w:rsidRDefault="0048258B"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Do § 5 ods. 3 sa vkladá nové písmeno f), </w:t>
      </w:r>
      <w:r w:rsidR="00B40345" w:rsidRPr="00CF0E64">
        <w:rPr>
          <w:rFonts w:ascii="Times New Roman" w:eastAsia="Arial Unicode MS" w:hAnsi="Times New Roman" w:cs="Times New Roman"/>
          <w:kern w:val="1"/>
          <w:sz w:val="24"/>
          <w:szCs w:val="24"/>
          <w:lang w:eastAsia="ar-SA"/>
        </w:rPr>
        <w:t xml:space="preserve">kde </w:t>
      </w:r>
      <w:r w:rsidRPr="00CF0E64">
        <w:rPr>
          <w:rFonts w:ascii="Times New Roman" w:eastAsia="Arial Unicode MS" w:hAnsi="Times New Roman" w:cs="Times New Roman"/>
          <w:kern w:val="1"/>
          <w:sz w:val="24"/>
          <w:szCs w:val="24"/>
          <w:lang w:eastAsia="ar-SA"/>
        </w:rPr>
        <w:t xml:space="preserve">sa pod vylúčeným účtom rozumie aj 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 Úprava vyplýva z doplneného spoločného štandardu oznamovania (CRS) a smernice (EÚ) 2023/2226 v záujme reflektovania rozšírenia rozsahu automatickej výmeny informácií o finančných účtoch o elektronické peniaze. </w:t>
      </w:r>
    </w:p>
    <w:p w14:paraId="48A1D2FA"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26FE3908" w14:textId="62BBD088" w:rsidR="00217C7C" w:rsidRPr="00CF0E64" w:rsidRDefault="00217C7C"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13 - § 5 ods. 3 písm. h)</w:t>
      </w:r>
    </w:p>
    <w:p w14:paraId="5A3BCD0B" w14:textId="0327AB26" w:rsidR="00217C7C" w:rsidRPr="00CF0E64" w:rsidRDefault="00217C7C"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Legislatívno-technická úprava s ohľadom na úpravu v bode 12 a nové označenie odsekov.</w:t>
      </w:r>
    </w:p>
    <w:p w14:paraId="23DD7A9E" w14:textId="631704D2" w:rsidR="003B68A9" w:rsidRDefault="003B68A9" w:rsidP="003B68A9">
      <w:pPr>
        <w:spacing w:after="0" w:line="252" w:lineRule="auto"/>
        <w:jc w:val="both"/>
        <w:rPr>
          <w:rFonts w:ascii="Times New Roman" w:eastAsia="Arial Unicode MS" w:hAnsi="Times New Roman" w:cs="Times New Roman"/>
          <w:kern w:val="1"/>
          <w:sz w:val="24"/>
          <w:szCs w:val="24"/>
          <w:lang w:eastAsia="ar-SA"/>
        </w:rPr>
      </w:pPr>
    </w:p>
    <w:p w14:paraId="0520E53A" w14:textId="0CC4330C" w:rsidR="006B38EC" w:rsidRDefault="006B38EC" w:rsidP="003B68A9">
      <w:pPr>
        <w:spacing w:after="0" w:line="252" w:lineRule="auto"/>
        <w:jc w:val="both"/>
        <w:rPr>
          <w:rFonts w:ascii="Times New Roman" w:eastAsia="Arial Unicode MS" w:hAnsi="Times New Roman" w:cs="Times New Roman"/>
          <w:kern w:val="1"/>
          <w:sz w:val="24"/>
          <w:szCs w:val="24"/>
          <w:lang w:eastAsia="ar-SA"/>
        </w:rPr>
      </w:pPr>
    </w:p>
    <w:p w14:paraId="5DE70F9A" w14:textId="77777777" w:rsidR="006B38EC" w:rsidRPr="00CF0E64" w:rsidRDefault="006B38EC" w:rsidP="003B68A9">
      <w:pPr>
        <w:spacing w:after="0" w:line="252" w:lineRule="auto"/>
        <w:jc w:val="both"/>
        <w:rPr>
          <w:rFonts w:ascii="Times New Roman" w:eastAsia="Arial Unicode MS" w:hAnsi="Times New Roman" w:cs="Times New Roman"/>
          <w:kern w:val="1"/>
          <w:sz w:val="24"/>
          <w:szCs w:val="24"/>
          <w:lang w:eastAsia="ar-SA"/>
        </w:rPr>
      </w:pPr>
    </w:p>
    <w:p w14:paraId="79A20046" w14:textId="7F96632B" w:rsidR="00217C7C" w:rsidRPr="00CF0E64" w:rsidRDefault="00217C7C"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14 - § 5 ods. 4 písm. a)</w:t>
      </w:r>
    </w:p>
    <w:p w14:paraId="47675498" w14:textId="0BEBB415" w:rsidR="00217C7C" w:rsidRPr="00CF0E64" w:rsidRDefault="00D02DF5"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Definícia existujúceho účtu sa rozširuje s ohľadom na rozšírenie spoločného štandardu oznamovania (CRS) o účet alebo </w:t>
      </w:r>
      <w:r w:rsidR="00372D30" w:rsidRPr="00CF0E64">
        <w:rPr>
          <w:rFonts w:ascii="Times New Roman" w:eastAsia="Arial Unicode MS" w:hAnsi="Times New Roman" w:cs="Times New Roman"/>
          <w:kern w:val="1"/>
          <w:sz w:val="24"/>
          <w:szCs w:val="24"/>
          <w:lang w:eastAsia="ar-SA"/>
        </w:rPr>
        <w:t>pomyselný (</w:t>
      </w:r>
      <w:proofErr w:type="spellStart"/>
      <w:r w:rsidR="006E6E5C">
        <w:rPr>
          <w:rFonts w:ascii="Times New Roman" w:eastAsia="Arial Unicode MS" w:hAnsi="Times New Roman" w:cs="Times New Roman"/>
          <w:kern w:val="1"/>
          <w:sz w:val="24"/>
          <w:szCs w:val="24"/>
          <w:lang w:eastAsia="ar-SA"/>
        </w:rPr>
        <w:t>notional</w:t>
      </w:r>
      <w:proofErr w:type="spellEnd"/>
      <w:r w:rsidR="00372D30" w:rsidRPr="00CF0E64">
        <w:rPr>
          <w:rFonts w:ascii="Times New Roman" w:eastAsia="Arial Unicode MS" w:hAnsi="Times New Roman" w:cs="Times New Roman"/>
          <w:kern w:val="1"/>
          <w:sz w:val="24"/>
          <w:szCs w:val="24"/>
          <w:lang w:eastAsia="ar-SA"/>
        </w:rPr>
        <w:t xml:space="preserve">) </w:t>
      </w:r>
      <w:r w:rsidRPr="00CF0E64">
        <w:rPr>
          <w:rFonts w:ascii="Times New Roman" w:eastAsia="Arial Unicode MS" w:hAnsi="Times New Roman" w:cs="Times New Roman"/>
          <w:kern w:val="1"/>
          <w:sz w:val="24"/>
          <w:szCs w:val="24"/>
          <w:lang w:eastAsia="ar-SA"/>
        </w:rPr>
        <w:t>účet, ktor</w:t>
      </w:r>
      <w:r w:rsidR="00372D30" w:rsidRPr="00CF0E64">
        <w:rPr>
          <w:rFonts w:ascii="Times New Roman" w:eastAsia="Arial Unicode MS" w:hAnsi="Times New Roman" w:cs="Times New Roman"/>
          <w:kern w:val="1"/>
          <w:sz w:val="24"/>
          <w:szCs w:val="24"/>
          <w:lang w:eastAsia="ar-SA"/>
        </w:rPr>
        <w:t xml:space="preserve">é </w:t>
      </w:r>
      <w:r w:rsidRPr="00CF0E64">
        <w:rPr>
          <w:rFonts w:ascii="Times New Roman" w:eastAsia="Arial Unicode MS" w:hAnsi="Times New Roman" w:cs="Times New Roman"/>
          <w:kern w:val="1"/>
          <w:sz w:val="24"/>
          <w:szCs w:val="24"/>
          <w:lang w:eastAsia="ar-SA"/>
        </w:rPr>
        <w:t xml:space="preserve">predstavujú elektronické peniaze v prospech klienta alebo účet, na ktorom je v prospech klienta držaná jedna alebo viac digitálnych mien centrálnej banky k 31. decembru 2025. </w:t>
      </w:r>
    </w:p>
    <w:p w14:paraId="11A74C84"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16309071" w14:textId="7A39C7EE" w:rsidR="00D02DF5" w:rsidRPr="00CF0E64" w:rsidRDefault="00D02DF5"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 xml:space="preserve">K bodu 15 - § 5 ods. 5 </w:t>
      </w:r>
    </w:p>
    <w:p w14:paraId="4D31DE13" w14:textId="5A2F1F26" w:rsidR="00386585" w:rsidRPr="00CF0E64" w:rsidRDefault="00386585"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Definícia nového účtu sa upravuje s ohľadom na doplnenia spoločného štandardu oznamovania (CRS) a smernicu (EÚ) 2023/2226 s ohľadom na rozšírenie rozsahu automatickej výmeny informácií o finančných účtoch o elektronické peniaze a digitálne meny centrálnych bánk k 1. januáru 2026.</w:t>
      </w:r>
    </w:p>
    <w:p w14:paraId="5CCAD250"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3C846BFF" w14:textId="77777777" w:rsidR="004001B5" w:rsidRPr="00CF0E64" w:rsidRDefault="004001B5"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16 - § 6 ods. 2 písm. a)</w:t>
      </w:r>
    </w:p>
    <w:p w14:paraId="7876AF5D" w14:textId="5F2AD5E5" w:rsidR="004001B5" w:rsidRPr="00CF0E64" w:rsidRDefault="004001B5"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Aktualizuje sa definícia osoby podliehajúcej oznamovaniu s ohľadom na zmenu spoločného štandardu oznamovania (CRS) a smernice (EÚ) 2023/2226</w:t>
      </w:r>
      <w:r w:rsidR="004022FB" w:rsidRPr="00CF0E64">
        <w:rPr>
          <w:rFonts w:ascii="Times New Roman" w:eastAsia="Arial Unicode MS" w:hAnsi="Times New Roman" w:cs="Times New Roman"/>
          <w:kern w:val="1"/>
          <w:sz w:val="24"/>
          <w:szCs w:val="24"/>
          <w:lang w:eastAsia="ar-SA"/>
        </w:rPr>
        <w:t xml:space="preserve">. Kľúčovou zmenou je nahradenie slova „spoločnosť“ slovom „subjekt“. </w:t>
      </w:r>
      <w:r w:rsidR="005F1EAD" w:rsidRPr="00CF0E64">
        <w:rPr>
          <w:rFonts w:ascii="Times New Roman" w:eastAsia="Arial Unicode MS" w:hAnsi="Times New Roman" w:cs="Times New Roman"/>
          <w:kern w:val="1"/>
          <w:sz w:val="24"/>
          <w:szCs w:val="24"/>
          <w:lang w:eastAsia="ar-SA"/>
        </w:rPr>
        <w:t xml:space="preserve">Subjekt je zadefinovaný v § 2 písm. </w:t>
      </w:r>
      <w:r w:rsidR="005178CC" w:rsidRPr="00CF0E64">
        <w:rPr>
          <w:rFonts w:ascii="Times New Roman" w:eastAsia="Arial Unicode MS" w:hAnsi="Times New Roman" w:cs="Times New Roman"/>
          <w:kern w:val="1"/>
          <w:sz w:val="24"/>
          <w:szCs w:val="24"/>
          <w:lang w:eastAsia="ar-SA"/>
        </w:rPr>
        <w:t>f</w:t>
      </w:r>
      <w:r w:rsidR="005F1EAD" w:rsidRPr="00CF0E64">
        <w:rPr>
          <w:rFonts w:ascii="Times New Roman" w:eastAsia="Arial Unicode MS" w:hAnsi="Times New Roman" w:cs="Times New Roman"/>
          <w:kern w:val="1"/>
          <w:sz w:val="24"/>
          <w:szCs w:val="24"/>
          <w:lang w:eastAsia="ar-SA"/>
        </w:rPr>
        <w:t>) zákona č. 359/2015</w:t>
      </w:r>
      <w:r w:rsidR="005178CC" w:rsidRPr="00CF0E64">
        <w:rPr>
          <w:rFonts w:ascii="Times New Roman" w:eastAsia="Arial Unicode MS" w:hAnsi="Times New Roman" w:cs="Times New Roman"/>
          <w:kern w:val="1"/>
          <w:sz w:val="24"/>
          <w:szCs w:val="24"/>
          <w:lang w:eastAsia="ar-SA"/>
        </w:rPr>
        <w:t xml:space="preserve"> Z. z.</w:t>
      </w:r>
      <w:r w:rsidR="005F1EAD" w:rsidRPr="00CF0E64">
        <w:rPr>
          <w:rFonts w:ascii="Times New Roman" w:eastAsia="Arial Unicode MS" w:hAnsi="Times New Roman" w:cs="Times New Roman"/>
          <w:kern w:val="1"/>
          <w:sz w:val="24"/>
          <w:szCs w:val="24"/>
          <w:lang w:eastAsia="ar-SA"/>
        </w:rPr>
        <w:t xml:space="preserve"> a subjektom je napr. obchodná spoločnosť, osobná obchodná spoločnosť, zverenecký fond, nadácia. </w:t>
      </w:r>
    </w:p>
    <w:p w14:paraId="6D35E211"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47E60855" w14:textId="3448B58F" w:rsidR="0048258B" w:rsidRPr="00CF0E64" w:rsidRDefault="00E416FA"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17 - § 8 ods. 2</w:t>
      </w:r>
    </w:p>
    <w:p w14:paraId="495CD0C0" w14:textId="62F82CA9" w:rsidR="00E416FA" w:rsidRPr="00CF0E64" w:rsidRDefault="00E416FA"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Upravuje a dopĺňa sa rozsah informácií, ktoré sú predmetom automatickej výmeny o finančných účtoch. V porovnaní s existujúcim rozsahom informácií sa dopĺňajú informácie o tom, či bolo poskytnuté platné čestné vyhlásenie, či je účet spoločným účtom, a ak je</w:t>
      </w:r>
      <w:r w:rsidR="00611981">
        <w:rPr>
          <w:rFonts w:ascii="Times New Roman" w:eastAsia="Arial Unicode MS" w:hAnsi="Times New Roman" w:cs="Times New Roman"/>
          <w:kern w:val="1"/>
          <w:sz w:val="24"/>
          <w:szCs w:val="24"/>
          <w:lang w:eastAsia="ar-SA"/>
        </w:rPr>
        <w:t xml:space="preserve">, </w:t>
      </w:r>
      <w:r w:rsidRPr="00CF0E64">
        <w:rPr>
          <w:rFonts w:ascii="Times New Roman" w:eastAsia="Arial Unicode MS" w:hAnsi="Times New Roman" w:cs="Times New Roman"/>
          <w:kern w:val="1"/>
          <w:sz w:val="24"/>
          <w:szCs w:val="24"/>
          <w:lang w:eastAsia="ar-SA"/>
        </w:rPr>
        <w:t>počet držiteľov finančného účtu a v prípade ovládajúcej osoby postavenie, na základe ktorého je ovládajúcou osobou (napr.</w:t>
      </w:r>
      <w:r w:rsidR="000C6D78" w:rsidRPr="00CF0E64">
        <w:rPr>
          <w:rFonts w:ascii="Times New Roman" w:eastAsia="Arial Unicode MS" w:hAnsi="Times New Roman" w:cs="Times New Roman"/>
          <w:kern w:val="1"/>
          <w:sz w:val="24"/>
          <w:szCs w:val="24"/>
          <w:lang w:eastAsia="ar-SA"/>
        </w:rPr>
        <w:t xml:space="preserve"> zriaďovateľ, správca, poručník)</w:t>
      </w:r>
      <w:r w:rsidRPr="00CF0E64">
        <w:rPr>
          <w:rFonts w:ascii="Times New Roman" w:eastAsia="Arial Unicode MS" w:hAnsi="Times New Roman" w:cs="Times New Roman"/>
          <w:kern w:val="1"/>
          <w:sz w:val="24"/>
          <w:szCs w:val="24"/>
          <w:lang w:eastAsia="ar-SA"/>
        </w:rPr>
        <w:t xml:space="preserve">. </w:t>
      </w:r>
      <w:r w:rsidR="00343350">
        <w:rPr>
          <w:rFonts w:ascii="Times New Roman" w:eastAsia="Arial Unicode MS" w:hAnsi="Times New Roman" w:cs="Times New Roman"/>
          <w:kern w:val="1"/>
          <w:sz w:val="24"/>
          <w:szCs w:val="24"/>
          <w:lang w:eastAsia="ar-SA"/>
        </w:rPr>
        <w:t>Bližšia špecifikácia ohľadom postavenia, na základe ktorého je osoba ovládajúcou osobou, bude obsiahnutá v </w:t>
      </w:r>
      <w:proofErr w:type="spellStart"/>
      <w:r w:rsidR="00343350">
        <w:rPr>
          <w:rFonts w:ascii="Times New Roman" w:eastAsia="Arial Unicode MS" w:hAnsi="Times New Roman" w:cs="Times New Roman"/>
          <w:kern w:val="1"/>
          <w:sz w:val="24"/>
          <w:szCs w:val="24"/>
          <w:lang w:eastAsia="ar-SA"/>
        </w:rPr>
        <w:t>xsd</w:t>
      </w:r>
      <w:proofErr w:type="spellEnd"/>
      <w:r w:rsidR="00343350">
        <w:rPr>
          <w:rFonts w:ascii="Times New Roman" w:eastAsia="Arial Unicode MS" w:hAnsi="Times New Roman" w:cs="Times New Roman"/>
          <w:kern w:val="1"/>
          <w:sz w:val="24"/>
          <w:szCs w:val="24"/>
          <w:lang w:eastAsia="ar-SA"/>
        </w:rPr>
        <w:t xml:space="preserve"> schéme pre účely automatickej výmeny o finančných účtoch, ako aj pre účely automatickej výmeny informácií o </w:t>
      </w:r>
      <w:proofErr w:type="spellStart"/>
      <w:r w:rsidR="00343350">
        <w:rPr>
          <w:rFonts w:ascii="Times New Roman" w:eastAsia="Arial Unicode MS" w:hAnsi="Times New Roman" w:cs="Times New Roman"/>
          <w:kern w:val="1"/>
          <w:sz w:val="24"/>
          <w:szCs w:val="24"/>
          <w:lang w:eastAsia="ar-SA"/>
        </w:rPr>
        <w:t>kryptoaktívach</w:t>
      </w:r>
      <w:proofErr w:type="spellEnd"/>
      <w:r w:rsidR="00343350">
        <w:rPr>
          <w:rFonts w:ascii="Times New Roman" w:eastAsia="Arial Unicode MS" w:hAnsi="Times New Roman" w:cs="Times New Roman"/>
          <w:kern w:val="1"/>
          <w:sz w:val="24"/>
          <w:szCs w:val="24"/>
          <w:lang w:eastAsia="ar-SA"/>
        </w:rPr>
        <w:t xml:space="preserve">. </w:t>
      </w:r>
    </w:p>
    <w:p w14:paraId="039380BC" w14:textId="77777777" w:rsidR="003B68A9" w:rsidRPr="00CF0E64" w:rsidRDefault="003B68A9" w:rsidP="003B68A9">
      <w:pPr>
        <w:spacing w:after="0" w:line="252" w:lineRule="auto"/>
        <w:jc w:val="both"/>
        <w:rPr>
          <w:rFonts w:ascii="Times New Roman" w:eastAsia="Arial Unicode MS" w:hAnsi="Times New Roman" w:cs="Times New Roman"/>
          <w:b/>
          <w:kern w:val="1"/>
          <w:sz w:val="24"/>
          <w:szCs w:val="24"/>
          <w:u w:val="single"/>
          <w:lang w:eastAsia="ar-SA"/>
        </w:rPr>
      </w:pPr>
    </w:p>
    <w:p w14:paraId="5F17EFB2" w14:textId="518201FF" w:rsidR="00E416FA" w:rsidRPr="00CF0E64" w:rsidRDefault="00E416FA"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18 - § 9 ods. 1 písm. c)</w:t>
      </w:r>
    </w:p>
    <w:p w14:paraId="62869717" w14:textId="4CBE71C1" w:rsidR="00E416FA" w:rsidRPr="00CF0E64" w:rsidRDefault="00E416FA"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V rámci informácií, ktoré sa vyžadujú pri oznamovacej povinnosti, sa pri čísle finančného účtu alebo jeho funkčnom ekvivalente vyžaduje uvedenie aj druhu účtu a skutočnosť, či ide o existujúci účet alebo nový účet. </w:t>
      </w:r>
    </w:p>
    <w:p w14:paraId="411EE190"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2EBEAC14" w14:textId="69D6D17F" w:rsidR="00E416FA" w:rsidRPr="00CF0E64" w:rsidRDefault="00E416FA"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 xml:space="preserve">K bodu 19 - § 9 ods. 1 </w:t>
      </w:r>
      <w:r w:rsidR="00067DF9" w:rsidRPr="00CF0E64">
        <w:rPr>
          <w:rFonts w:ascii="Times New Roman" w:eastAsia="Arial Unicode MS" w:hAnsi="Times New Roman" w:cs="Times New Roman"/>
          <w:b/>
          <w:kern w:val="1"/>
          <w:sz w:val="24"/>
          <w:szCs w:val="24"/>
          <w:u w:val="single"/>
          <w:lang w:eastAsia="ar-SA"/>
        </w:rPr>
        <w:t>písm. g)</w:t>
      </w:r>
    </w:p>
    <w:p w14:paraId="574474A4" w14:textId="58C03318" w:rsidR="00E416FA" w:rsidRPr="00CF0E64" w:rsidRDefault="00E416FA"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Nadväzne na doplnenie spoločného štandardu (CRS) a smernicu (EÚ) 2023/2226 sa </w:t>
      </w:r>
      <w:r w:rsidR="00684953" w:rsidRPr="00CF0E64">
        <w:rPr>
          <w:rFonts w:ascii="Times New Roman" w:eastAsia="Arial Unicode MS" w:hAnsi="Times New Roman" w:cs="Times New Roman"/>
          <w:kern w:val="1"/>
          <w:sz w:val="24"/>
          <w:szCs w:val="24"/>
          <w:lang w:eastAsia="ar-SA"/>
        </w:rPr>
        <w:t xml:space="preserve">do rozsahu vyžadovaných informácií v rámci oznamovacej povinnosti dopĺňa, že pri majetkovom podiele držanom v investičnom subjekte, ktorý je právnym usporiadaním, sa oznamuje aj informácia o postavení, na základe ktorého je osoba podliehajúca oznamovaniu držiteľom majetkového podielu. </w:t>
      </w:r>
    </w:p>
    <w:p w14:paraId="6074FB21"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00F3099F" w14:textId="331C13ED" w:rsidR="00E416FA" w:rsidRPr="00CF0E64" w:rsidRDefault="00684953"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20 - § 9 ods. 4</w:t>
      </w:r>
    </w:p>
    <w:p w14:paraId="573548D5" w14:textId="02D311E9" w:rsidR="00684953" w:rsidRPr="00CF0E64" w:rsidRDefault="00684953"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Na základe skúseností z aplikačnej praxe sa vyžaduje, aby v prípade ukončenia činnosti alebo zániku oznamujúcej finančnej inštitúcie počas oznamovacieho obdobia boli informácie, ktoré sú predmetom oznamovacej činnosti, oznámené </w:t>
      </w:r>
      <w:r w:rsidR="0070081D" w:rsidRPr="00CF0E64">
        <w:rPr>
          <w:rFonts w:ascii="Times New Roman" w:eastAsia="Arial Unicode MS" w:hAnsi="Times New Roman" w:cs="Times New Roman"/>
          <w:kern w:val="1"/>
          <w:sz w:val="24"/>
          <w:szCs w:val="24"/>
          <w:lang w:eastAsia="ar-SA"/>
        </w:rPr>
        <w:t>ešte pred ukončením činnosti oznamujúcej finančnej inštitúcie alebo jej zánikom. Cieľom úpravy je zabezpečiť splnenie oznamovac</w:t>
      </w:r>
      <w:r w:rsidR="008E6703" w:rsidRPr="00CF0E64">
        <w:rPr>
          <w:rFonts w:ascii="Times New Roman" w:eastAsia="Arial Unicode MS" w:hAnsi="Times New Roman" w:cs="Times New Roman"/>
          <w:kern w:val="1"/>
          <w:sz w:val="24"/>
          <w:szCs w:val="24"/>
          <w:lang w:eastAsia="ar-SA"/>
        </w:rPr>
        <w:t xml:space="preserve">ej povinnosti. </w:t>
      </w:r>
    </w:p>
    <w:p w14:paraId="7662C0DA"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589F786C" w14:textId="4CEA88AC" w:rsidR="008E6703" w:rsidRPr="00CF0E64" w:rsidRDefault="008E6703"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21 - § 9 ods. 5</w:t>
      </w:r>
    </w:p>
    <w:p w14:paraId="5C8A0639" w14:textId="1951F4BC" w:rsidR="008E6703" w:rsidRPr="00CF0E64" w:rsidRDefault="008E6703"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Ide o úpravu zabezpečujúcu oznámenie informácií v</w:t>
      </w:r>
      <w:r w:rsidR="005044BE" w:rsidRPr="00CF0E64">
        <w:rPr>
          <w:rFonts w:ascii="Times New Roman" w:eastAsia="Arial Unicode MS" w:hAnsi="Times New Roman" w:cs="Times New Roman"/>
          <w:kern w:val="1"/>
          <w:sz w:val="24"/>
          <w:szCs w:val="24"/>
          <w:lang w:eastAsia="ar-SA"/>
        </w:rPr>
        <w:t> </w:t>
      </w:r>
      <w:r w:rsidRPr="00CF0E64">
        <w:rPr>
          <w:rFonts w:ascii="Times New Roman" w:eastAsia="Arial Unicode MS" w:hAnsi="Times New Roman" w:cs="Times New Roman"/>
          <w:kern w:val="1"/>
          <w:sz w:val="24"/>
          <w:szCs w:val="24"/>
          <w:lang w:eastAsia="ar-SA"/>
        </w:rPr>
        <w:t>prípade</w:t>
      </w:r>
      <w:r w:rsidR="005044BE" w:rsidRPr="00CF0E64">
        <w:rPr>
          <w:rFonts w:ascii="Times New Roman" w:eastAsia="Arial Unicode MS" w:hAnsi="Times New Roman" w:cs="Times New Roman"/>
          <w:kern w:val="1"/>
          <w:sz w:val="24"/>
          <w:szCs w:val="24"/>
          <w:lang w:eastAsia="ar-SA"/>
        </w:rPr>
        <w:t xml:space="preserve"> hrubých výnosov z</w:t>
      </w:r>
      <w:r w:rsidRPr="00CF0E64">
        <w:rPr>
          <w:rFonts w:ascii="Times New Roman" w:eastAsia="Arial Unicode MS" w:hAnsi="Times New Roman" w:cs="Times New Roman"/>
          <w:kern w:val="1"/>
          <w:sz w:val="24"/>
          <w:szCs w:val="24"/>
          <w:lang w:eastAsia="ar-SA"/>
        </w:rPr>
        <w:t xml:space="preserve"> predaja aleb</w:t>
      </w:r>
      <w:r w:rsidR="005044BE" w:rsidRPr="00CF0E64">
        <w:rPr>
          <w:rFonts w:ascii="Times New Roman" w:eastAsia="Arial Unicode MS" w:hAnsi="Times New Roman" w:cs="Times New Roman"/>
          <w:kern w:val="1"/>
          <w:sz w:val="24"/>
          <w:szCs w:val="24"/>
          <w:lang w:eastAsia="ar-SA"/>
        </w:rPr>
        <w:t xml:space="preserve">o vyplatenia finančného aktíva, keďže v takejto situácii dochádza k prieniku medzi štandardom oznamovania (CRS) a medzinárodným rámcom oznamovania </w:t>
      </w:r>
      <w:proofErr w:type="spellStart"/>
      <w:r w:rsidR="005044BE" w:rsidRPr="00CF0E64">
        <w:rPr>
          <w:rFonts w:ascii="Times New Roman" w:eastAsia="Arial Unicode MS" w:hAnsi="Times New Roman" w:cs="Times New Roman"/>
          <w:kern w:val="1"/>
          <w:sz w:val="24"/>
          <w:szCs w:val="24"/>
          <w:lang w:eastAsia="ar-SA"/>
        </w:rPr>
        <w:t>kryptoaktív</w:t>
      </w:r>
      <w:proofErr w:type="spellEnd"/>
      <w:r w:rsidR="005044BE" w:rsidRPr="00CF0E64">
        <w:rPr>
          <w:rFonts w:ascii="Times New Roman" w:eastAsia="Arial Unicode MS" w:hAnsi="Times New Roman" w:cs="Times New Roman"/>
          <w:kern w:val="1"/>
          <w:sz w:val="24"/>
          <w:szCs w:val="24"/>
          <w:lang w:eastAsia="ar-SA"/>
        </w:rPr>
        <w:t xml:space="preserve"> (CARF). Stanovuje sa, že oznamujúca finančná inštitúcia nie je povinná oznamovať hrubé výnosy z predaja alebo vyplatenia finančného aktíva v rámci automatickej výmeny informácií o finančných účtoch, pokiaľ takéto hrubé príjmy oznámi podľa rámca pre automatickú výmenu informácií o </w:t>
      </w:r>
      <w:proofErr w:type="spellStart"/>
      <w:r w:rsidR="005044BE" w:rsidRPr="00CF0E64">
        <w:rPr>
          <w:rFonts w:ascii="Times New Roman" w:eastAsia="Arial Unicode MS" w:hAnsi="Times New Roman" w:cs="Times New Roman"/>
          <w:kern w:val="1"/>
          <w:sz w:val="24"/>
          <w:szCs w:val="24"/>
          <w:lang w:eastAsia="ar-SA"/>
        </w:rPr>
        <w:t>kryptoaktívach</w:t>
      </w:r>
      <w:proofErr w:type="spellEnd"/>
      <w:r w:rsidR="005044BE" w:rsidRPr="00CF0E64">
        <w:rPr>
          <w:rFonts w:ascii="Times New Roman" w:eastAsia="Arial Unicode MS" w:hAnsi="Times New Roman" w:cs="Times New Roman"/>
          <w:kern w:val="1"/>
          <w:sz w:val="24"/>
          <w:szCs w:val="24"/>
          <w:lang w:eastAsia="ar-SA"/>
        </w:rPr>
        <w:t xml:space="preserve"> v súlade s § 15h ods. 9 tohto zákona. </w:t>
      </w:r>
      <w:r w:rsidR="002D2DCA">
        <w:rPr>
          <w:rFonts w:ascii="Times New Roman" w:eastAsia="Arial Unicode MS" w:hAnsi="Times New Roman" w:cs="Times New Roman"/>
          <w:kern w:val="1"/>
          <w:sz w:val="24"/>
          <w:szCs w:val="24"/>
          <w:lang w:eastAsia="ar-SA"/>
        </w:rPr>
        <w:t>Túto skutočnosť oznámi príslušnému orgánu Slovenskej republiky v rámci oznamovaných informácií podľa § 9 odsekov 1 a 2.</w:t>
      </w:r>
    </w:p>
    <w:p w14:paraId="5CCE5732"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1A13030A" w14:textId="1859443A" w:rsidR="008E6703" w:rsidRPr="00CF0E64" w:rsidRDefault="00D755DB"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22 - § 11 ods. 3</w:t>
      </w:r>
    </w:p>
    <w:p w14:paraId="339B1B8B" w14:textId="72F3F7B9" w:rsidR="00D755DB" w:rsidRPr="00CF0E64" w:rsidRDefault="00D755DB"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Spresňuje sa, že povinnosť oznámenia prideleného identifikačného čísla príslušnému orgánu Slovenskej republiky podľa dohody FATCA sa vzťahuje na neoznamujúcu finančnú inštitúciu, ktorá vedie účet oznamovaný Spojeným štátom americkým. Spresnením sa znižuje administratívna záťaž pre neoznamujúce finančné inštitúcie, ktoré nevedú účty, ktoré sú predmetom oznamovania príslušnému orgánu Spojených štátov amerických. </w:t>
      </w:r>
    </w:p>
    <w:p w14:paraId="147356E4"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0F4125F1" w14:textId="2BDB42AC" w:rsidR="00D755DB" w:rsidRPr="00CF0E64" w:rsidRDefault="00D755DB"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bodom 23 - § 11 ods. 4</w:t>
      </w:r>
    </w:p>
    <w:p w14:paraId="47FBD5BC" w14:textId="27D924D9" w:rsidR="00D755DB" w:rsidRPr="00CF0E64" w:rsidRDefault="00D755DB"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Ustanoveniami sa spresňuje postup pri zániku alebo ukončení činnosti oznamujúcej finančnej inštitúcie, ktorým sa zabezpečuje splnenie oznamovacej povinnosti vo vzťahu k dohode FATCA. </w:t>
      </w:r>
      <w:r w:rsidR="009C304C" w:rsidRPr="00CF0E64">
        <w:rPr>
          <w:rFonts w:ascii="Times New Roman" w:eastAsia="Arial Unicode MS" w:hAnsi="Times New Roman" w:cs="Times New Roman"/>
          <w:kern w:val="1"/>
          <w:sz w:val="24"/>
          <w:szCs w:val="24"/>
          <w:lang w:eastAsia="ar-SA"/>
        </w:rPr>
        <w:t xml:space="preserve">Úpravy vyplynuli z doterajších skúseností z aplikačnej praxe. </w:t>
      </w:r>
    </w:p>
    <w:p w14:paraId="50675F44"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4E4263C9" w14:textId="15998BF1" w:rsidR="009C304C" w:rsidRPr="00CF0E64" w:rsidRDefault="00CB0EDC"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2</w:t>
      </w:r>
      <w:r w:rsidR="00247C05" w:rsidRPr="00CF0E64">
        <w:rPr>
          <w:rFonts w:ascii="Times New Roman" w:eastAsia="Arial Unicode MS" w:hAnsi="Times New Roman" w:cs="Times New Roman"/>
          <w:b/>
          <w:kern w:val="1"/>
          <w:sz w:val="24"/>
          <w:szCs w:val="24"/>
          <w:u w:val="single"/>
          <w:lang w:eastAsia="ar-SA"/>
        </w:rPr>
        <w:t>4</w:t>
      </w:r>
      <w:r w:rsidRPr="00CF0E64">
        <w:rPr>
          <w:rFonts w:ascii="Times New Roman" w:eastAsia="Arial Unicode MS" w:hAnsi="Times New Roman" w:cs="Times New Roman"/>
          <w:b/>
          <w:kern w:val="1"/>
          <w:sz w:val="24"/>
          <w:szCs w:val="24"/>
          <w:u w:val="single"/>
          <w:lang w:eastAsia="ar-SA"/>
        </w:rPr>
        <w:t xml:space="preserve"> - § 14 ods. 5</w:t>
      </w:r>
    </w:p>
    <w:p w14:paraId="4DA37AF3" w14:textId="28BE83A7" w:rsidR="00CB0EDC" w:rsidRPr="00CF0E64" w:rsidRDefault="0018112C"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Na základe skúseností z aplikačnej praxe sa spresňuje oznamovacia povinnosť pre slovenskú neoznamujúcu finančnú inštitúciu, ktorá má pridelené identifikačné číslo podľa dohody FATCA. </w:t>
      </w:r>
    </w:p>
    <w:p w14:paraId="2FCD703E"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253537DA" w14:textId="3E9A4CA8" w:rsidR="00D755DB" w:rsidRPr="00CF0E64" w:rsidRDefault="0018112C"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2</w:t>
      </w:r>
      <w:r w:rsidR="00247C05" w:rsidRPr="00CF0E64">
        <w:rPr>
          <w:rFonts w:ascii="Times New Roman" w:eastAsia="Arial Unicode MS" w:hAnsi="Times New Roman" w:cs="Times New Roman"/>
          <w:b/>
          <w:kern w:val="1"/>
          <w:sz w:val="24"/>
          <w:szCs w:val="24"/>
          <w:u w:val="single"/>
          <w:lang w:eastAsia="ar-SA"/>
        </w:rPr>
        <w:t>5</w:t>
      </w:r>
      <w:r w:rsidRPr="00CF0E64">
        <w:rPr>
          <w:rFonts w:ascii="Times New Roman" w:eastAsia="Arial Unicode MS" w:hAnsi="Times New Roman" w:cs="Times New Roman"/>
          <w:b/>
          <w:kern w:val="1"/>
          <w:sz w:val="24"/>
          <w:szCs w:val="24"/>
          <w:u w:val="single"/>
          <w:lang w:eastAsia="ar-SA"/>
        </w:rPr>
        <w:t xml:space="preserve"> - § 14 ods. 6</w:t>
      </w:r>
    </w:p>
    <w:p w14:paraId="06E22ACB" w14:textId="7757B471" w:rsidR="0018112C" w:rsidRPr="00CF0E64" w:rsidRDefault="0018112C"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Na základe skúseností z aplikačnej praxe sa vyžaduje, aby v prípade ukončenia činnosti alebo zániku slovenskej oznamujúcej finančnej inštitúcie počas oznamovacieho obdobia boli informácie, ktoré sú predmetom oznamovacej činnosti, oznámené ešte pred ukončením činnosti oznamujúcej finančnej inštitúcie alebo jej zánikom. Cieľom úpravy je zabezpečiť splnenie oznamovacej povinnosti podľa dohody FATCA. </w:t>
      </w:r>
    </w:p>
    <w:p w14:paraId="7AB23C8C"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3E927D74" w14:textId="407B9409" w:rsidR="0018112C" w:rsidRPr="00CF0E64" w:rsidRDefault="00121DC2"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2</w:t>
      </w:r>
      <w:r w:rsidR="00247C05" w:rsidRPr="00CF0E64">
        <w:rPr>
          <w:rFonts w:ascii="Times New Roman" w:eastAsia="Arial Unicode MS" w:hAnsi="Times New Roman" w:cs="Times New Roman"/>
          <w:b/>
          <w:kern w:val="1"/>
          <w:sz w:val="24"/>
          <w:szCs w:val="24"/>
          <w:u w:val="single"/>
          <w:lang w:eastAsia="ar-SA"/>
        </w:rPr>
        <w:t>6</w:t>
      </w:r>
      <w:r w:rsidRPr="00CF0E64">
        <w:rPr>
          <w:rFonts w:ascii="Times New Roman" w:eastAsia="Arial Unicode MS" w:hAnsi="Times New Roman" w:cs="Times New Roman"/>
          <w:b/>
          <w:kern w:val="1"/>
          <w:sz w:val="24"/>
          <w:szCs w:val="24"/>
          <w:u w:val="single"/>
          <w:lang w:eastAsia="ar-SA"/>
        </w:rPr>
        <w:t xml:space="preserve"> - § 15a až § 15j</w:t>
      </w:r>
    </w:p>
    <w:p w14:paraId="2EA267E5" w14:textId="5307E3BB" w:rsidR="007B0B55" w:rsidRPr="00CF0E64" w:rsidRDefault="007B0B55"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Do zákona sa dopĺňajú ustanovenia ohľadom automatickej výmeny informácií o</w:t>
      </w:r>
      <w:r w:rsidR="00AA52A3" w:rsidRPr="00CF0E64">
        <w:rPr>
          <w:rFonts w:ascii="Times New Roman" w:hAnsi="Times New Roman" w:cs="Times New Roman"/>
          <w:sz w:val="24"/>
          <w:szCs w:val="24"/>
        </w:rPr>
        <w:t> </w:t>
      </w:r>
      <w:proofErr w:type="spellStart"/>
      <w:r w:rsidR="00AA52A3" w:rsidRPr="00CF0E64">
        <w:rPr>
          <w:rFonts w:ascii="Times New Roman" w:hAnsi="Times New Roman" w:cs="Times New Roman"/>
          <w:sz w:val="24"/>
          <w:szCs w:val="24"/>
        </w:rPr>
        <w:t>kryptoaktívach</w:t>
      </w:r>
      <w:proofErr w:type="spellEnd"/>
      <w:r w:rsidR="00AA52A3" w:rsidRPr="00CF0E64">
        <w:rPr>
          <w:rFonts w:ascii="Times New Roman" w:hAnsi="Times New Roman" w:cs="Times New Roman"/>
          <w:sz w:val="24"/>
          <w:szCs w:val="24"/>
        </w:rPr>
        <w:t>, ktorá sa bude uskutočňovať medzi príslušným orgánom Slovenskej republiky a príslušnými orgánmi členských štátov EÚ a príslušnými orgánmi zmluvných štátov na základe medzin</w:t>
      </w:r>
      <w:r w:rsidR="00163443" w:rsidRPr="00CF0E64">
        <w:rPr>
          <w:rFonts w:ascii="Times New Roman" w:hAnsi="Times New Roman" w:cs="Times New Roman"/>
          <w:sz w:val="24"/>
          <w:szCs w:val="24"/>
        </w:rPr>
        <w:t>árodnej dohody (Multilaterálnej dohody príslušných orgánov pre účely automatickej výmeny informácií o </w:t>
      </w:r>
      <w:proofErr w:type="spellStart"/>
      <w:r w:rsidR="00163443" w:rsidRPr="00CF0E64">
        <w:rPr>
          <w:rFonts w:ascii="Times New Roman" w:hAnsi="Times New Roman" w:cs="Times New Roman"/>
          <w:sz w:val="24"/>
          <w:szCs w:val="24"/>
        </w:rPr>
        <w:t>kryptoaktívach</w:t>
      </w:r>
      <w:proofErr w:type="spellEnd"/>
      <w:r w:rsidR="00163443" w:rsidRPr="00CF0E64">
        <w:rPr>
          <w:rFonts w:ascii="Times New Roman" w:hAnsi="Times New Roman" w:cs="Times New Roman"/>
          <w:sz w:val="24"/>
          <w:szCs w:val="24"/>
        </w:rPr>
        <w:t xml:space="preserve"> (tzv. CARF MC</w:t>
      </w:r>
      <w:r w:rsidR="00130446" w:rsidRPr="00CF0E64">
        <w:rPr>
          <w:rFonts w:ascii="Times New Roman" w:hAnsi="Times New Roman" w:cs="Times New Roman"/>
          <w:sz w:val="24"/>
          <w:szCs w:val="24"/>
        </w:rPr>
        <w:t>AA)</w:t>
      </w:r>
      <w:r w:rsidR="00B40345" w:rsidRPr="00CF0E64">
        <w:rPr>
          <w:rFonts w:ascii="Times New Roman" w:hAnsi="Times New Roman" w:cs="Times New Roman"/>
          <w:sz w:val="24"/>
          <w:szCs w:val="24"/>
        </w:rPr>
        <w:t>)</w:t>
      </w:r>
      <w:r w:rsidR="00130446" w:rsidRPr="00CF0E64">
        <w:rPr>
          <w:rFonts w:ascii="Times New Roman" w:hAnsi="Times New Roman" w:cs="Times New Roman"/>
          <w:sz w:val="24"/>
          <w:szCs w:val="24"/>
        </w:rPr>
        <w:t>.</w:t>
      </w:r>
      <w:r w:rsidR="000C6D78" w:rsidRPr="00CF0E64">
        <w:rPr>
          <w:rFonts w:ascii="Times New Roman" w:hAnsi="Times New Roman" w:cs="Times New Roman"/>
          <w:sz w:val="24"/>
          <w:szCs w:val="24"/>
        </w:rPr>
        <w:t xml:space="preserve"> </w:t>
      </w:r>
      <w:r w:rsidR="009817E2" w:rsidRPr="00CF0E64">
        <w:rPr>
          <w:rFonts w:ascii="Times New Roman" w:hAnsi="Times New Roman" w:cs="Times New Roman"/>
          <w:sz w:val="24"/>
          <w:szCs w:val="24"/>
        </w:rPr>
        <w:t xml:space="preserve">Osoby, na ktoré sa budú vzťahovať oznamovacie povinnosti, sú oznamujúci poskytovatelia služieb </w:t>
      </w:r>
      <w:proofErr w:type="spellStart"/>
      <w:r w:rsidR="009817E2" w:rsidRPr="00CF0E64">
        <w:rPr>
          <w:rFonts w:ascii="Times New Roman" w:hAnsi="Times New Roman" w:cs="Times New Roman"/>
          <w:sz w:val="24"/>
          <w:szCs w:val="24"/>
        </w:rPr>
        <w:t>kryptoaktív</w:t>
      </w:r>
      <w:proofErr w:type="spellEnd"/>
      <w:r w:rsidR="009817E2" w:rsidRPr="00CF0E64">
        <w:rPr>
          <w:rFonts w:ascii="Times New Roman" w:hAnsi="Times New Roman" w:cs="Times New Roman"/>
          <w:sz w:val="24"/>
          <w:szCs w:val="24"/>
        </w:rPr>
        <w:t xml:space="preserve">. Zavádza sa </w:t>
      </w:r>
      <w:r w:rsidR="00542C80" w:rsidRPr="00CF0E64">
        <w:rPr>
          <w:rFonts w:ascii="Times New Roman" w:hAnsi="Times New Roman" w:cs="Times New Roman"/>
          <w:sz w:val="24"/>
          <w:szCs w:val="24"/>
        </w:rPr>
        <w:t xml:space="preserve">pre nich </w:t>
      </w:r>
      <w:r w:rsidR="009817E2" w:rsidRPr="00CF0E64">
        <w:rPr>
          <w:rFonts w:ascii="Times New Roman" w:hAnsi="Times New Roman" w:cs="Times New Roman"/>
          <w:sz w:val="24"/>
          <w:szCs w:val="24"/>
        </w:rPr>
        <w:t>povinnosť každoročne v stanovej lehote oznamovať súhrnné informácie týkajúce sa používateľo</w:t>
      </w:r>
      <w:r w:rsidR="00B40345" w:rsidRPr="00CF0E64">
        <w:rPr>
          <w:rFonts w:ascii="Times New Roman" w:hAnsi="Times New Roman" w:cs="Times New Roman"/>
          <w:sz w:val="24"/>
          <w:szCs w:val="24"/>
        </w:rPr>
        <w:t>v</w:t>
      </w:r>
      <w:r w:rsidR="009817E2" w:rsidRPr="00CF0E64">
        <w:rPr>
          <w:rFonts w:ascii="Times New Roman" w:hAnsi="Times New Roman" w:cs="Times New Roman"/>
          <w:sz w:val="24"/>
          <w:szCs w:val="24"/>
        </w:rPr>
        <w:t xml:space="preserve"> </w:t>
      </w:r>
      <w:proofErr w:type="spellStart"/>
      <w:r w:rsidR="009817E2" w:rsidRPr="00CF0E64">
        <w:rPr>
          <w:rFonts w:ascii="Times New Roman" w:hAnsi="Times New Roman" w:cs="Times New Roman"/>
          <w:sz w:val="24"/>
          <w:szCs w:val="24"/>
        </w:rPr>
        <w:t>kryptoaktív</w:t>
      </w:r>
      <w:proofErr w:type="spellEnd"/>
      <w:r w:rsidR="009817E2" w:rsidRPr="00CF0E64">
        <w:rPr>
          <w:rFonts w:ascii="Times New Roman" w:hAnsi="Times New Roman" w:cs="Times New Roman"/>
          <w:sz w:val="24"/>
          <w:szCs w:val="24"/>
        </w:rPr>
        <w:t xml:space="preserve"> a transakcií, ktoré pre používateľov uskutočnili. </w:t>
      </w:r>
    </w:p>
    <w:p w14:paraId="70B86229" w14:textId="77777777" w:rsidR="003B68A9" w:rsidRPr="00CF0E64" w:rsidRDefault="003B68A9" w:rsidP="003B68A9">
      <w:pPr>
        <w:spacing w:after="0" w:line="252" w:lineRule="auto"/>
        <w:jc w:val="both"/>
        <w:rPr>
          <w:rFonts w:ascii="Times New Roman" w:hAnsi="Times New Roman" w:cs="Times New Roman"/>
          <w:sz w:val="24"/>
          <w:szCs w:val="24"/>
        </w:rPr>
      </w:pPr>
    </w:p>
    <w:p w14:paraId="6AFA62D4" w14:textId="3A0AC737" w:rsidR="007B0B55" w:rsidRPr="00CF0E64" w:rsidRDefault="007B0B55" w:rsidP="003B68A9">
      <w:pPr>
        <w:spacing w:after="0" w:line="252" w:lineRule="auto"/>
        <w:jc w:val="both"/>
        <w:rPr>
          <w:rFonts w:ascii="Times New Roman" w:hAnsi="Times New Roman" w:cs="Times New Roman"/>
          <w:b/>
          <w:sz w:val="24"/>
          <w:szCs w:val="24"/>
        </w:rPr>
      </w:pPr>
      <w:r w:rsidRPr="00CF0E64">
        <w:rPr>
          <w:rFonts w:ascii="Times New Roman" w:hAnsi="Times New Roman" w:cs="Times New Roman"/>
          <w:b/>
          <w:sz w:val="24"/>
          <w:szCs w:val="24"/>
        </w:rPr>
        <w:t xml:space="preserve">§ 15a </w:t>
      </w:r>
    </w:p>
    <w:p w14:paraId="013B18A0" w14:textId="49E87662" w:rsidR="007B0B55" w:rsidRPr="00CF0E64" w:rsidRDefault="007B0B55"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lastRenderedPageBreak/>
        <w:t>Predmetné ustanovenie obsahuje v jednotlivých písmenách a) až i) definície pojmov používaných v oblasti automatickej výmeny informácií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w:t>
      </w:r>
      <w:r w:rsidR="000C6D78" w:rsidRPr="00CF0E64">
        <w:rPr>
          <w:rFonts w:ascii="Times New Roman" w:hAnsi="Times New Roman" w:cs="Times New Roman"/>
          <w:sz w:val="24"/>
          <w:szCs w:val="24"/>
        </w:rPr>
        <w:t xml:space="preserve"> </w:t>
      </w:r>
      <w:r w:rsidR="009817E2" w:rsidRPr="00CF0E64">
        <w:rPr>
          <w:rFonts w:ascii="Times New Roman" w:hAnsi="Times New Roman" w:cs="Times New Roman"/>
          <w:sz w:val="24"/>
          <w:szCs w:val="24"/>
        </w:rPr>
        <w:t xml:space="preserve">Definície v rámci smernice (EÚ) 2023/2226 odkazujú na definície upravené v nariadení (EÚ) 2223/1114. </w:t>
      </w:r>
    </w:p>
    <w:p w14:paraId="761277FF" w14:textId="77777777" w:rsidR="003B68A9" w:rsidRPr="00CF0E64" w:rsidRDefault="003B68A9" w:rsidP="003B68A9">
      <w:pPr>
        <w:spacing w:after="0" w:line="252" w:lineRule="auto"/>
        <w:jc w:val="both"/>
        <w:rPr>
          <w:rFonts w:ascii="Times New Roman" w:hAnsi="Times New Roman" w:cs="Times New Roman"/>
          <w:sz w:val="24"/>
          <w:szCs w:val="24"/>
        </w:rPr>
      </w:pPr>
    </w:p>
    <w:p w14:paraId="3D8967C2" w14:textId="0C2EE544" w:rsidR="00121DC2" w:rsidRPr="00CF0E64" w:rsidRDefault="007B0B55"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Písm. a)</w:t>
      </w:r>
    </w:p>
    <w:p w14:paraId="02D2A818" w14:textId="27DE7B20" w:rsidR="009817E2" w:rsidRPr="00CF0E64" w:rsidRDefault="009817E2"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Definuje sa pojem „poskytovateľ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ktorým je poskytovateľ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podľa čl. 3 ods. 1 bod 15 nariadenia (EÚ) 2023/1114. </w:t>
      </w:r>
      <w:r w:rsidR="00542C80" w:rsidRPr="00CF0E64">
        <w:rPr>
          <w:rFonts w:ascii="Times New Roman" w:eastAsia="Arial Unicode MS" w:hAnsi="Times New Roman" w:cs="Times New Roman"/>
          <w:kern w:val="1"/>
          <w:sz w:val="24"/>
          <w:szCs w:val="24"/>
          <w:lang w:eastAsia="ar-SA"/>
        </w:rPr>
        <w:t xml:space="preserve">Ide o právnickú osobu alebo </w:t>
      </w:r>
    </w:p>
    <w:p w14:paraId="2C7C1C4C" w14:textId="3D926F24" w:rsidR="00542C80" w:rsidRPr="00CF0E64" w:rsidRDefault="00542C80"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iný podnik, ktorého povolanie alebo podnikateľská činnosť spočíva v poskytovaní jednej alebo viacerých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klientom na profesionálnom základe a ktorý má povolenie poskytovať služby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v súlade s článkom 59 predmetného nariadenia EÚ. Poskytovanie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je v zmysle nariadenia (EÚ) 2023/2226 možné len na základe </w:t>
      </w:r>
      <w:r w:rsidR="00462FA3" w:rsidRPr="00CF0E64">
        <w:rPr>
          <w:rFonts w:ascii="Times New Roman" w:eastAsia="Arial Unicode MS" w:hAnsi="Times New Roman" w:cs="Times New Roman"/>
          <w:kern w:val="1"/>
          <w:sz w:val="24"/>
          <w:szCs w:val="24"/>
          <w:lang w:eastAsia="ar-SA"/>
        </w:rPr>
        <w:t xml:space="preserve">takéhoto </w:t>
      </w:r>
      <w:r w:rsidRPr="00CF0E64">
        <w:rPr>
          <w:rFonts w:ascii="Times New Roman" w:eastAsia="Arial Unicode MS" w:hAnsi="Times New Roman" w:cs="Times New Roman"/>
          <w:kern w:val="1"/>
          <w:sz w:val="24"/>
          <w:szCs w:val="24"/>
          <w:lang w:eastAsia="ar-SA"/>
        </w:rPr>
        <w:t>povolenia vydaného príslušným orgánom pre</w:t>
      </w:r>
      <w:r w:rsidR="004C5F5C" w:rsidRPr="00CF0E64">
        <w:rPr>
          <w:rFonts w:ascii="Times New Roman" w:eastAsia="Arial Unicode MS" w:hAnsi="Times New Roman" w:cs="Times New Roman"/>
          <w:kern w:val="1"/>
          <w:sz w:val="24"/>
          <w:szCs w:val="24"/>
          <w:lang w:eastAsia="ar-SA"/>
        </w:rPr>
        <w:t xml:space="preserve"> účely</w:t>
      </w:r>
      <w:r w:rsidRPr="00CF0E64">
        <w:rPr>
          <w:rFonts w:ascii="Times New Roman" w:eastAsia="Arial Unicode MS" w:hAnsi="Times New Roman" w:cs="Times New Roman"/>
          <w:kern w:val="1"/>
          <w:sz w:val="24"/>
          <w:szCs w:val="24"/>
          <w:lang w:eastAsia="ar-SA"/>
        </w:rPr>
        <w:t xml:space="preserve"> nariadeni</w:t>
      </w:r>
      <w:r w:rsidR="004C5F5C" w:rsidRPr="00CF0E64">
        <w:rPr>
          <w:rFonts w:ascii="Times New Roman" w:eastAsia="Arial Unicode MS" w:hAnsi="Times New Roman" w:cs="Times New Roman"/>
          <w:kern w:val="1"/>
          <w:sz w:val="24"/>
          <w:szCs w:val="24"/>
          <w:lang w:eastAsia="ar-SA"/>
        </w:rPr>
        <w:t>a</w:t>
      </w:r>
      <w:r w:rsidRPr="00CF0E64">
        <w:rPr>
          <w:rFonts w:ascii="Times New Roman" w:eastAsia="Arial Unicode MS" w:hAnsi="Times New Roman" w:cs="Times New Roman"/>
          <w:kern w:val="1"/>
          <w:sz w:val="24"/>
          <w:szCs w:val="24"/>
          <w:lang w:eastAsia="ar-SA"/>
        </w:rPr>
        <w:t xml:space="preserve"> (EÚ) 2023/1114 (v Slovenskej republike Národnou bankou Slovenska) alebo na základe oznámenia </w:t>
      </w:r>
      <w:r w:rsidR="004C5F5C" w:rsidRPr="00CF0E64">
        <w:rPr>
          <w:rFonts w:ascii="Times New Roman" w:eastAsia="Arial Unicode MS" w:hAnsi="Times New Roman" w:cs="Times New Roman"/>
          <w:kern w:val="1"/>
          <w:sz w:val="24"/>
          <w:szCs w:val="24"/>
          <w:lang w:eastAsia="ar-SA"/>
        </w:rPr>
        <w:t xml:space="preserve">príslušnému orgánu </w:t>
      </w:r>
      <w:r w:rsidRPr="00CF0E64">
        <w:rPr>
          <w:rFonts w:ascii="Times New Roman" w:eastAsia="Arial Unicode MS" w:hAnsi="Times New Roman" w:cs="Times New Roman"/>
          <w:kern w:val="1"/>
          <w:sz w:val="24"/>
          <w:szCs w:val="24"/>
          <w:lang w:eastAsia="ar-SA"/>
        </w:rPr>
        <w:t xml:space="preserve">podľa čl. 60 nariadenia (EÚ) 2023/1114. </w:t>
      </w:r>
    </w:p>
    <w:p w14:paraId="35BE9B82"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02BFA41A" w14:textId="31E3D51F" w:rsidR="00542C80" w:rsidRPr="00CF0E64" w:rsidRDefault="00542C80"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Písm. b)</w:t>
      </w:r>
    </w:p>
    <w:p w14:paraId="3AC4F94B" w14:textId="6C60A57D" w:rsidR="00542C80" w:rsidRPr="00CF0E64" w:rsidRDefault="00542C80" w:rsidP="003B68A9">
      <w:pPr>
        <w:spacing w:after="0" w:line="252" w:lineRule="auto"/>
        <w:jc w:val="both"/>
        <w:rPr>
          <w:rFonts w:ascii="Times New Roman" w:hAnsi="Times New Roman" w:cs="Times New Roman"/>
          <w:sz w:val="24"/>
          <w:szCs w:val="24"/>
        </w:rPr>
      </w:pPr>
      <w:r w:rsidRPr="00CF0E64">
        <w:rPr>
          <w:rFonts w:ascii="Times New Roman" w:eastAsia="Arial Unicode MS" w:hAnsi="Times New Roman" w:cs="Times New Roman"/>
          <w:kern w:val="1"/>
          <w:sz w:val="24"/>
          <w:szCs w:val="24"/>
          <w:lang w:eastAsia="ar-SA"/>
        </w:rPr>
        <w:t xml:space="preserve">Definuje sa pojem „prevádzkovateľ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w:t>
      </w:r>
      <w:r w:rsidR="00462FA3" w:rsidRPr="00CF0E64">
        <w:rPr>
          <w:rFonts w:ascii="Times New Roman" w:eastAsia="Arial Unicode MS" w:hAnsi="Times New Roman" w:cs="Times New Roman"/>
          <w:kern w:val="1"/>
          <w:sz w:val="24"/>
          <w:szCs w:val="24"/>
          <w:lang w:eastAsia="ar-SA"/>
        </w:rPr>
        <w:t xml:space="preserve">, ktorým je </w:t>
      </w:r>
      <w:r w:rsidRPr="00CF0E64">
        <w:rPr>
          <w:rFonts w:ascii="Times New Roman" w:hAnsi="Times New Roman" w:cs="Times New Roman"/>
          <w:sz w:val="24"/>
          <w:szCs w:val="24"/>
        </w:rPr>
        <w:t xml:space="preserve">iný poskytovateľ v oblasti poskytovania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ako je </w:t>
      </w:r>
      <w:r w:rsidR="00462FA3" w:rsidRPr="00CF0E64">
        <w:rPr>
          <w:rFonts w:ascii="Times New Roman" w:hAnsi="Times New Roman" w:cs="Times New Roman"/>
          <w:sz w:val="24"/>
          <w:szCs w:val="24"/>
        </w:rPr>
        <w:t xml:space="preserve">poskytovateľ služieb </w:t>
      </w:r>
      <w:proofErr w:type="spellStart"/>
      <w:r w:rsidR="00462FA3" w:rsidRPr="00CF0E64">
        <w:rPr>
          <w:rFonts w:ascii="Times New Roman" w:hAnsi="Times New Roman" w:cs="Times New Roman"/>
          <w:sz w:val="24"/>
          <w:szCs w:val="24"/>
        </w:rPr>
        <w:t>kryptoaktív</w:t>
      </w:r>
      <w:proofErr w:type="spellEnd"/>
      <w:r w:rsidR="00462FA3" w:rsidRPr="00CF0E64">
        <w:rPr>
          <w:rFonts w:ascii="Times New Roman" w:hAnsi="Times New Roman" w:cs="Times New Roman"/>
          <w:sz w:val="24"/>
          <w:szCs w:val="24"/>
        </w:rPr>
        <w:t xml:space="preserve"> podľa nariadenia (EÚ) 2023/114, a </w:t>
      </w:r>
      <w:r w:rsidRPr="00CF0E64">
        <w:rPr>
          <w:rFonts w:ascii="Times New Roman" w:hAnsi="Times New Roman" w:cs="Times New Roman"/>
          <w:sz w:val="24"/>
          <w:szCs w:val="24"/>
        </w:rPr>
        <w:t xml:space="preserve">ktorý vykonáva jednu alebo viacero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ktorými sa vykonávajú výmenné transakcie pre používateľa podliehajúceho oznamovaniu alebo v jeho mene</w:t>
      </w:r>
      <w:r w:rsidR="00462FA3" w:rsidRPr="00CF0E64">
        <w:rPr>
          <w:rFonts w:ascii="Times New Roman" w:hAnsi="Times New Roman" w:cs="Times New Roman"/>
          <w:sz w:val="24"/>
          <w:szCs w:val="24"/>
        </w:rPr>
        <w:t xml:space="preserve">. </w:t>
      </w:r>
      <w:r w:rsidR="004C5F5C" w:rsidRPr="00CF0E64">
        <w:rPr>
          <w:rFonts w:ascii="Times New Roman" w:hAnsi="Times New Roman" w:cs="Times New Roman"/>
          <w:sz w:val="24"/>
          <w:szCs w:val="24"/>
        </w:rPr>
        <w:t xml:space="preserve">Širšiu definíciu ako je definícia poskytovateľa služieb </w:t>
      </w:r>
      <w:proofErr w:type="spellStart"/>
      <w:r w:rsidR="004C5F5C" w:rsidRPr="00CF0E64">
        <w:rPr>
          <w:rFonts w:ascii="Times New Roman" w:hAnsi="Times New Roman" w:cs="Times New Roman"/>
          <w:sz w:val="24"/>
          <w:szCs w:val="24"/>
        </w:rPr>
        <w:t>kryptoaktív</w:t>
      </w:r>
      <w:proofErr w:type="spellEnd"/>
      <w:r w:rsidR="004C5F5C" w:rsidRPr="00CF0E64">
        <w:rPr>
          <w:rFonts w:ascii="Times New Roman" w:hAnsi="Times New Roman" w:cs="Times New Roman"/>
          <w:sz w:val="24"/>
          <w:szCs w:val="24"/>
        </w:rPr>
        <w:t xml:space="preserve"> si vyžiadala skutočnosť, že </w:t>
      </w:r>
      <w:r w:rsidR="00C3095D" w:rsidRPr="00CF0E64">
        <w:rPr>
          <w:rFonts w:ascii="Times New Roman" w:hAnsi="Times New Roman" w:cs="Times New Roman"/>
          <w:sz w:val="24"/>
          <w:szCs w:val="24"/>
        </w:rPr>
        <w:t xml:space="preserve">nariadenie (EÚ) 2223/1114 sa nevzťahuje na </w:t>
      </w:r>
      <w:proofErr w:type="spellStart"/>
      <w:r w:rsidR="00C3095D" w:rsidRPr="00CF0E64">
        <w:rPr>
          <w:rFonts w:ascii="Times New Roman" w:hAnsi="Times New Roman" w:cs="Times New Roman"/>
          <w:sz w:val="24"/>
          <w:szCs w:val="24"/>
        </w:rPr>
        <w:t>kryptoaktíva</w:t>
      </w:r>
      <w:proofErr w:type="spellEnd"/>
      <w:r w:rsidR="00C3095D" w:rsidRPr="00CF0E64">
        <w:rPr>
          <w:rFonts w:ascii="Times New Roman" w:hAnsi="Times New Roman" w:cs="Times New Roman"/>
          <w:sz w:val="24"/>
          <w:szCs w:val="24"/>
        </w:rPr>
        <w:t xml:space="preserve">, ktoré sú jedinečné a nie sú zastupiteľné inými </w:t>
      </w:r>
      <w:proofErr w:type="spellStart"/>
      <w:r w:rsidR="00C3095D" w:rsidRPr="00CF0E64">
        <w:rPr>
          <w:rFonts w:ascii="Times New Roman" w:hAnsi="Times New Roman" w:cs="Times New Roman"/>
          <w:sz w:val="24"/>
          <w:szCs w:val="24"/>
        </w:rPr>
        <w:t>kryptoaktívami</w:t>
      </w:r>
      <w:proofErr w:type="spellEnd"/>
      <w:r w:rsidR="00C3095D" w:rsidRPr="00CF0E64">
        <w:rPr>
          <w:rFonts w:ascii="Times New Roman" w:hAnsi="Times New Roman" w:cs="Times New Roman"/>
          <w:sz w:val="24"/>
          <w:szCs w:val="24"/>
        </w:rPr>
        <w:t xml:space="preserve">. Smernica (EÚ) 2023/2226 však takéto </w:t>
      </w:r>
      <w:proofErr w:type="spellStart"/>
      <w:r w:rsidR="00C3095D" w:rsidRPr="00CF0E64">
        <w:rPr>
          <w:rFonts w:ascii="Times New Roman" w:hAnsi="Times New Roman" w:cs="Times New Roman"/>
          <w:sz w:val="24"/>
          <w:szCs w:val="24"/>
        </w:rPr>
        <w:t>kryptoaktíva</w:t>
      </w:r>
      <w:proofErr w:type="spellEnd"/>
      <w:r w:rsidR="00C3095D" w:rsidRPr="00CF0E64">
        <w:rPr>
          <w:rFonts w:ascii="Times New Roman" w:hAnsi="Times New Roman" w:cs="Times New Roman"/>
          <w:sz w:val="24"/>
          <w:szCs w:val="24"/>
        </w:rPr>
        <w:t xml:space="preserve"> pre daňové účely pokrýva, za predpokladu, že ide o </w:t>
      </w:r>
      <w:proofErr w:type="spellStart"/>
      <w:r w:rsidR="00C3095D" w:rsidRPr="00CF0E64">
        <w:rPr>
          <w:rFonts w:ascii="Times New Roman" w:hAnsi="Times New Roman" w:cs="Times New Roman"/>
          <w:sz w:val="24"/>
          <w:szCs w:val="24"/>
        </w:rPr>
        <w:t>kryptoaktíva</w:t>
      </w:r>
      <w:proofErr w:type="spellEnd"/>
      <w:r w:rsidR="00C3095D" w:rsidRPr="00CF0E64">
        <w:rPr>
          <w:rFonts w:ascii="Times New Roman" w:hAnsi="Times New Roman" w:cs="Times New Roman"/>
          <w:sz w:val="24"/>
          <w:szCs w:val="24"/>
        </w:rPr>
        <w:t xml:space="preserve">, ktoré je možné použiť na platobné a investičné účely. </w:t>
      </w:r>
    </w:p>
    <w:p w14:paraId="52B98F64" w14:textId="77777777" w:rsidR="003B68A9" w:rsidRPr="00CF0E64" w:rsidRDefault="003B68A9" w:rsidP="003B68A9">
      <w:pPr>
        <w:spacing w:after="0" w:line="252" w:lineRule="auto"/>
        <w:jc w:val="both"/>
        <w:rPr>
          <w:rFonts w:ascii="Times New Roman" w:hAnsi="Times New Roman" w:cs="Times New Roman"/>
          <w:sz w:val="24"/>
          <w:szCs w:val="24"/>
        </w:rPr>
      </w:pPr>
    </w:p>
    <w:p w14:paraId="2A1E5BDA" w14:textId="79855F50" w:rsidR="004C5F5C" w:rsidRPr="00CF0E64" w:rsidRDefault="00406E5A"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Písm. c)</w:t>
      </w:r>
    </w:p>
    <w:p w14:paraId="3AD0D249" w14:textId="6245DD8A" w:rsidR="00406E5A" w:rsidRPr="00CF0E64" w:rsidRDefault="00406E5A"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Službou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sa v súlade s nariadením (EÚ) 2223/1114 rozumejú služby podľa </w:t>
      </w:r>
      <w:r w:rsidR="00067DF9" w:rsidRPr="00CF0E64">
        <w:rPr>
          <w:rFonts w:ascii="Times New Roman" w:hAnsi="Times New Roman" w:cs="Times New Roman"/>
          <w:sz w:val="24"/>
          <w:szCs w:val="24"/>
        </w:rPr>
        <w:t>článku 3 ods. 1 bod 16</w:t>
      </w:r>
      <w:r w:rsidRPr="00CF0E64">
        <w:rPr>
          <w:rFonts w:ascii="Times New Roman" w:hAnsi="Times New Roman" w:cs="Times New Roman"/>
          <w:sz w:val="24"/>
          <w:szCs w:val="24"/>
        </w:rPr>
        <w:t xml:space="preserve"> predmetného nariadenia. Ide o ktorúkoľvek z týchto služieb a činností súvisiacich s </w:t>
      </w:r>
      <w:proofErr w:type="spellStart"/>
      <w:r w:rsidRPr="00CF0E64">
        <w:rPr>
          <w:rFonts w:ascii="Times New Roman" w:hAnsi="Times New Roman" w:cs="Times New Roman"/>
          <w:sz w:val="24"/>
          <w:szCs w:val="24"/>
        </w:rPr>
        <w:t>kryptoaktívami</w:t>
      </w:r>
      <w:proofErr w:type="spellEnd"/>
      <w:r w:rsidRPr="00CF0E64">
        <w:rPr>
          <w:rFonts w:ascii="Times New Roman" w:hAnsi="Times New Roman" w:cs="Times New Roman"/>
          <w:sz w:val="24"/>
          <w:szCs w:val="24"/>
        </w:rPr>
        <w:t>:</w:t>
      </w:r>
    </w:p>
    <w:p w14:paraId="13A8C59D" w14:textId="7AE36713" w:rsidR="00490814" w:rsidRPr="00CF0E64" w:rsidRDefault="00923156" w:rsidP="003B68A9">
      <w:pPr>
        <w:spacing w:after="0" w:line="252" w:lineRule="auto"/>
        <w:ind w:firstLine="426"/>
        <w:jc w:val="both"/>
        <w:rPr>
          <w:rFonts w:ascii="Times New Roman" w:hAnsi="Times New Roman" w:cs="Times New Roman"/>
          <w:sz w:val="24"/>
          <w:szCs w:val="24"/>
        </w:rPr>
      </w:pPr>
      <w:r w:rsidRPr="00CF0E64">
        <w:rPr>
          <w:rFonts w:ascii="Times New Roman" w:hAnsi="Times New Roman" w:cs="Times New Roman"/>
          <w:sz w:val="24"/>
          <w:szCs w:val="24"/>
        </w:rPr>
        <w:t xml:space="preserve">- </w:t>
      </w:r>
      <w:r w:rsidR="00490814" w:rsidRPr="00CF0E64">
        <w:rPr>
          <w:rFonts w:ascii="Times New Roman" w:hAnsi="Times New Roman" w:cs="Times New Roman"/>
          <w:sz w:val="24"/>
          <w:szCs w:val="24"/>
        </w:rPr>
        <w:t xml:space="preserve"> poskytovanie úschovy a správa </w:t>
      </w:r>
      <w:proofErr w:type="spellStart"/>
      <w:r w:rsidR="00490814" w:rsidRPr="00CF0E64">
        <w:rPr>
          <w:rFonts w:ascii="Times New Roman" w:hAnsi="Times New Roman" w:cs="Times New Roman"/>
          <w:sz w:val="24"/>
          <w:szCs w:val="24"/>
        </w:rPr>
        <w:t>kryptoaktív</w:t>
      </w:r>
      <w:proofErr w:type="spellEnd"/>
      <w:r w:rsidR="00490814" w:rsidRPr="00CF0E64">
        <w:rPr>
          <w:rFonts w:ascii="Times New Roman" w:hAnsi="Times New Roman" w:cs="Times New Roman"/>
          <w:sz w:val="24"/>
          <w:szCs w:val="24"/>
        </w:rPr>
        <w:t xml:space="preserve"> v mene klientov</w:t>
      </w:r>
    </w:p>
    <w:p w14:paraId="4144C77B" w14:textId="1B106B7E" w:rsidR="00490814" w:rsidRPr="00CF0E64" w:rsidRDefault="00923156" w:rsidP="003B68A9">
      <w:pPr>
        <w:spacing w:after="0" w:line="252" w:lineRule="auto"/>
        <w:ind w:firstLine="426"/>
        <w:jc w:val="both"/>
        <w:rPr>
          <w:rFonts w:ascii="Times New Roman" w:hAnsi="Times New Roman" w:cs="Times New Roman"/>
          <w:sz w:val="24"/>
          <w:szCs w:val="24"/>
        </w:rPr>
      </w:pPr>
      <w:r w:rsidRPr="00CF0E64">
        <w:rPr>
          <w:rFonts w:ascii="Times New Roman" w:hAnsi="Times New Roman" w:cs="Times New Roman"/>
          <w:sz w:val="24"/>
          <w:szCs w:val="24"/>
        </w:rPr>
        <w:t xml:space="preserve">- </w:t>
      </w:r>
      <w:r w:rsidR="00490814" w:rsidRPr="00CF0E64">
        <w:rPr>
          <w:rFonts w:ascii="Times New Roman" w:hAnsi="Times New Roman" w:cs="Times New Roman"/>
          <w:sz w:val="24"/>
          <w:szCs w:val="24"/>
        </w:rPr>
        <w:t xml:space="preserve"> prevádzkovanie obchodnej platformy pre </w:t>
      </w:r>
      <w:proofErr w:type="spellStart"/>
      <w:r w:rsidR="00490814" w:rsidRPr="00CF0E64">
        <w:rPr>
          <w:rFonts w:ascii="Times New Roman" w:hAnsi="Times New Roman" w:cs="Times New Roman"/>
          <w:sz w:val="24"/>
          <w:szCs w:val="24"/>
        </w:rPr>
        <w:t>kryptoaktíva</w:t>
      </w:r>
      <w:proofErr w:type="spellEnd"/>
    </w:p>
    <w:p w14:paraId="091C624F" w14:textId="590F950E" w:rsidR="00490814" w:rsidRPr="00CF0E64" w:rsidRDefault="00923156" w:rsidP="003B68A9">
      <w:pPr>
        <w:spacing w:after="0" w:line="252" w:lineRule="auto"/>
        <w:ind w:firstLine="426"/>
        <w:jc w:val="both"/>
        <w:rPr>
          <w:rFonts w:ascii="Times New Roman" w:hAnsi="Times New Roman" w:cs="Times New Roman"/>
          <w:sz w:val="24"/>
          <w:szCs w:val="24"/>
        </w:rPr>
      </w:pPr>
      <w:r w:rsidRPr="00CF0E64">
        <w:rPr>
          <w:rFonts w:ascii="Times New Roman" w:hAnsi="Times New Roman" w:cs="Times New Roman"/>
          <w:sz w:val="24"/>
          <w:szCs w:val="24"/>
        </w:rPr>
        <w:t xml:space="preserve">- </w:t>
      </w:r>
      <w:r w:rsidR="00490814" w:rsidRPr="00CF0E64">
        <w:rPr>
          <w:rFonts w:ascii="Times New Roman" w:hAnsi="Times New Roman" w:cs="Times New Roman"/>
          <w:sz w:val="24"/>
          <w:szCs w:val="24"/>
        </w:rPr>
        <w:t xml:space="preserve"> výmena </w:t>
      </w:r>
      <w:proofErr w:type="spellStart"/>
      <w:r w:rsidR="00490814" w:rsidRPr="00CF0E64">
        <w:rPr>
          <w:rFonts w:ascii="Times New Roman" w:hAnsi="Times New Roman" w:cs="Times New Roman"/>
          <w:sz w:val="24"/>
          <w:szCs w:val="24"/>
        </w:rPr>
        <w:t>kryptoaktív</w:t>
      </w:r>
      <w:proofErr w:type="spellEnd"/>
      <w:r w:rsidR="00490814" w:rsidRPr="00CF0E64">
        <w:rPr>
          <w:rFonts w:ascii="Times New Roman" w:hAnsi="Times New Roman" w:cs="Times New Roman"/>
          <w:sz w:val="24"/>
          <w:szCs w:val="24"/>
        </w:rPr>
        <w:t xml:space="preserve"> za finančné prostriedky</w:t>
      </w:r>
    </w:p>
    <w:p w14:paraId="3569E167" w14:textId="7D1B492D" w:rsidR="00490814" w:rsidRPr="00CF0E64" w:rsidRDefault="00923156" w:rsidP="003B68A9">
      <w:pPr>
        <w:spacing w:after="0" w:line="252" w:lineRule="auto"/>
        <w:ind w:firstLine="426"/>
        <w:jc w:val="both"/>
        <w:rPr>
          <w:rFonts w:ascii="Times New Roman" w:hAnsi="Times New Roman" w:cs="Times New Roman"/>
          <w:sz w:val="24"/>
          <w:szCs w:val="24"/>
        </w:rPr>
      </w:pPr>
      <w:r w:rsidRPr="00CF0E64">
        <w:rPr>
          <w:rFonts w:ascii="Times New Roman" w:hAnsi="Times New Roman" w:cs="Times New Roman"/>
          <w:sz w:val="24"/>
          <w:szCs w:val="24"/>
        </w:rPr>
        <w:t xml:space="preserve">- </w:t>
      </w:r>
      <w:r w:rsidR="00490814" w:rsidRPr="00CF0E64">
        <w:rPr>
          <w:rFonts w:ascii="Times New Roman" w:hAnsi="Times New Roman" w:cs="Times New Roman"/>
          <w:sz w:val="24"/>
          <w:szCs w:val="24"/>
        </w:rPr>
        <w:t xml:space="preserve"> výmena </w:t>
      </w:r>
      <w:proofErr w:type="spellStart"/>
      <w:r w:rsidR="00490814" w:rsidRPr="00CF0E64">
        <w:rPr>
          <w:rFonts w:ascii="Times New Roman" w:hAnsi="Times New Roman" w:cs="Times New Roman"/>
          <w:sz w:val="24"/>
          <w:szCs w:val="24"/>
        </w:rPr>
        <w:t>kryptoaktív</w:t>
      </w:r>
      <w:proofErr w:type="spellEnd"/>
      <w:r w:rsidR="00490814" w:rsidRPr="00CF0E64">
        <w:rPr>
          <w:rFonts w:ascii="Times New Roman" w:hAnsi="Times New Roman" w:cs="Times New Roman"/>
          <w:sz w:val="24"/>
          <w:szCs w:val="24"/>
        </w:rPr>
        <w:t xml:space="preserve"> za iné </w:t>
      </w:r>
      <w:proofErr w:type="spellStart"/>
      <w:r w:rsidR="00490814" w:rsidRPr="00CF0E64">
        <w:rPr>
          <w:rFonts w:ascii="Times New Roman" w:hAnsi="Times New Roman" w:cs="Times New Roman"/>
          <w:sz w:val="24"/>
          <w:szCs w:val="24"/>
        </w:rPr>
        <w:t>kryptoaktíva</w:t>
      </w:r>
      <w:proofErr w:type="spellEnd"/>
    </w:p>
    <w:p w14:paraId="1752C0B7" w14:textId="159F215F" w:rsidR="00490814" w:rsidRPr="00CF0E64" w:rsidRDefault="00923156" w:rsidP="003B68A9">
      <w:pPr>
        <w:spacing w:after="0" w:line="252" w:lineRule="auto"/>
        <w:ind w:firstLine="426"/>
        <w:jc w:val="both"/>
        <w:rPr>
          <w:rFonts w:ascii="Times New Roman" w:hAnsi="Times New Roman" w:cs="Times New Roman"/>
          <w:sz w:val="24"/>
          <w:szCs w:val="24"/>
        </w:rPr>
      </w:pPr>
      <w:r w:rsidRPr="00CF0E64">
        <w:rPr>
          <w:rFonts w:ascii="Times New Roman" w:hAnsi="Times New Roman" w:cs="Times New Roman"/>
          <w:sz w:val="24"/>
          <w:szCs w:val="24"/>
        </w:rPr>
        <w:t xml:space="preserve">- </w:t>
      </w:r>
      <w:r w:rsidR="00490814" w:rsidRPr="00CF0E64">
        <w:rPr>
          <w:rFonts w:ascii="Times New Roman" w:hAnsi="Times New Roman" w:cs="Times New Roman"/>
          <w:sz w:val="24"/>
          <w:szCs w:val="24"/>
        </w:rPr>
        <w:t xml:space="preserve"> vykonávanie príkazov týkajúcich sa </w:t>
      </w:r>
      <w:proofErr w:type="spellStart"/>
      <w:r w:rsidR="00490814" w:rsidRPr="00CF0E64">
        <w:rPr>
          <w:rFonts w:ascii="Times New Roman" w:hAnsi="Times New Roman" w:cs="Times New Roman"/>
          <w:sz w:val="24"/>
          <w:szCs w:val="24"/>
        </w:rPr>
        <w:t>kryptoaktív</w:t>
      </w:r>
      <w:proofErr w:type="spellEnd"/>
      <w:r w:rsidR="00490814" w:rsidRPr="00CF0E64">
        <w:rPr>
          <w:rFonts w:ascii="Times New Roman" w:hAnsi="Times New Roman" w:cs="Times New Roman"/>
          <w:sz w:val="24"/>
          <w:szCs w:val="24"/>
        </w:rPr>
        <w:t xml:space="preserve"> v mene klientov</w:t>
      </w:r>
    </w:p>
    <w:p w14:paraId="04E639C9" w14:textId="25DD0DBE" w:rsidR="00490814" w:rsidRPr="00CF0E64" w:rsidRDefault="00923156" w:rsidP="003B68A9">
      <w:pPr>
        <w:spacing w:after="0" w:line="252" w:lineRule="auto"/>
        <w:ind w:firstLine="426"/>
        <w:jc w:val="both"/>
        <w:rPr>
          <w:rFonts w:ascii="Times New Roman" w:hAnsi="Times New Roman" w:cs="Times New Roman"/>
          <w:sz w:val="24"/>
          <w:szCs w:val="24"/>
        </w:rPr>
      </w:pPr>
      <w:r w:rsidRPr="00CF0E64">
        <w:rPr>
          <w:rFonts w:ascii="Times New Roman" w:hAnsi="Times New Roman" w:cs="Times New Roman"/>
          <w:sz w:val="24"/>
          <w:szCs w:val="24"/>
        </w:rPr>
        <w:t xml:space="preserve">- </w:t>
      </w:r>
      <w:r w:rsidR="00490814" w:rsidRPr="00CF0E64">
        <w:rPr>
          <w:rFonts w:ascii="Times New Roman" w:hAnsi="Times New Roman" w:cs="Times New Roman"/>
          <w:sz w:val="24"/>
          <w:szCs w:val="24"/>
        </w:rPr>
        <w:t xml:space="preserve"> umiestňovanie </w:t>
      </w:r>
      <w:proofErr w:type="spellStart"/>
      <w:r w:rsidR="00490814" w:rsidRPr="00CF0E64">
        <w:rPr>
          <w:rFonts w:ascii="Times New Roman" w:hAnsi="Times New Roman" w:cs="Times New Roman"/>
          <w:sz w:val="24"/>
          <w:szCs w:val="24"/>
        </w:rPr>
        <w:t>kryptoaktív</w:t>
      </w:r>
      <w:proofErr w:type="spellEnd"/>
    </w:p>
    <w:p w14:paraId="1CA07D2F" w14:textId="2D9E5B6E" w:rsidR="00490814" w:rsidRPr="00CF0E64" w:rsidRDefault="00923156" w:rsidP="003B68A9">
      <w:pPr>
        <w:spacing w:after="0" w:line="252" w:lineRule="auto"/>
        <w:ind w:firstLine="426"/>
        <w:jc w:val="both"/>
        <w:rPr>
          <w:rFonts w:ascii="Times New Roman" w:hAnsi="Times New Roman" w:cs="Times New Roman"/>
          <w:sz w:val="24"/>
          <w:szCs w:val="24"/>
        </w:rPr>
      </w:pPr>
      <w:r w:rsidRPr="00CF0E64">
        <w:rPr>
          <w:rFonts w:ascii="Times New Roman" w:hAnsi="Times New Roman" w:cs="Times New Roman"/>
          <w:sz w:val="24"/>
          <w:szCs w:val="24"/>
        </w:rPr>
        <w:t xml:space="preserve">- </w:t>
      </w:r>
      <w:r w:rsidR="00490814" w:rsidRPr="00CF0E64">
        <w:rPr>
          <w:rFonts w:ascii="Times New Roman" w:hAnsi="Times New Roman" w:cs="Times New Roman"/>
          <w:sz w:val="24"/>
          <w:szCs w:val="24"/>
        </w:rPr>
        <w:t xml:space="preserve"> prijímanie a postupovanie príkazov týkajúcich sa </w:t>
      </w:r>
      <w:proofErr w:type="spellStart"/>
      <w:r w:rsidR="00490814" w:rsidRPr="00CF0E64">
        <w:rPr>
          <w:rFonts w:ascii="Times New Roman" w:hAnsi="Times New Roman" w:cs="Times New Roman"/>
          <w:sz w:val="24"/>
          <w:szCs w:val="24"/>
        </w:rPr>
        <w:t>kryptoaktív</w:t>
      </w:r>
      <w:proofErr w:type="spellEnd"/>
      <w:r w:rsidR="00490814" w:rsidRPr="00CF0E64">
        <w:rPr>
          <w:rFonts w:ascii="Times New Roman" w:hAnsi="Times New Roman" w:cs="Times New Roman"/>
          <w:sz w:val="24"/>
          <w:szCs w:val="24"/>
        </w:rPr>
        <w:t xml:space="preserve"> v mene klientov</w:t>
      </w:r>
    </w:p>
    <w:p w14:paraId="7EBD510A" w14:textId="6238EF00" w:rsidR="00490814" w:rsidRPr="00CF0E64" w:rsidRDefault="00923156" w:rsidP="003B68A9">
      <w:pPr>
        <w:spacing w:after="0" w:line="252" w:lineRule="auto"/>
        <w:ind w:firstLine="426"/>
        <w:jc w:val="both"/>
        <w:rPr>
          <w:rFonts w:ascii="Times New Roman" w:hAnsi="Times New Roman" w:cs="Times New Roman"/>
          <w:sz w:val="24"/>
          <w:szCs w:val="24"/>
        </w:rPr>
      </w:pPr>
      <w:r w:rsidRPr="00CF0E64">
        <w:rPr>
          <w:rFonts w:ascii="Times New Roman" w:hAnsi="Times New Roman" w:cs="Times New Roman"/>
          <w:sz w:val="24"/>
          <w:szCs w:val="24"/>
        </w:rPr>
        <w:t xml:space="preserve">- </w:t>
      </w:r>
      <w:r w:rsidR="00490814" w:rsidRPr="00CF0E64">
        <w:rPr>
          <w:rFonts w:ascii="Times New Roman" w:hAnsi="Times New Roman" w:cs="Times New Roman"/>
          <w:sz w:val="24"/>
          <w:szCs w:val="24"/>
        </w:rPr>
        <w:t xml:space="preserve"> poskytovanie poradenstva v oblasti </w:t>
      </w:r>
      <w:proofErr w:type="spellStart"/>
      <w:r w:rsidR="00490814" w:rsidRPr="00CF0E64">
        <w:rPr>
          <w:rFonts w:ascii="Times New Roman" w:hAnsi="Times New Roman" w:cs="Times New Roman"/>
          <w:sz w:val="24"/>
          <w:szCs w:val="24"/>
        </w:rPr>
        <w:t>kryptoaktív</w:t>
      </w:r>
      <w:proofErr w:type="spellEnd"/>
    </w:p>
    <w:p w14:paraId="3C4D10E8" w14:textId="04E23C97" w:rsidR="00490814" w:rsidRPr="00CF0E64" w:rsidRDefault="00923156" w:rsidP="003B68A9">
      <w:pPr>
        <w:spacing w:after="0" w:line="252" w:lineRule="auto"/>
        <w:ind w:firstLine="426"/>
        <w:jc w:val="both"/>
        <w:rPr>
          <w:rFonts w:ascii="Times New Roman" w:hAnsi="Times New Roman" w:cs="Times New Roman"/>
          <w:sz w:val="24"/>
          <w:szCs w:val="24"/>
        </w:rPr>
      </w:pPr>
      <w:r w:rsidRPr="00CF0E64">
        <w:rPr>
          <w:rFonts w:ascii="Times New Roman" w:hAnsi="Times New Roman" w:cs="Times New Roman"/>
          <w:sz w:val="24"/>
          <w:szCs w:val="24"/>
        </w:rPr>
        <w:t xml:space="preserve">- </w:t>
      </w:r>
      <w:r w:rsidR="00490814" w:rsidRPr="00CF0E64">
        <w:rPr>
          <w:rFonts w:ascii="Times New Roman" w:hAnsi="Times New Roman" w:cs="Times New Roman"/>
          <w:sz w:val="24"/>
          <w:szCs w:val="24"/>
        </w:rPr>
        <w:t xml:space="preserve"> poskytovanie riadenia portfólia </w:t>
      </w:r>
      <w:proofErr w:type="spellStart"/>
      <w:r w:rsidR="00490814" w:rsidRPr="00CF0E64">
        <w:rPr>
          <w:rFonts w:ascii="Times New Roman" w:hAnsi="Times New Roman" w:cs="Times New Roman"/>
          <w:sz w:val="24"/>
          <w:szCs w:val="24"/>
        </w:rPr>
        <w:t>kryptoaktív</w:t>
      </w:r>
      <w:proofErr w:type="spellEnd"/>
    </w:p>
    <w:p w14:paraId="41A92A96" w14:textId="65E77B06" w:rsidR="004C5F5C" w:rsidRPr="00CF0E64" w:rsidRDefault="00923156" w:rsidP="003B68A9">
      <w:pPr>
        <w:spacing w:after="0" w:line="252" w:lineRule="auto"/>
        <w:ind w:firstLine="426"/>
        <w:jc w:val="both"/>
        <w:rPr>
          <w:rFonts w:ascii="Times New Roman" w:hAnsi="Times New Roman" w:cs="Times New Roman"/>
          <w:sz w:val="24"/>
          <w:szCs w:val="24"/>
        </w:rPr>
      </w:pPr>
      <w:r w:rsidRPr="00CF0E64">
        <w:rPr>
          <w:rFonts w:ascii="Times New Roman" w:hAnsi="Times New Roman" w:cs="Times New Roman"/>
          <w:sz w:val="24"/>
          <w:szCs w:val="24"/>
        </w:rPr>
        <w:t xml:space="preserve">- </w:t>
      </w:r>
      <w:r w:rsidR="00490814" w:rsidRPr="00CF0E64">
        <w:rPr>
          <w:rFonts w:ascii="Times New Roman" w:hAnsi="Times New Roman" w:cs="Times New Roman"/>
          <w:sz w:val="24"/>
          <w:szCs w:val="24"/>
        </w:rPr>
        <w:t xml:space="preserve"> poskytovanie služieb prevodu </w:t>
      </w:r>
      <w:proofErr w:type="spellStart"/>
      <w:r w:rsidR="00490814" w:rsidRPr="00CF0E64">
        <w:rPr>
          <w:rFonts w:ascii="Times New Roman" w:hAnsi="Times New Roman" w:cs="Times New Roman"/>
          <w:sz w:val="24"/>
          <w:szCs w:val="24"/>
        </w:rPr>
        <w:t>kryptoaktív</w:t>
      </w:r>
      <w:proofErr w:type="spellEnd"/>
      <w:r w:rsidR="00490814" w:rsidRPr="00CF0E64">
        <w:rPr>
          <w:rFonts w:ascii="Times New Roman" w:hAnsi="Times New Roman" w:cs="Times New Roman"/>
          <w:sz w:val="24"/>
          <w:szCs w:val="24"/>
        </w:rPr>
        <w:t xml:space="preserve"> v mene klientov. </w:t>
      </w:r>
    </w:p>
    <w:p w14:paraId="2D7D0E21" w14:textId="56C97F10" w:rsidR="00403585" w:rsidRPr="00CF0E64" w:rsidRDefault="00403585"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Nadväzne na smernicu (EÚ) 2023/2226 sa spresňuje, že služba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zahrňuje aj </w:t>
      </w:r>
      <w:proofErr w:type="spellStart"/>
      <w:r w:rsidRPr="00CF0E64">
        <w:rPr>
          <w:rFonts w:ascii="Times New Roman" w:hAnsi="Times New Roman" w:cs="Times New Roman"/>
          <w:sz w:val="24"/>
          <w:szCs w:val="24"/>
        </w:rPr>
        <w:t>staking</w:t>
      </w:r>
      <w:proofErr w:type="spellEnd"/>
      <w:r w:rsidRPr="00CF0E64">
        <w:rPr>
          <w:rFonts w:ascii="Times New Roman" w:hAnsi="Times New Roman" w:cs="Times New Roman"/>
          <w:sz w:val="24"/>
          <w:szCs w:val="24"/>
        </w:rPr>
        <w:t xml:space="preserve"> a požičiavanie.</w:t>
      </w:r>
      <w:r w:rsidR="00DC0C61">
        <w:rPr>
          <w:rFonts w:ascii="Times New Roman" w:hAnsi="Times New Roman" w:cs="Times New Roman"/>
          <w:sz w:val="24"/>
          <w:szCs w:val="24"/>
        </w:rPr>
        <w:t xml:space="preserve"> Pod pojmom „</w:t>
      </w:r>
      <w:proofErr w:type="spellStart"/>
      <w:r w:rsidR="00DC0C61">
        <w:rPr>
          <w:rFonts w:ascii="Times New Roman" w:hAnsi="Times New Roman" w:cs="Times New Roman"/>
          <w:sz w:val="24"/>
          <w:szCs w:val="24"/>
        </w:rPr>
        <w:t>staking</w:t>
      </w:r>
      <w:proofErr w:type="spellEnd"/>
      <w:r w:rsidR="00DC0C61">
        <w:rPr>
          <w:rFonts w:ascii="Times New Roman" w:hAnsi="Times New Roman" w:cs="Times New Roman"/>
          <w:sz w:val="24"/>
          <w:szCs w:val="24"/>
        </w:rPr>
        <w:t xml:space="preserve">“ sa rozumie </w:t>
      </w:r>
      <w:r w:rsidR="00DC0C61" w:rsidRPr="00DC0C61">
        <w:rPr>
          <w:rFonts w:ascii="Times New Roman" w:hAnsi="Times New Roman" w:cs="Times New Roman"/>
          <w:sz w:val="24"/>
          <w:szCs w:val="24"/>
        </w:rPr>
        <w:t xml:space="preserve">proces zamknutia určitého množstva </w:t>
      </w:r>
      <w:proofErr w:type="spellStart"/>
      <w:r w:rsidR="00DC0C61" w:rsidRPr="00DC0C61">
        <w:rPr>
          <w:rFonts w:ascii="Times New Roman" w:hAnsi="Times New Roman" w:cs="Times New Roman"/>
          <w:sz w:val="24"/>
          <w:szCs w:val="24"/>
        </w:rPr>
        <w:t>kryptomeny</w:t>
      </w:r>
      <w:proofErr w:type="spellEnd"/>
      <w:r w:rsidR="00DC0C61" w:rsidRPr="00DC0C61">
        <w:rPr>
          <w:rFonts w:ascii="Times New Roman" w:hAnsi="Times New Roman" w:cs="Times New Roman"/>
          <w:sz w:val="24"/>
          <w:szCs w:val="24"/>
        </w:rPr>
        <w:t xml:space="preserve"> s cieľom pomôcť zabezpečiť a podporiť prevádzku </w:t>
      </w:r>
      <w:proofErr w:type="spellStart"/>
      <w:r w:rsidR="00DC0C61" w:rsidRPr="00DC0C61">
        <w:rPr>
          <w:rFonts w:ascii="Times New Roman" w:hAnsi="Times New Roman" w:cs="Times New Roman"/>
          <w:sz w:val="24"/>
          <w:szCs w:val="24"/>
        </w:rPr>
        <w:t>blockchainovej</w:t>
      </w:r>
      <w:proofErr w:type="spellEnd"/>
      <w:r w:rsidR="00DC0C61" w:rsidRPr="00DC0C61">
        <w:rPr>
          <w:rFonts w:ascii="Times New Roman" w:hAnsi="Times New Roman" w:cs="Times New Roman"/>
          <w:sz w:val="24"/>
          <w:szCs w:val="24"/>
        </w:rPr>
        <w:t xml:space="preserve"> siete</w:t>
      </w:r>
      <w:r w:rsidR="00DC0C61">
        <w:rPr>
          <w:rFonts w:ascii="Times New Roman" w:hAnsi="Times New Roman" w:cs="Times New Roman"/>
          <w:sz w:val="24"/>
          <w:szCs w:val="24"/>
        </w:rPr>
        <w:t xml:space="preserve">. </w:t>
      </w:r>
    </w:p>
    <w:p w14:paraId="7DB74098" w14:textId="77777777" w:rsidR="00403585" w:rsidRPr="00CF0E64" w:rsidRDefault="00403585" w:rsidP="003B68A9">
      <w:pPr>
        <w:spacing w:after="0" w:line="252" w:lineRule="auto"/>
        <w:jc w:val="both"/>
        <w:rPr>
          <w:rFonts w:ascii="Times New Roman" w:hAnsi="Times New Roman" w:cs="Times New Roman"/>
          <w:sz w:val="24"/>
          <w:szCs w:val="24"/>
        </w:rPr>
      </w:pPr>
    </w:p>
    <w:p w14:paraId="58AFCB88" w14:textId="00E8244A" w:rsidR="00BD1FB9" w:rsidRPr="00CF0E64" w:rsidRDefault="00403585"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Písm. d)</w:t>
      </w:r>
    </w:p>
    <w:p w14:paraId="64C4D8A9" w14:textId="65D62EED" w:rsidR="00403585" w:rsidRDefault="006800FB"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Definuje sa pojem „pobočka“ pre účely automatickej výmeny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Pobočkou sa rozumie </w:t>
      </w:r>
      <w:r w:rsidR="006E6E5C">
        <w:rPr>
          <w:rFonts w:ascii="Times New Roman" w:eastAsia="Arial Unicode MS" w:hAnsi="Times New Roman" w:cs="Times New Roman"/>
          <w:kern w:val="1"/>
          <w:sz w:val="24"/>
          <w:szCs w:val="24"/>
          <w:lang w:eastAsia="ar-SA"/>
        </w:rPr>
        <w:t xml:space="preserve">organizačná </w:t>
      </w:r>
      <w:r w:rsidR="002D2DCA">
        <w:rPr>
          <w:rFonts w:ascii="Times New Roman" w:eastAsia="Arial Unicode MS" w:hAnsi="Times New Roman" w:cs="Times New Roman"/>
          <w:kern w:val="1"/>
          <w:sz w:val="24"/>
          <w:szCs w:val="24"/>
          <w:lang w:eastAsia="ar-SA"/>
        </w:rPr>
        <w:t>zložka</w:t>
      </w:r>
      <w:r w:rsidRPr="00CF0E64">
        <w:rPr>
          <w:rFonts w:ascii="Times New Roman" w:eastAsia="Arial Unicode MS" w:hAnsi="Times New Roman" w:cs="Times New Roman"/>
          <w:kern w:val="1"/>
          <w:sz w:val="24"/>
          <w:szCs w:val="24"/>
          <w:lang w:eastAsia="ar-SA"/>
        </w:rPr>
        <w:t xml:space="preserve">, </w:t>
      </w:r>
      <w:r w:rsidR="006E6E5C">
        <w:rPr>
          <w:rFonts w:ascii="Times New Roman" w:eastAsia="Arial Unicode MS" w:hAnsi="Times New Roman" w:cs="Times New Roman"/>
          <w:kern w:val="1"/>
          <w:sz w:val="24"/>
          <w:szCs w:val="24"/>
          <w:lang w:eastAsia="ar-SA"/>
        </w:rPr>
        <w:t>prevádzka</w:t>
      </w:r>
      <w:r w:rsidR="006E6E5C" w:rsidRPr="00CF0E64">
        <w:rPr>
          <w:rFonts w:ascii="Times New Roman" w:eastAsia="Arial Unicode MS" w:hAnsi="Times New Roman" w:cs="Times New Roman"/>
          <w:kern w:val="1"/>
          <w:sz w:val="24"/>
          <w:szCs w:val="24"/>
          <w:lang w:eastAsia="ar-SA"/>
        </w:rPr>
        <w:t xml:space="preserve"> </w:t>
      </w:r>
      <w:r w:rsidRPr="00CF0E64">
        <w:rPr>
          <w:rFonts w:ascii="Times New Roman" w:eastAsia="Arial Unicode MS" w:hAnsi="Times New Roman" w:cs="Times New Roman"/>
          <w:kern w:val="1"/>
          <w:sz w:val="24"/>
          <w:szCs w:val="24"/>
          <w:lang w:eastAsia="ar-SA"/>
        </w:rPr>
        <w:t xml:space="preserve">alebo kancelária oznamujúceho poskytovateľa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ktorá je považovan</w:t>
      </w:r>
      <w:r w:rsidR="001245BE" w:rsidRPr="00CF0E64">
        <w:rPr>
          <w:rFonts w:ascii="Times New Roman" w:eastAsia="Arial Unicode MS" w:hAnsi="Times New Roman" w:cs="Times New Roman"/>
          <w:kern w:val="1"/>
          <w:sz w:val="24"/>
          <w:szCs w:val="24"/>
          <w:lang w:eastAsia="ar-SA"/>
        </w:rPr>
        <w:t xml:space="preserve">á za pobočku podľa práva štátu, v ktorom </w:t>
      </w:r>
      <w:r w:rsidR="001245BE" w:rsidRPr="00CF0E64">
        <w:rPr>
          <w:rFonts w:ascii="Times New Roman" w:eastAsia="Arial Unicode MS" w:hAnsi="Times New Roman" w:cs="Times New Roman"/>
          <w:kern w:val="1"/>
          <w:sz w:val="24"/>
          <w:szCs w:val="24"/>
          <w:lang w:eastAsia="ar-SA"/>
        </w:rPr>
        <w:lastRenderedPageBreak/>
        <w:t xml:space="preserve">sa nachádza. </w:t>
      </w:r>
      <w:r w:rsidR="00CF2054" w:rsidRPr="00CF0E64">
        <w:rPr>
          <w:rFonts w:ascii="Times New Roman" w:eastAsia="Arial Unicode MS" w:hAnsi="Times New Roman" w:cs="Times New Roman"/>
          <w:kern w:val="1"/>
          <w:sz w:val="24"/>
          <w:szCs w:val="24"/>
          <w:lang w:eastAsia="ar-SA"/>
        </w:rPr>
        <w:t xml:space="preserve">V rámci jedného štátu sa zakladá fikcia, že pobočky v tomto štáte sú jednou pobočkou. </w:t>
      </w:r>
    </w:p>
    <w:p w14:paraId="38806F68" w14:textId="77777777" w:rsidR="002D2DCA" w:rsidRPr="00CF0E64" w:rsidRDefault="002D2DCA" w:rsidP="003B68A9">
      <w:pPr>
        <w:spacing w:after="0" w:line="252" w:lineRule="auto"/>
        <w:jc w:val="both"/>
        <w:rPr>
          <w:rFonts w:ascii="Times New Roman" w:eastAsia="Arial Unicode MS" w:hAnsi="Times New Roman" w:cs="Times New Roman"/>
          <w:kern w:val="1"/>
          <w:sz w:val="24"/>
          <w:szCs w:val="24"/>
          <w:lang w:eastAsia="ar-SA"/>
        </w:rPr>
      </w:pPr>
    </w:p>
    <w:p w14:paraId="2E868241" w14:textId="4BE6BA70" w:rsidR="00CF2054" w:rsidRPr="00CF0E64" w:rsidRDefault="00CF2054"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Písm. e)</w:t>
      </w:r>
    </w:p>
    <w:p w14:paraId="6D8B34E6" w14:textId="5FEAF04A" w:rsidR="00CF2054" w:rsidRPr="00CF0E64" w:rsidRDefault="00CF2054"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Definuje sa pojem „identifikačná služba“ pre účely automatickej výmeny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w:t>
      </w:r>
      <w:r w:rsidR="00A1263D" w:rsidRPr="00CF0E64">
        <w:rPr>
          <w:rFonts w:ascii="Times New Roman" w:eastAsia="Arial Unicode MS" w:hAnsi="Times New Roman" w:cs="Times New Roman"/>
          <w:kern w:val="1"/>
          <w:sz w:val="24"/>
          <w:szCs w:val="24"/>
          <w:lang w:eastAsia="ar-SA"/>
        </w:rPr>
        <w:t xml:space="preserve"> Má ísť o elektronický systém, prostredníctvom ktorého bude môcť oznamujúci poskytovateľ služieb </w:t>
      </w:r>
      <w:proofErr w:type="spellStart"/>
      <w:r w:rsidR="00A1263D" w:rsidRPr="00CF0E64">
        <w:rPr>
          <w:rFonts w:ascii="Times New Roman" w:eastAsia="Arial Unicode MS" w:hAnsi="Times New Roman" w:cs="Times New Roman"/>
          <w:kern w:val="1"/>
          <w:sz w:val="24"/>
          <w:szCs w:val="24"/>
          <w:lang w:eastAsia="ar-SA"/>
        </w:rPr>
        <w:t>kryptoaktív</w:t>
      </w:r>
      <w:proofErr w:type="spellEnd"/>
      <w:r w:rsidR="00A1263D" w:rsidRPr="00CF0E64">
        <w:rPr>
          <w:rFonts w:ascii="Times New Roman" w:eastAsia="Arial Unicode MS" w:hAnsi="Times New Roman" w:cs="Times New Roman"/>
          <w:kern w:val="1"/>
          <w:sz w:val="24"/>
          <w:szCs w:val="24"/>
          <w:lang w:eastAsia="ar-SA"/>
        </w:rPr>
        <w:t xml:space="preserve"> overiť totožnosť a daňovú rezidenciu používateľa </w:t>
      </w:r>
      <w:proofErr w:type="spellStart"/>
      <w:r w:rsidR="00A1263D" w:rsidRPr="00CF0E64">
        <w:rPr>
          <w:rFonts w:ascii="Times New Roman" w:eastAsia="Arial Unicode MS" w:hAnsi="Times New Roman" w:cs="Times New Roman"/>
          <w:kern w:val="1"/>
          <w:sz w:val="24"/>
          <w:szCs w:val="24"/>
          <w:lang w:eastAsia="ar-SA"/>
        </w:rPr>
        <w:t>kryptoaktív</w:t>
      </w:r>
      <w:proofErr w:type="spellEnd"/>
      <w:r w:rsidR="00A1263D" w:rsidRPr="00CF0E64">
        <w:rPr>
          <w:rFonts w:ascii="Times New Roman" w:eastAsia="Arial Unicode MS" w:hAnsi="Times New Roman" w:cs="Times New Roman"/>
          <w:kern w:val="1"/>
          <w:sz w:val="24"/>
          <w:szCs w:val="24"/>
          <w:lang w:eastAsia="ar-SA"/>
        </w:rPr>
        <w:t>. Smernica (EÚ) 2023/2226 v odseku 34 odôvodnen</w:t>
      </w:r>
      <w:r w:rsidR="00BE3A41" w:rsidRPr="00CF0E64">
        <w:rPr>
          <w:rFonts w:ascii="Times New Roman" w:eastAsia="Arial Unicode MS" w:hAnsi="Times New Roman" w:cs="Times New Roman"/>
          <w:kern w:val="1"/>
          <w:sz w:val="24"/>
          <w:szCs w:val="24"/>
          <w:lang w:eastAsia="ar-SA"/>
        </w:rPr>
        <w:t>ia</w:t>
      </w:r>
      <w:r w:rsidR="00A1263D" w:rsidRPr="00CF0E64">
        <w:rPr>
          <w:rFonts w:ascii="Times New Roman" w:eastAsia="Arial Unicode MS" w:hAnsi="Times New Roman" w:cs="Times New Roman"/>
          <w:kern w:val="1"/>
          <w:sz w:val="24"/>
          <w:szCs w:val="24"/>
          <w:lang w:eastAsia="ar-SA"/>
        </w:rPr>
        <w:t xml:space="preserve">  k smernici očakáva zriadenie takejto služby </w:t>
      </w:r>
      <w:r w:rsidR="00051DCC" w:rsidRPr="00CF0E64">
        <w:rPr>
          <w:rFonts w:ascii="Times New Roman" w:eastAsia="Arial Unicode MS" w:hAnsi="Times New Roman" w:cs="Times New Roman"/>
          <w:kern w:val="1"/>
          <w:sz w:val="24"/>
          <w:szCs w:val="24"/>
          <w:lang w:eastAsia="ar-SA"/>
        </w:rPr>
        <w:t xml:space="preserve">a príslušné ustanovenia reagujú na jej zriadenie. V súčasnosti má takúto identifikačnú službu zriadenú len Dánsko. </w:t>
      </w:r>
    </w:p>
    <w:p w14:paraId="4C0477E5" w14:textId="62785864" w:rsidR="00051DCC" w:rsidRPr="00CF0E64" w:rsidRDefault="00051DCC" w:rsidP="003B68A9">
      <w:pPr>
        <w:spacing w:after="0" w:line="252" w:lineRule="auto"/>
        <w:jc w:val="both"/>
        <w:rPr>
          <w:rFonts w:ascii="Times New Roman" w:eastAsia="Arial Unicode MS" w:hAnsi="Times New Roman" w:cs="Times New Roman"/>
          <w:kern w:val="1"/>
          <w:sz w:val="24"/>
          <w:szCs w:val="24"/>
          <w:lang w:eastAsia="ar-SA"/>
        </w:rPr>
      </w:pPr>
    </w:p>
    <w:p w14:paraId="3DE3EA1E" w14:textId="46A09652" w:rsidR="00051DCC" w:rsidRPr="00CF0E64" w:rsidRDefault="00051DCC"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Písm. f)</w:t>
      </w:r>
    </w:p>
    <w:p w14:paraId="44097F9A" w14:textId="04E7720C" w:rsidR="006800FB" w:rsidRPr="00CF0E64" w:rsidRDefault="0035780B"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Pre účely automatickej výmeny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sa využíva definícia adresy distribuovanej databázy transakcií podľa nariadenia (EÚ) 2023/1114. </w:t>
      </w:r>
    </w:p>
    <w:p w14:paraId="62779F1B" w14:textId="221FB4A3" w:rsidR="0035780B" w:rsidRPr="00CF0E64" w:rsidRDefault="0035780B" w:rsidP="003B68A9">
      <w:pPr>
        <w:spacing w:after="0" w:line="252" w:lineRule="auto"/>
        <w:jc w:val="both"/>
        <w:rPr>
          <w:rFonts w:ascii="Times New Roman" w:eastAsia="Arial Unicode MS" w:hAnsi="Times New Roman" w:cs="Times New Roman"/>
          <w:kern w:val="1"/>
          <w:sz w:val="24"/>
          <w:szCs w:val="24"/>
          <w:lang w:eastAsia="ar-SA"/>
        </w:rPr>
      </w:pPr>
    </w:p>
    <w:p w14:paraId="7C3BD993" w14:textId="7EE43AEA" w:rsidR="006800FB" w:rsidRPr="00CF0E64" w:rsidRDefault="0035780B"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Písm. g) </w:t>
      </w:r>
    </w:p>
    <w:p w14:paraId="14B52D41" w14:textId="5EB1C20A" w:rsidR="0035780B" w:rsidRPr="00CF0E64" w:rsidRDefault="000E055C"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Postupmi  preverovania vo vzťahu ku klientovi sa pre účely automatickej výmeny informácií rozumejú postupy preverovania vo vzťahu ku klientovi poskytovateľa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w:t>
      </w:r>
      <w:r w:rsidR="006448A8" w:rsidRPr="00CF0E64">
        <w:rPr>
          <w:rFonts w:ascii="Times New Roman" w:eastAsia="Arial Unicode MS" w:hAnsi="Times New Roman" w:cs="Times New Roman"/>
          <w:kern w:val="1"/>
          <w:sz w:val="24"/>
          <w:szCs w:val="24"/>
          <w:lang w:eastAsia="ar-SA"/>
        </w:rPr>
        <w:t xml:space="preserve">v oblasti boja proti legalizácii príjmov z trestnej činnosti a financovania terorizmu (upravené smernicou (EÚ) 2015/849, ktorá je v Slovenskej republike transponovaná do zákona č. 297/2008 Z. z.) alebo podobné požiadavky, ktorým oznamujúci poskytovateľ služieb </w:t>
      </w:r>
      <w:proofErr w:type="spellStart"/>
      <w:r w:rsidR="006448A8" w:rsidRPr="00CF0E64">
        <w:rPr>
          <w:rFonts w:ascii="Times New Roman" w:eastAsia="Arial Unicode MS" w:hAnsi="Times New Roman" w:cs="Times New Roman"/>
          <w:kern w:val="1"/>
          <w:sz w:val="24"/>
          <w:szCs w:val="24"/>
          <w:lang w:eastAsia="ar-SA"/>
        </w:rPr>
        <w:t>kryptoaktív</w:t>
      </w:r>
      <w:proofErr w:type="spellEnd"/>
      <w:r w:rsidR="006448A8" w:rsidRPr="00CF0E64">
        <w:rPr>
          <w:rFonts w:ascii="Times New Roman" w:eastAsia="Arial Unicode MS" w:hAnsi="Times New Roman" w:cs="Times New Roman"/>
          <w:kern w:val="1"/>
          <w:sz w:val="24"/>
          <w:szCs w:val="24"/>
          <w:lang w:eastAsia="ar-SA"/>
        </w:rPr>
        <w:t xml:space="preserve"> podlieha.</w:t>
      </w:r>
    </w:p>
    <w:p w14:paraId="609F5DEC" w14:textId="5CE30D76" w:rsidR="000E055C" w:rsidRPr="00CF0E64" w:rsidRDefault="000E055C" w:rsidP="003B68A9">
      <w:pPr>
        <w:spacing w:after="0" w:line="252" w:lineRule="auto"/>
        <w:jc w:val="both"/>
        <w:rPr>
          <w:rFonts w:ascii="Times New Roman" w:eastAsia="Arial Unicode MS" w:hAnsi="Times New Roman" w:cs="Times New Roman"/>
          <w:kern w:val="1"/>
          <w:sz w:val="24"/>
          <w:szCs w:val="24"/>
          <w:lang w:eastAsia="ar-SA"/>
        </w:rPr>
      </w:pPr>
    </w:p>
    <w:p w14:paraId="0D8842D5" w14:textId="7A7C06CD" w:rsidR="000E055C" w:rsidRPr="00CF0E64" w:rsidRDefault="006448A8"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Písm. h)</w:t>
      </w:r>
    </w:p>
    <w:p w14:paraId="4148014B" w14:textId="1417A8AD" w:rsidR="006448A8" w:rsidRPr="00CF0E64" w:rsidRDefault="006448A8"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Pre </w:t>
      </w:r>
      <w:r w:rsidR="00F40D74" w:rsidRPr="00CF0E64">
        <w:rPr>
          <w:rFonts w:ascii="Times New Roman" w:eastAsia="Arial Unicode MS" w:hAnsi="Times New Roman" w:cs="Times New Roman"/>
          <w:kern w:val="1"/>
          <w:sz w:val="24"/>
          <w:szCs w:val="24"/>
          <w:lang w:eastAsia="ar-SA"/>
        </w:rPr>
        <w:t>potreby definícií vyňatej osoby a aktívneho subjektu</w:t>
      </w:r>
      <w:r w:rsidRPr="00CF0E64">
        <w:rPr>
          <w:rFonts w:ascii="Times New Roman" w:eastAsia="Arial Unicode MS" w:hAnsi="Times New Roman" w:cs="Times New Roman"/>
          <w:kern w:val="1"/>
          <w:sz w:val="24"/>
          <w:szCs w:val="24"/>
          <w:lang w:eastAsia="ar-SA"/>
        </w:rPr>
        <w:t xml:space="preserve"> sa definuje pojem „</w:t>
      </w:r>
      <w:r w:rsidR="002D2DCA">
        <w:rPr>
          <w:rFonts w:ascii="Times New Roman" w:eastAsia="Arial Unicode MS" w:hAnsi="Times New Roman" w:cs="Times New Roman"/>
          <w:kern w:val="1"/>
          <w:sz w:val="24"/>
          <w:szCs w:val="24"/>
          <w:lang w:eastAsia="ar-SA"/>
        </w:rPr>
        <w:t>prepojený subjekt</w:t>
      </w:r>
      <w:r w:rsidRPr="00CF0E64">
        <w:rPr>
          <w:rFonts w:ascii="Times New Roman" w:eastAsia="Arial Unicode MS" w:hAnsi="Times New Roman" w:cs="Times New Roman"/>
          <w:kern w:val="1"/>
          <w:sz w:val="24"/>
          <w:szCs w:val="24"/>
          <w:lang w:eastAsia="ar-SA"/>
        </w:rPr>
        <w:t xml:space="preserve">“. </w:t>
      </w:r>
      <w:r w:rsidR="00F40D74" w:rsidRPr="00CF0E64">
        <w:rPr>
          <w:rFonts w:ascii="Times New Roman" w:eastAsia="Arial Unicode MS" w:hAnsi="Times New Roman" w:cs="Times New Roman"/>
          <w:kern w:val="1"/>
          <w:sz w:val="24"/>
          <w:szCs w:val="24"/>
          <w:lang w:eastAsia="ar-SA"/>
        </w:rPr>
        <w:t>Prepojenie</w:t>
      </w:r>
      <w:r w:rsidR="002D2DCA">
        <w:rPr>
          <w:rFonts w:ascii="Times New Roman" w:eastAsia="Arial Unicode MS" w:hAnsi="Times New Roman" w:cs="Times New Roman"/>
          <w:kern w:val="1"/>
          <w:sz w:val="24"/>
          <w:szCs w:val="24"/>
          <w:lang w:eastAsia="ar-SA"/>
        </w:rPr>
        <w:t xml:space="preserve"> subjektu s iným subjektom</w:t>
      </w:r>
      <w:r w:rsidR="00F40D74" w:rsidRPr="00CF0E64">
        <w:rPr>
          <w:rFonts w:ascii="Times New Roman" w:eastAsia="Arial Unicode MS" w:hAnsi="Times New Roman" w:cs="Times New Roman"/>
          <w:kern w:val="1"/>
          <w:sz w:val="24"/>
          <w:szCs w:val="24"/>
          <w:lang w:eastAsia="ar-SA"/>
        </w:rPr>
        <w:t xml:space="preserve"> spočíva v kontrole jedného subjektu iným subjektom alebo v tom, že </w:t>
      </w:r>
      <w:r w:rsidR="00591A73" w:rsidRPr="00CF0E64">
        <w:rPr>
          <w:rFonts w:ascii="Times New Roman" w:eastAsia="Arial Unicode MS" w:hAnsi="Times New Roman" w:cs="Times New Roman"/>
          <w:kern w:val="1"/>
          <w:sz w:val="24"/>
          <w:szCs w:val="24"/>
          <w:lang w:eastAsia="ar-SA"/>
        </w:rPr>
        <w:t xml:space="preserve">sa </w:t>
      </w:r>
      <w:r w:rsidR="00F40D74" w:rsidRPr="00CF0E64">
        <w:rPr>
          <w:rFonts w:ascii="Times New Roman" w:eastAsia="Arial Unicode MS" w:hAnsi="Times New Roman" w:cs="Times New Roman"/>
          <w:kern w:val="1"/>
          <w:sz w:val="24"/>
          <w:szCs w:val="24"/>
          <w:lang w:eastAsia="ar-SA"/>
        </w:rPr>
        <w:t>subjekty nachádzajú v rovnakom reťazci ovládaných osôb. Pre naplnenie definície je potrebné kumulatívne splnenie dvoch podmienok: držba viac ako 50% hlasovacích práv a </w:t>
      </w:r>
      <w:r w:rsidR="00491385" w:rsidRPr="00CF0E64">
        <w:rPr>
          <w:rFonts w:ascii="Times New Roman" w:eastAsia="Arial Unicode MS" w:hAnsi="Times New Roman" w:cs="Times New Roman"/>
          <w:kern w:val="1"/>
          <w:sz w:val="24"/>
          <w:szCs w:val="24"/>
          <w:lang w:eastAsia="ar-SA"/>
        </w:rPr>
        <w:t>hodnota</w:t>
      </w:r>
      <w:r w:rsidR="00F40D74" w:rsidRPr="00CF0E64">
        <w:rPr>
          <w:rFonts w:ascii="Times New Roman" w:eastAsia="Arial Unicode MS" w:hAnsi="Times New Roman" w:cs="Times New Roman"/>
          <w:kern w:val="1"/>
          <w:sz w:val="24"/>
          <w:szCs w:val="24"/>
          <w:lang w:eastAsia="ar-SA"/>
        </w:rPr>
        <w:t xml:space="preserve"> podielu na </w:t>
      </w:r>
      <w:r w:rsidR="002D2DCA">
        <w:rPr>
          <w:rFonts w:ascii="Times New Roman" w:eastAsia="Arial Unicode MS" w:hAnsi="Times New Roman" w:cs="Times New Roman"/>
          <w:kern w:val="1"/>
          <w:sz w:val="24"/>
          <w:szCs w:val="24"/>
          <w:lang w:eastAsia="ar-SA"/>
        </w:rPr>
        <w:t>základnom imaní</w:t>
      </w:r>
      <w:r w:rsidR="002D2DCA" w:rsidRPr="00CF0E64">
        <w:rPr>
          <w:rFonts w:ascii="Times New Roman" w:eastAsia="Arial Unicode MS" w:hAnsi="Times New Roman" w:cs="Times New Roman"/>
          <w:kern w:val="1"/>
          <w:sz w:val="24"/>
          <w:szCs w:val="24"/>
          <w:lang w:eastAsia="ar-SA"/>
        </w:rPr>
        <w:t xml:space="preserve"> </w:t>
      </w:r>
      <w:r w:rsidR="00F40D74" w:rsidRPr="00CF0E64">
        <w:rPr>
          <w:rFonts w:ascii="Times New Roman" w:eastAsia="Arial Unicode MS" w:hAnsi="Times New Roman" w:cs="Times New Roman"/>
          <w:kern w:val="1"/>
          <w:sz w:val="24"/>
          <w:szCs w:val="24"/>
          <w:lang w:eastAsia="ar-SA"/>
        </w:rPr>
        <w:t xml:space="preserve">vo výške viac ako 50%. Ak ide o nepriamy podiel na hlasovacích právach alebo kapitáli, pre výpočet výsledného podielu je potrebné podiely vynásobiť. </w:t>
      </w:r>
    </w:p>
    <w:p w14:paraId="2EC9ECEA" w14:textId="22B86491" w:rsidR="00462FA3" w:rsidRPr="00CF0E64" w:rsidRDefault="00462FA3" w:rsidP="003B68A9">
      <w:pPr>
        <w:spacing w:after="0" w:line="252" w:lineRule="auto"/>
        <w:jc w:val="both"/>
        <w:rPr>
          <w:rFonts w:ascii="Times New Roman" w:hAnsi="Times New Roman" w:cs="Times New Roman"/>
          <w:sz w:val="24"/>
          <w:szCs w:val="24"/>
        </w:rPr>
      </w:pPr>
    </w:p>
    <w:p w14:paraId="16F6CF1E" w14:textId="6780366E" w:rsidR="00F311B9" w:rsidRPr="00CF0E64" w:rsidRDefault="00F311B9"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Písm. i)</w:t>
      </w:r>
    </w:p>
    <w:p w14:paraId="3CB501BD" w14:textId="5566765B" w:rsidR="00F311B9" w:rsidRPr="00CF0E64" w:rsidRDefault="00F311B9"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Pre účely automatickej výmeny informácií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 xml:space="preserve"> sa definuje pojem „aktívny subjekt“ a vymenúvajú sa kritériá, ktoré musí takýto subjekt spĺňať. Kritériá sú obdobné ako v rámci definície aktívneho nefinančného subjektu pri automatickej výmene informácií o finančných účtoch. </w:t>
      </w:r>
      <w:r w:rsidR="0019059D">
        <w:rPr>
          <w:rFonts w:ascii="Times New Roman" w:hAnsi="Times New Roman" w:cs="Times New Roman"/>
          <w:sz w:val="24"/>
          <w:szCs w:val="24"/>
        </w:rPr>
        <w:t>V bode 5</w:t>
      </w:r>
      <w:r w:rsidR="006A5C71">
        <w:rPr>
          <w:rFonts w:ascii="Times New Roman" w:hAnsi="Times New Roman" w:cs="Times New Roman"/>
          <w:sz w:val="24"/>
          <w:szCs w:val="24"/>
        </w:rPr>
        <w:t xml:space="preserve"> kritérií</w:t>
      </w:r>
      <w:r w:rsidR="0019059D">
        <w:rPr>
          <w:rFonts w:ascii="Times New Roman" w:hAnsi="Times New Roman" w:cs="Times New Roman"/>
          <w:sz w:val="24"/>
          <w:szCs w:val="24"/>
        </w:rPr>
        <w:t xml:space="preserve"> sa pod transakciami zabezpečenia rozumie zabezpečenie pred rizikom straty (</w:t>
      </w:r>
      <w:proofErr w:type="spellStart"/>
      <w:r w:rsidR="0019059D">
        <w:rPr>
          <w:rFonts w:ascii="Times New Roman" w:hAnsi="Times New Roman" w:cs="Times New Roman"/>
          <w:sz w:val="24"/>
          <w:szCs w:val="24"/>
        </w:rPr>
        <w:t>hedžing</w:t>
      </w:r>
      <w:proofErr w:type="spellEnd"/>
      <w:r w:rsidR="0019059D">
        <w:rPr>
          <w:rFonts w:ascii="Times New Roman" w:hAnsi="Times New Roman" w:cs="Times New Roman"/>
          <w:sz w:val="24"/>
          <w:szCs w:val="24"/>
        </w:rPr>
        <w:t xml:space="preserve">). V bode 6 </w:t>
      </w:r>
      <w:r w:rsidR="006A5C71">
        <w:rPr>
          <w:rFonts w:ascii="Times New Roman" w:hAnsi="Times New Roman" w:cs="Times New Roman"/>
          <w:sz w:val="24"/>
          <w:szCs w:val="24"/>
        </w:rPr>
        <w:t xml:space="preserve">kritérií </w:t>
      </w:r>
      <w:r w:rsidR="0019059D">
        <w:rPr>
          <w:rFonts w:ascii="Times New Roman" w:hAnsi="Times New Roman" w:cs="Times New Roman"/>
          <w:sz w:val="24"/>
          <w:szCs w:val="24"/>
        </w:rPr>
        <w:t xml:space="preserve">sa pod pojmom obchodný spolok rozumie </w:t>
      </w:r>
      <w:r w:rsidR="0019059D" w:rsidRPr="0019059D">
        <w:rPr>
          <w:rFonts w:ascii="Times New Roman" w:hAnsi="Times New Roman" w:cs="Times New Roman"/>
          <w:sz w:val="24"/>
          <w:szCs w:val="24"/>
        </w:rPr>
        <w:t xml:space="preserve">združenie osôb s určitým spoločným obchodným záujmom, ktorého účelom je presadzovať takýto spoločný záujem a nie zapájať sa do bežného podnikania, ktoré sa bežne vykonáva za účelom zisku. </w:t>
      </w:r>
      <w:r w:rsidR="0019059D">
        <w:rPr>
          <w:rFonts w:ascii="Times New Roman" w:hAnsi="Times New Roman" w:cs="Times New Roman"/>
          <w:sz w:val="24"/>
          <w:szCs w:val="24"/>
        </w:rPr>
        <w:t>Obchodnými spolkami sú o</w:t>
      </w:r>
      <w:r w:rsidR="0019059D" w:rsidRPr="0019059D">
        <w:rPr>
          <w:rFonts w:ascii="Times New Roman" w:hAnsi="Times New Roman" w:cs="Times New Roman"/>
          <w:sz w:val="24"/>
          <w:szCs w:val="24"/>
        </w:rPr>
        <w:t>bchodné združenia a profesijné združenia.</w:t>
      </w:r>
    </w:p>
    <w:p w14:paraId="5BA12B2B" w14:textId="7B01211B" w:rsidR="00C11CD3" w:rsidRPr="006A5C71" w:rsidRDefault="00C11CD3" w:rsidP="006A5C71">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Nadväzne na komentár k rámcu CARF a dodatku k spoločnému štandardu oznamovania (CRS) sa pri definovaní pojmu „pasívny príjem“ má odkazovať na pravidlá konkrétneho štátu. Za pasívny príjem sa vo všeobecnosti považuje taký príjem, ktorý zahrňuje časť hrubého príjmu, ktorý pozostáva z: </w:t>
      </w:r>
      <w:r w:rsidRPr="006A5C71">
        <w:rPr>
          <w:rFonts w:ascii="Times New Roman" w:hAnsi="Times New Roman" w:cs="Times New Roman"/>
          <w:sz w:val="24"/>
          <w:szCs w:val="24"/>
        </w:rPr>
        <w:t>dividend,</w:t>
      </w:r>
      <w:r w:rsidR="006A5C71">
        <w:rPr>
          <w:rFonts w:ascii="Times New Roman" w:hAnsi="Times New Roman" w:cs="Times New Roman"/>
          <w:sz w:val="24"/>
          <w:szCs w:val="24"/>
        </w:rPr>
        <w:t xml:space="preserve"> </w:t>
      </w:r>
      <w:r w:rsidRPr="006A5C71">
        <w:rPr>
          <w:rFonts w:ascii="Times New Roman" w:hAnsi="Times New Roman" w:cs="Times New Roman"/>
          <w:sz w:val="24"/>
          <w:szCs w:val="24"/>
        </w:rPr>
        <w:t>úrokov,</w:t>
      </w:r>
      <w:r w:rsidR="006A5C71">
        <w:rPr>
          <w:rFonts w:ascii="Times New Roman" w:hAnsi="Times New Roman" w:cs="Times New Roman"/>
          <w:sz w:val="24"/>
          <w:szCs w:val="24"/>
        </w:rPr>
        <w:t xml:space="preserve"> </w:t>
      </w:r>
      <w:r w:rsidRPr="006A5C71">
        <w:rPr>
          <w:rFonts w:ascii="Times New Roman" w:hAnsi="Times New Roman" w:cs="Times New Roman"/>
          <w:sz w:val="24"/>
          <w:szCs w:val="24"/>
        </w:rPr>
        <w:t>príjmu ekvivalentného úrokom alebo dividendám,</w:t>
      </w:r>
      <w:r w:rsidR="006A5C71">
        <w:rPr>
          <w:rFonts w:ascii="Times New Roman" w:hAnsi="Times New Roman" w:cs="Times New Roman"/>
          <w:sz w:val="24"/>
          <w:szCs w:val="24"/>
        </w:rPr>
        <w:t xml:space="preserve"> </w:t>
      </w:r>
      <w:r w:rsidRPr="006A5C71">
        <w:rPr>
          <w:rFonts w:ascii="Times New Roman" w:hAnsi="Times New Roman" w:cs="Times New Roman"/>
          <w:sz w:val="24"/>
          <w:szCs w:val="24"/>
        </w:rPr>
        <w:t>nájomného a licenčných poplatkov, iných ako takých, ktoré sú dosiahnuté z aktívnej činnosti aspoň čiastočne vykonávanej zamestnancami subjektu,</w:t>
      </w:r>
      <w:r w:rsidR="006A5C71">
        <w:rPr>
          <w:rFonts w:ascii="Times New Roman" w:hAnsi="Times New Roman" w:cs="Times New Roman"/>
          <w:sz w:val="24"/>
          <w:szCs w:val="24"/>
        </w:rPr>
        <w:t xml:space="preserve"> </w:t>
      </w:r>
      <w:r w:rsidRPr="006A5C71">
        <w:rPr>
          <w:rFonts w:ascii="Times New Roman" w:hAnsi="Times New Roman" w:cs="Times New Roman"/>
          <w:sz w:val="24"/>
          <w:szCs w:val="24"/>
        </w:rPr>
        <w:t>renty,</w:t>
      </w:r>
      <w:r w:rsidR="006A5C71">
        <w:rPr>
          <w:rFonts w:ascii="Times New Roman" w:hAnsi="Times New Roman" w:cs="Times New Roman"/>
          <w:sz w:val="24"/>
          <w:szCs w:val="24"/>
        </w:rPr>
        <w:t xml:space="preserve"> </w:t>
      </w:r>
      <w:r w:rsidRPr="006A5C71">
        <w:rPr>
          <w:rFonts w:ascii="Times New Roman" w:hAnsi="Times New Roman" w:cs="Times New Roman"/>
          <w:sz w:val="24"/>
          <w:szCs w:val="24"/>
        </w:rPr>
        <w:t xml:space="preserve">príjmu odvodeného od relevantných </w:t>
      </w:r>
      <w:proofErr w:type="spellStart"/>
      <w:r w:rsidRPr="006A5C71">
        <w:rPr>
          <w:rFonts w:ascii="Times New Roman" w:hAnsi="Times New Roman" w:cs="Times New Roman"/>
          <w:sz w:val="24"/>
          <w:szCs w:val="24"/>
        </w:rPr>
        <w:t>kryptoaktív</w:t>
      </w:r>
      <w:proofErr w:type="spellEnd"/>
      <w:r w:rsidRPr="006A5C71">
        <w:rPr>
          <w:rFonts w:ascii="Times New Roman" w:hAnsi="Times New Roman" w:cs="Times New Roman"/>
          <w:sz w:val="24"/>
          <w:szCs w:val="24"/>
        </w:rPr>
        <w:t>,</w:t>
      </w:r>
      <w:r w:rsidR="006A5C71">
        <w:rPr>
          <w:rFonts w:ascii="Times New Roman" w:hAnsi="Times New Roman" w:cs="Times New Roman"/>
          <w:sz w:val="24"/>
          <w:szCs w:val="24"/>
        </w:rPr>
        <w:t xml:space="preserve"> </w:t>
      </w:r>
      <w:r w:rsidRPr="006A5C71">
        <w:rPr>
          <w:rFonts w:ascii="Times New Roman" w:hAnsi="Times New Roman" w:cs="Times New Roman"/>
          <w:sz w:val="24"/>
          <w:szCs w:val="24"/>
        </w:rPr>
        <w:t xml:space="preserve">prebytku ziskov nad stratami z predaja a výmeny </w:t>
      </w:r>
      <w:proofErr w:type="spellStart"/>
      <w:r w:rsidRPr="006A5C71">
        <w:rPr>
          <w:rFonts w:ascii="Times New Roman" w:hAnsi="Times New Roman" w:cs="Times New Roman"/>
          <w:sz w:val="24"/>
          <w:szCs w:val="24"/>
        </w:rPr>
        <w:t>relevnantných</w:t>
      </w:r>
      <w:proofErr w:type="spellEnd"/>
      <w:r w:rsidRPr="006A5C71">
        <w:rPr>
          <w:rFonts w:ascii="Times New Roman" w:hAnsi="Times New Roman" w:cs="Times New Roman"/>
          <w:sz w:val="24"/>
          <w:szCs w:val="24"/>
        </w:rPr>
        <w:t xml:space="preserve"> </w:t>
      </w:r>
      <w:proofErr w:type="spellStart"/>
      <w:r w:rsidRPr="006A5C71">
        <w:rPr>
          <w:rFonts w:ascii="Times New Roman" w:hAnsi="Times New Roman" w:cs="Times New Roman"/>
          <w:sz w:val="24"/>
          <w:szCs w:val="24"/>
        </w:rPr>
        <w:lastRenderedPageBreak/>
        <w:t>kryptoaktív</w:t>
      </w:r>
      <w:proofErr w:type="spellEnd"/>
      <w:r w:rsidRPr="006A5C71">
        <w:rPr>
          <w:rFonts w:ascii="Times New Roman" w:hAnsi="Times New Roman" w:cs="Times New Roman"/>
          <w:sz w:val="24"/>
          <w:szCs w:val="24"/>
        </w:rPr>
        <w:t xml:space="preserve"> alebo finančných aktív,</w:t>
      </w:r>
      <w:r w:rsidR="006A5C71">
        <w:rPr>
          <w:rFonts w:ascii="Times New Roman" w:hAnsi="Times New Roman" w:cs="Times New Roman"/>
          <w:sz w:val="24"/>
          <w:szCs w:val="24"/>
        </w:rPr>
        <w:t xml:space="preserve"> </w:t>
      </w:r>
      <w:r w:rsidRPr="006A5C71">
        <w:rPr>
          <w:rFonts w:ascii="Times New Roman" w:hAnsi="Times New Roman" w:cs="Times New Roman"/>
          <w:sz w:val="24"/>
          <w:szCs w:val="24"/>
        </w:rPr>
        <w:t xml:space="preserve">prebytku ziskov nad stratami z transakcií (vrátane </w:t>
      </w:r>
      <w:proofErr w:type="spellStart"/>
      <w:r w:rsidRPr="006A5C71">
        <w:rPr>
          <w:rFonts w:ascii="Times New Roman" w:hAnsi="Times New Roman" w:cs="Times New Roman"/>
          <w:sz w:val="24"/>
          <w:szCs w:val="24"/>
        </w:rPr>
        <w:t>futures</w:t>
      </w:r>
      <w:proofErr w:type="spellEnd"/>
      <w:r w:rsidRPr="006A5C71">
        <w:rPr>
          <w:rFonts w:ascii="Times New Roman" w:hAnsi="Times New Roman" w:cs="Times New Roman"/>
          <w:sz w:val="24"/>
          <w:szCs w:val="24"/>
        </w:rPr>
        <w:t xml:space="preserve">, forwardov, opcií a podobných transakcií) s relevantnými </w:t>
      </w:r>
      <w:proofErr w:type="spellStart"/>
      <w:r w:rsidRPr="006A5C71">
        <w:rPr>
          <w:rFonts w:ascii="Times New Roman" w:hAnsi="Times New Roman" w:cs="Times New Roman"/>
          <w:sz w:val="24"/>
          <w:szCs w:val="24"/>
        </w:rPr>
        <w:t>kryptoaktívami</w:t>
      </w:r>
      <w:proofErr w:type="spellEnd"/>
      <w:r w:rsidRPr="006A5C71">
        <w:rPr>
          <w:rFonts w:ascii="Times New Roman" w:hAnsi="Times New Roman" w:cs="Times New Roman"/>
          <w:sz w:val="24"/>
          <w:szCs w:val="24"/>
        </w:rPr>
        <w:t xml:space="preserve"> alebo finančnými aktívami,</w:t>
      </w:r>
      <w:r w:rsidR="006A5C71">
        <w:rPr>
          <w:rFonts w:ascii="Times New Roman" w:hAnsi="Times New Roman" w:cs="Times New Roman"/>
          <w:sz w:val="24"/>
          <w:szCs w:val="24"/>
        </w:rPr>
        <w:t xml:space="preserve"> </w:t>
      </w:r>
      <w:r w:rsidRPr="006A5C71">
        <w:rPr>
          <w:rFonts w:ascii="Times New Roman" w:hAnsi="Times New Roman" w:cs="Times New Roman"/>
          <w:sz w:val="24"/>
          <w:szCs w:val="24"/>
        </w:rPr>
        <w:t>prebytku kurzových ziskov nad kurzovými stratami,</w:t>
      </w:r>
      <w:r w:rsidR="006A5C71">
        <w:rPr>
          <w:rFonts w:ascii="Times New Roman" w:hAnsi="Times New Roman" w:cs="Times New Roman"/>
          <w:sz w:val="24"/>
          <w:szCs w:val="24"/>
        </w:rPr>
        <w:t xml:space="preserve"> </w:t>
      </w:r>
      <w:r w:rsidRPr="006A5C71">
        <w:rPr>
          <w:rFonts w:ascii="Times New Roman" w:hAnsi="Times New Roman" w:cs="Times New Roman"/>
          <w:sz w:val="24"/>
          <w:szCs w:val="24"/>
        </w:rPr>
        <w:t>čistého príjmu zo swapov alebo</w:t>
      </w:r>
      <w:r w:rsidR="006A5C71">
        <w:rPr>
          <w:rFonts w:ascii="Times New Roman" w:hAnsi="Times New Roman" w:cs="Times New Roman"/>
          <w:sz w:val="24"/>
          <w:szCs w:val="24"/>
        </w:rPr>
        <w:t xml:space="preserve"> </w:t>
      </w:r>
      <w:r w:rsidRPr="006A5C71">
        <w:rPr>
          <w:rFonts w:ascii="Times New Roman" w:hAnsi="Times New Roman" w:cs="Times New Roman"/>
          <w:sz w:val="24"/>
          <w:szCs w:val="24"/>
        </w:rPr>
        <w:t>sumy prijatej na základe poistných zmlúv s peňažnou hodnotou.</w:t>
      </w:r>
      <w:r w:rsidRPr="003B7CA4">
        <w:t xml:space="preserve"> </w:t>
      </w:r>
    </w:p>
    <w:p w14:paraId="0B422CE8" w14:textId="5C68E1DF" w:rsidR="00C11CD3" w:rsidRDefault="00C11CD3" w:rsidP="00C11CD3">
      <w:pPr>
        <w:spacing w:after="0" w:line="252" w:lineRule="auto"/>
        <w:jc w:val="both"/>
        <w:rPr>
          <w:rFonts w:ascii="Times New Roman" w:hAnsi="Times New Roman" w:cs="Times New Roman"/>
          <w:sz w:val="24"/>
          <w:szCs w:val="24"/>
        </w:rPr>
      </w:pPr>
    </w:p>
    <w:p w14:paraId="7805AC56" w14:textId="2817E166" w:rsidR="00531109" w:rsidRDefault="00531109" w:rsidP="003B68A9">
      <w:pPr>
        <w:spacing w:after="0" w:line="252" w:lineRule="auto"/>
        <w:jc w:val="both"/>
        <w:rPr>
          <w:rFonts w:ascii="Times New Roman" w:hAnsi="Times New Roman" w:cs="Times New Roman"/>
          <w:sz w:val="24"/>
          <w:szCs w:val="24"/>
        </w:rPr>
      </w:pPr>
      <w:r>
        <w:rPr>
          <w:rFonts w:ascii="Times New Roman" w:hAnsi="Times New Roman" w:cs="Times New Roman"/>
          <w:sz w:val="24"/>
          <w:szCs w:val="24"/>
        </w:rPr>
        <w:t>Písm. j)</w:t>
      </w:r>
    </w:p>
    <w:p w14:paraId="372EBB8E" w14:textId="69B67A0F" w:rsidR="00531109" w:rsidRDefault="00531109" w:rsidP="003B68A9">
      <w:pPr>
        <w:spacing w:after="0" w:line="252" w:lineRule="auto"/>
        <w:jc w:val="both"/>
        <w:rPr>
          <w:rFonts w:ascii="Times New Roman" w:hAnsi="Times New Roman" w:cs="Times New Roman"/>
          <w:sz w:val="24"/>
          <w:szCs w:val="24"/>
        </w:rPr>
      </w:pPr>
      <w:r>
        <w:rPr>
          <w:rFonts w:ascii="Times New Roman" w:hAnsi="Times New Roman" w:cs="Times New Roman"/>
          <w:sz w:val="24"/>
          <w:szCs w:val="24"/>
        </w:rPr>
        <w:t>Zavádza sa definícia pojmu „elektronické peniaze“ na účely automatickej výmeny informácií o </w:t>
      </w:r>
      <w:proofErr w:type="spellStart"/>
      <w:r>
        <w:rPr>
          <w:rFonts w:ascii="Times New Roman" w:hAnsi="Times New Roman" w:cs="Times New Roman"/>
          <w:sz w:val="24"/>
          <w:szCs w:val="24"/>
        </w:rPr>
        <w:t>kryptoaktívach</w:t>
      </w:r>
      <w:proofErr w:type="spellEnd"/>
      <w:r>
        <w:rPr>
          <w:rFonts w:ascii="Times New Roman" w:hAnsi="Times New Roman" w:cs="Times New Roman"/>
          <w:sz w:val="24"/>
          <w:szCs w:val="24"/>
        </w:rPr>
        <w:t xml:space="preserve">. Pod týmto pojmom sa rozumie akékoľvek </w:t>
      </w:r>
      <w:proofErr w:type="spellStart"/>
      <w:r>
        <w:rPr>
          <w:rFonts w:ascii="Times New Roman" w:hAnsi="Times New Roman" w:cs="Times New Roman"/>
          <w:sz w:val="24"/>
          <w:szCs w:val="24"/>
        </w:rPr>
        <w:t>kryptoaktívum</w:t>
      </w:r>
      <w:proofErr w:type="spellEnd"/>
      <w:r>
        <w:rPr>
          <w:rFonts w:ascii="Times New Roman" w:hAnsi="Times New Roman" w:cs="Times New Roman"/>
          <w:sz w:val="24"/>
          <w:szCs w:val="24"/>
        </w:rPr>
        <w:t xml:space="preserve">, ktoré spĺňa stanovené charakteristiky uvedené v bodoch 1 až 5. </w:t>
      </w:r>
    </w:p>
    <w:p w14:paraId="18757735" w14:textId="77777777" w:rsidR="00531109" w:rsidRPr="00CF0E64" w:rsidRDefault="00531109" w:rsidP="003B68A9">
      <w:pPr>
        <w:spacing w:after="0" w:line="252" w:lineRule="auto"/>
        <w:jc w:val="both"/>
        <w:rPr>
          <w:rFonts w:ascii="Times New Roman" w:hAnsi="Times New Roman" w:cs="Times New Roman"/>
          <w:sz w:val="24"/>
          <w:szCs w:val="24"/>
        </w:rPr>
      </w:pPr>
    </w:p>
    <w:p w14:paraId="21E2F4DD" w14:textId="795E7E27" w:rsidR="000B6E2A" w:rsidRPr="00CF0E64" w:rsidRDefault="007210C7" w:rsidP="003B68A9">
      <w:pPr>
        <w:spacing w:after="0" w:line="252" w:lineRule="auto"/>
        <w:jc w:val="both"/>
        <w:rPr>
          <w:rFonts w:ascii="Times New Roman" w:eastAsia="Arial Unicode MS" w:hAnsi="Times New Roman" w:cs="Times New Roman"/>
          <w:b/>
          <w:kern w:val="1"/>
          <w:sz w:val="24"/>
          <w:szCs w:val="24"/>
          <w:lang w:eastAsia="ar-SA"/>
        </w:rPr>
      </w:pPr>
      <w:r w:rsidRPr="00CF0E64">
        <w:rPr>
          <w:rFonts w:ascii="Times New Roman" w:eastAsia="Arial Unicode MS" w:hAnsi="Times New Roman" w:cs="Times New Roman"/>
          <w:b/>
          <w:kern w:val="1"/>
          <w:sz w:val="24"/>
          <w:szCs w:val="24"/>
          <w:lang w:eastAsia="ar-SA"/>
        </w:rPr>
        <w:t>§ 15b</w:t>
      </w:r>
    </w:p>
    <w:p w14:paraId="009D03D0" w14:textId="60B9EAA3" w:rsidR="000B6E2A" w:rsidRPr="00CF0E64" w:rsidRDefault="007210C7"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Stanovuje sa, že oznamujúcim poskytovateľom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ktorý je povinný plniť povinnosti oznamovania a vykonávať postupy preverovania</w:t>
      </w:r>
      <w:r w:rsidR="007900BA" w:rsidRPr="00CF0E64">
        <w:rPr>
          <w:rFonts w:ascii="Times New Roman" w:eastAsia="Arial Unicode MS" w:hAnsi="Times New Roman" w:cs="Times New Roman"/>
          <w:kern w:val="1"/>
          <w:sz w:val="24"/>
          <w:szCs w:val="24"/>
          <w:lang w:eastAsia="ar-SA"/>
        </w:rPr>
        <w:t xml:space="preserve"> pre účely automatickej výmeny informácií o </w:t>
      </w:r>
      <w:proofErr w:type="spellStart"/>
      <w:r w:rsidR="007900BA"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je poskytovateľ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w:t>
      </w:r>
      <w:r w:rsidR="007347F4" w:rsidRPr="00CF0E64">
        <w:rPr>
          <w:rFonts w:ascii="Times New Roman" w:eastAsia="Arial Unicode MS" w:hAnsi="Times New Roman" w:cs="Times New Roman"/>
          <w:kern w:val="1"/>
          <w:sz w:val="24"/>
          <w:szCs w:val="24"/>
          <w:lang w:eastAsia="ar-SA"/>
        </w:rPr>
        <w:t xml:space="preserve">regulovaný </w:t>
      </w:r>
      <w:r w:rsidRPr="00CF0E64">
        <w:rPr>
          <w:rFonts w:ascii="Times New Roman" w:eastAsia="Arial Unicode MS" w:hAnsi="Times New Roman" w:cs="Times New Roman"/>
          <w:kern w:val="1"/>
          <w:sz w:val="24"/>
          <w:szCs w:val="24"/>
          <w:lang w:eastAsia="ar-SA"/>
        </w:rPr>
        <w:t xml:space="preserve">podľa nariadenia (EÚ) 2023/1114 (uvedený v § 15a písm. a)) a prevádzkovateľ </w:t>
      </w:r>
      <w:proofErr w:type="spellStart"/>
      <w:r w:rsidRPr="00CF0E64">
        <w:rPr>
          <w:rFonts w:ascii="Times New Roman" w:eastAsia="Arial Unicode MS" w:hAnsi="Times New Roman" w:cs="Times New Roman"/>
          <w:kern w:val="1"/>
          <w:sz w:val="24"/>
          <w:szCs w:val="24"/>
          <w:lang w:eastAsia="ar-SA"/>
        </w:rPr>
        <w:t>kr</w:t>
      </w:r>
      <w:r w:rsidR="00AE39F2" w:rsidRPr="00CF0E64">
        <w:rPr>
          <w:rFonts w:ascii="Times New Roman" w:eastAsia="Arial Unicode MS" w:hAnsi="Times New Roman" w:cs="Times New Roman"/>
          <w:kern w:val="1"/>
          <w:sz w:val="24"/>
          <w:szCs w:val="24"/>
          <w:lang w:eastAsia="ar-SA"/>
        </w:rPr>
        <w:t>yptoaktív</w:t>
      </w:r>
      <w:proofErr w:type="spellEnd"/>
      <w:r w:rsidR="00AE39F2" w:rsidRPr="00CF0E64">
        <w:rPr>
          <w:rFonts w:ascii="Times New Roman" w:eastAsia="Arial Unicode MS" w:hAnsi="Times New Roman" w:cs="Times New Roman"/>
          <w:kern w:val="1"/>
          <w:sz w:val="24"/>
          <w:szCs w:val="24"/>
          <w:lang w:eastAsia="ar-SA"/>
        </w:rPr>
        <w:t xml:space="preserve">, ktorý nespadá pod reguláciu v rámci nariadenia (EÚ) 2023/1114 (uvedený v §15a písm. b)). </w:t>
      </w:r>
    </w:p>
    <w:p w14:paraId="7DFB6CF7" w14:textId="7709F121" w:rsidR="00B01CDD" w:rsidRPr="00CF0E64" w:rsidRDefault="00B01CDD" w:rsidP="003B68A9">
      <w:pPr>
        <w:spacing w:after="0" w:line="252" w:lineRule="auto"/>
        <w:jc w:val="both"/>
        <w:rPr>
          <w:rFonts w:ascii="Times New Roman" w:eastAsia="Arial Unicode MS" w:hAnsi="Times New Roman" w:cs="Times New Roman"/>
          <w:b/>
          <w:kern w:val="1"/>
          <w:sz w:val="24"/>
          <w:szCs w:val="24"/>
          <w:u w:val="single"/>
          <w:lang w:eastAsia="ar-SA"/>
        </w:rPr>
      </w:pPr>
    </w:p>
    <w:p w14:paraId="53747287" w14:textId="53AE14CA" w:rsidR="00B01CDD" w:rsidRPr="00CF0E64" w:rsidRDefault="00B01CDD" w:rsidP="003B68A9">
      <w:pPr>
        <w:spacing w:after="0" w:line="252" w:lineRule="auto"/>
        <w:jc w:val="both"/>
        <w:rPr>
          <w:rFonts w:ascii="Times New Roman" w:eastAsia="Arial Unicode MS" w:hAnsi="Times New Roman" w:cs="Times New Roman"/>
          <w:b/>
          <w:kern w:val="1"/>
          <w:sz w:val="24"/>
          <w:szCs w:val="24"/>
          <w:lang w:eastAsia="ar-SA"/>
        </w:rPr>
      </w:pPr>
      <w:r w:rsidRPr="00CF0E64">
        <w:rPr>
          <w:rFonts w:ascii="Times New Roman" w:eastAsia="Arial Unicode MS" w:hAnsi="Times New Roman" w:cs="Times New Roman"/>
          <w:b/>
          <w:kern w:val="1"/>
          <w:sz w:val="24"/>
          <w:szCs w:val="24"/>
          <w:lang w:eastAsia="ar-SA"/>
        </w:rPr>
        <w:t>§ 15c</w:t>
      </w:r>
    </w:p>
    <w:p w14:paraId="06805F5C" w14:textId="325EE0CF" w:rsidR="00B01CDD" w:rsidRPr="00CF0E64" w:rsidRDefault="00B01CDD"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Pre účely automatickej výmeny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sa definujú oznamované transakcie. Ide o transakcie, o ktorých má oznamujúci poskytovateľ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získavať informácie a oznamovať ich príslušnému orgánu. Oznamovanými transakciami je výmenná transakcia a prevod. Výmenné transakcie sú zadefinované v § 2 písm. o). </w:t>
      </w:r>
    </w:p>
    <w:p w14:paraId="7CE33239" w14:textId="1B8D2DB9" w:rsidR="00B01CDD" w:rsidRPr="00CF0E64" w:rsidRDefault="00B01CDD"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V odseku 2 sa zavádza definícia pojmu „prevod“. </w:t>
      </w:r>
      <w:r w:rsidR="00591A73" w:rsidRPr="00CF0E64">
        <w:rPr>
          <w:rFonts w:ascii="Times New Roman" w:eastAsia="Arial Unicode MS" w:hAnsi="Times New Roman" w:cs="Times New Roman"/>
          <w:kern w:val="1"/>
          <w:sz w:val="24"/>
          <w:szCs w:val="24"/>
          <w:lang w:eastAsia="ar-SA"/>
        </w:rPr>
        <w:t xml:space="preserve">Prevodom </w:t>
      </w:r>
      <w:proofErr w:type="spellStart"/>
      <w:r w:rsidR="00591A73" w:rsidRPr="00CF0E64">
        <w:rPr>
          <w:rFonts w:ascii="Times New Roman" w:eastAsia="Arial Unicode MS" w:hAnsi="Times New Roman" w:cs="Times New Roman"/>
          <w:kern w:val="1"/>
          <w:sz w:val="24"/>
          <w:szCs w:val="24"/>
          <w:lang w:eastAsia="ar-SA"/>
        </w:rPr>
        <w:t>kryptoaktív</w:t>
      </w:r>
      <w:proofErr w:type="spellEnd"/>
      <w:r w:rsidR="00591A73" w:rsidRPr="00CF0E64">
        <w:rPr>
          <w:rFonts w:ascii="Times New Roman" w:eastAsia="Arial Unicode MS" w:hAnsi="Times New Roman" w:cs="Times New Roman"/>
          <w:kern w:val="1"/>
          <w:sz w:val="24"/>
          <w:szCs w:val="24"/>
          <w:lang w:eastAsia="ar-SA"/>
        </w:rPr>
        <w:t xml:space="preserve"> sa rozumie presun </w:t>
      </w:r>
      <w:proofErr w:type="spellStart"/>
      <w:r w:rsidR="00591A73" w:rsidRPr="00CF0E64">
        <w:rPr>
          <w:rFonts w:ascii="Times New Roman" w:eastAsia="Arial Unicode MS" w:hAnsi="Times New Roman" w:cs="Times New Roman"/>
          <w:kern w:val="1"/>
          <w:sz w:val="24"/>
          <w:szCs w:val="24"/>
          <w:lang w:eastAsia="ar-SA"/>
        </w:rPr>
        <w:t>kryptoaktív</w:t>
      </w:r>
      <w:proofErr w:type="spellEnd"/>
      <w:r w:rsidR="00591A73" w:rsidRPr="00CF0E64">
        <w:rPr>
          <w:rFonts w:ascii="Times New Roman" w:eastAsia="Arial Unicode MS" w:hAnsi="Times New Roman" w:cs="Times New Roman"/>
          <w:kern w:val="1"/>
          <w:sz w:val="24"/>
          <w:szCs w:val="24"/>
          <w:lang w:eastAsia="ar-SA"/>
        </w:rPr>
        <w:t xml:space="preserve"> na účet iného používateľa </w:t>
      </w:r>
      <w:proofErr w:type="spellStart"/>
      <w:r w:rsidR="00591A73" w:rsidRPr="00CF0E64">
        <w:rPr>
          <w:rFonts w:ascii="Times New Roman" w:eastAsia="Arial Unicode MS" w:hAnsi="Times New Roman" w:cs="Times New Roman"/>
          <w:kern w:val="1"/>
          <w:sz w:val="24"/>
          <w:szCs w:val="24"/>
          <w:lang w:eastAsia="ar-SA"/>
        </w:rPr>
        <w:t>kryptoaktív</w:t>
      </w:r>
      <w:proofErr w:type="spellEnd"/>
      <w:r w:rsidR="00591A73" w:rsidRPr="00CF0E64">
        <w:rPr>
          <w:rFonts w:ascii="Times New Roman" w:eastAsia="Arial Unicode MS" w:hAnsi="Times New Roman" w:cs="Times New Roman"/>
          <w:kern w:val="1"/>
          <w:sz w:val="24"/>
          <w:szCs w:val="24"/>
          <w:lang w:eastAsia="ar-SA"/>
        </w:rPr>
        <w:t xml:space="preserve"> alebo presun </w:t>
      </w:r>
      <w:proofErr w:type="spellStart"/>
      <w:r w:rsidR="00591A73" w:rsidRPr="00CF0E64">
        <w:rPr>
          <w:rFonts w:ascii="Times New Roman" w:eastAsia="Arial Unicode MS" w:hAnsi="Times New Roman" w:cs="Times New Roman"/>
          <w:kern w:val="1"/>
          <w:sz w:val="24"/>
          <w:szCs w:val="24"/>
          <w:lang w:eastAsia="ar-SA"/>
        </w:rPr>
        <w:t>kryptoaktív</w:t>
      </w:r>
      <w:proofErr w:type="spellEnd"/>
      <w:r w:rsidR="00591A73" w:rsidRPr="00CF0E64">
        <w:rPr>
          <w:rFonts w:ascii="Times New Roman" w:eastAsia="Arial Unicode MS" w:hAnsi="Times New Roman" w:cs="Times New Roman"/>
          <w:kern w:val="1"/>
          <w:sz w:val="24"/>
          <w:szCs w:val="24"/>
          <w:lang w:eastAsia="ar-SA"/>
        </w:rPr>
        <w:t xml:space="preserve"> na účet vedený iným poskytovateľom služieb </w:t>
      </w:r>
      <w:proofErr w:type="spellStart"/>
      <w:r w:rsidR="00591A73" w:rsidRPr="00CF0E64">
        <w:rPr>
          <w:rFonts w:ascii="Times New Roman" w:eastAsia="Arial Unicode MS" w:hAnsi="Times New Roman" w:cs="Times New Roman"/>
          <w:kern w:val="1"/>
          <w:sz w:val="24"/>
          <w:szCs w:val="24"/>
          <w:lang w:eastAsia="ar-SA"/>
        </w:rPr>
        <w:t>kryptoaktív</w:t>
      </w:r>
      <w:proofErr w:type="spellEnd"/>
      <w:r w:rsidR="00591A73" w:rsidRPr="00CF0E64">
        <w:rPr>
          <w:rFonts w:ascii="Times New Roman" w:eastAsia="Arial Unicode MS" w:hAnsi="Times New Roman" w:cs="Times New Roman"/>
          <w:kern w:val="1"/>
          <w:sz w:val="24"/>
          <w:szCs w:val="24"/>
          <w:lang w:eastAsia="ar-SA"/>
        </w:rPr>
        <w:t xml:space="preserve"> alebo na </w:t>
      </w:r>
      <w:proofErr w:type="spellStart"/>
      <w:r w:rsidR="00591A73" w:rsidRPr="00CF0E64">
        <w:rPr>
          <w:rFonts w:ascii="Times New Roman" w:eastAsia="Arial Unicode MS" w:hAnsi="Times New Roman" w:cs="Times New Roman"/>
          <w:kern w:val="1"/>
          <w:sz w:val="24"/>
          <w:szCs w:val="24"/>
          <w:lang w:eastAsia="ar-SA"/>
        </w:rPr>
        <w:t>samohosťovanú</w:t>
      </w:r>
      <w:proofErr w:type="spellEnd"/>
      <w:r w:rsidR="00591A73" w:rsidRPr="00CF0E64">
        <w:rPr>
          <w:rFonts w:ascii="Times New Roman" w:eastAsia="Arial Unicode MS" w:hAnsi="Times New Roman" w:cs="Times New Roman"/>
          <w:kern w:val="1"/>
          <w:sz w:val="24"/>
          <w:szCs w:val="24"/>
          <w:lang w:eastAsia="ar-SA"/>
        </w:rPr>
        <w:t xml:space="preserve"> adresu. Pojem prevod zahŕňa aj transakciu maloobchodných platieb.</w:t>
      </w:r>
    </w:p>
    <w:p w14:paraId="2653107C" w14:textId="4EEA8782" w:rsidR="0050332D" w:rsidRPr="00CF0E64" w:rsidRDefault="0050332D"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V odseku 3 sa definuje transakcia maloobchodných platieb, ktorá je oznamovanou transakciou, ak ide o prevod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podliehajúcich oznamovaniu za protihodnotu vo forme tovarov alebo služieb v hodnote presahujúcej 50 000 USD</w:t>
      </w:r>
      <w:r w:rsidR="002D2DCA">
        <w:rPr>
          <w:rFonts w:ascii="Times New Roman" w:eastAsia="Arial Unicode MS" w:hAnsi="Times New Roman" w:cs="Times New Roman"/>
          <w:kern w:val="1"/>
          <w:sz w:val="24"/>
          <w:szCs w:val="24"/>
          <w:lang w:eastAsia="ar-SA"/>
        </w:rPr>
        <w:t xml:space="preserve"> uvedenej v eurách alebo inej mene</w:t>
      </w:r>
      <w:r w:rsidRPr="00CF0E64">
        <w:rPr>
          <w:rFonts w:ascii="Times New Roman" w:eastAsia="Arial Unicode MS" w:hAnsi="Times New Roman" w:cs="Times New Roman"/>
          <w:kern w:val="1"/>
          <w:sz w:val="24"/>
          <w:szCs w:val="24"/>
          <w:lang w:eastAsia="ar-SA"/>
        </w:rPr>
        <w:t>.</w:t>
      </w:r>
    </w:p>
    <w:p w14:paraId="17A8EF9E"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2821FCA2" w14:textId="5C73F780" w:rsidR="0050332D" w:rsidRPr="00CF0E64" w:rsidRDefault="00837627" w:rsidP="003B68A9">
      <w:pPr>
        <w:spacing w:after="0" w:line="252" w:lineRule="auto"/>
        <w:jc w:val="both"/>
        <w:rPr>
          <w:rFonts w:ascii="Times New Roman" w:eastAsia="Arial Unicode MS" w:hAnsi="Times New Roman" w:cs="Times New Roman"/>
          <w:b/>
          <w:kern w:val="1"/>
          <w:sz w:val="24"/>
          <w:szCs w:val="24"/>
          <w:lang w:eastAsia="ar-SA"/>
        </w:rPr>
      </w:pPr>
      <w:r w:rsidRPr="00CF0E64">
        <w:rPr>
          <w:rFonts w:ascii="Times New Roman" w:eastAsia="Arial Unicode MS" w:hAnsi="Times New Roman" w:cs="Times New Roman"/>
          <w:b/>
          <w:kern w:val="1"/>
          <w:sz w:val="24"/>
          <w:szCs w:val="24"/>
          <w:lang w:eastAsia="ar-SA"/>
        </w:rPr>
        <w:t>§ 15d</w:t>
      </w:r>
    </w:p>
    <w:p w14:paraId="67EAC6A2" w14:textId="697C09D5" w:rsidR="00837627" w:rsidRPr="00CF0E64" w:rsidRDefault="00837627"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Definuje sa osoba, o ktorej bude oznamujúci poskytovateľ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oznamovať informácie príslušnému orgánu</w:t>
      </w:r>
      <w:r w:rsidR="00DB5C41" w:rsidRPr="00CF0E64">
        <w:rPr>
          <w:rFonts w:ascii="Times New Roman" w:eastAsia="Arial Unicode MS" w:hAnsi="Times New Roman" w:cs="Times New Roman"/>
          <w:kern w:val="1"/>
          <w:sz w:val="24"/>
          <w:szCs w:val="24"/>
          <w:lang w:eastAsia="ar-SA"/>
        </w:rPr>
        <w:t xml:space="preserve"> v rámci automatickej výmeny informácií o </w:t>
      </w:r>
      <w:proofErr w:type="spellStart"/>
      <w:r w:rsidR="00DB5C41"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w:t>
      </w:r>
    </w:p>
    <w:p w14:paraId="2BBBF6FF" w14:textId="05E26242" w:rsidR="00837627" w:rsidRPr="00CF0E64" w:rsidRDefault="00DB5C41"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Používateľom podliehajúcim oznamovaniu je používateľ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ktorý je osobou podliehajúcou oznamovaniu alebo ktorého ovládajúca osoba je osobou podliehajúcou oznamovaniu. </w:t>
      </w:r>
    </w:p>
    <w:p w14:paraId="0ED182A2" w14:textId="6AAEB92E" w:rsidR="00065650" w:rsidRPr="00CF0E64" w:rsidRDefault="00DB5C41"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Osobou podliehajúcou oznamovaniu je osoba z oznamovaného štátu s výnimkou vylúčenej osoby. </w:t>
      </w:r>
      <w:r w:rsidR="007C64D4" w:rsidRPr="00CF0E64">
        <w:rPr>
          <w:rFonts w:ascii="Times New Roman" w:eastAsia="Arial Unicode MS" w:hAnsi="Times New Roman" w:cs="Times New Roman"/>
          <w:kern w:val="1"/>
          <w:sz w:val="24"/>
          <w:szCs w:val="24"/>
          <w:lang w:eastAsia="ar-SA"/>
        </w:rPr>
        <w:t xml:space="preserve">Konkrétne pôjde o používateľov </w:t>
      </w:r>
      <w:proofErr w:type="spellStart"/>
      <w:r w:rsidR="007C64D4" w:rsidRPr="00CF0E64">
        <w:rPr>
          <w:rFonts w:ascii="Times New Roman" w:eastAsia="Arial Unicode MS" w:hAnsi="Times New Roman" w:cs="Times New Roman"/>
          <w:kern w:val="1"/>
          <w:sz w:val="24"/>
          <w:szCs w:val="24"/>
          <w:lang w:eastAsia="ar-SA"/>
        </w:rPr>
        <w:t>kryptoaktív</w:t>
      </w:r>
      <w:proofErr w:type="spellEnd"/>
      <w:r w:rsidR="007C64D4" w:rsidRPr="00CF0E64">
        <w:rPr>
          <w:rFonts w:ascii="Times New Roman" w:eastAsia="Arial Unicode MS" w:hAnsi="Times New Roman" w:cs="Times New Roman"/>
          <w:kern w:val="1"/>
          <w:sz w:val="24"/>
          <w:szCs w:val="24"/>
          <w:lang w:eastAsia="ar-SA"/>
        </w:rPr>
        <w:t xml:space="preserve">, ktorí sú rezidentmi členských štátov Európskej únie alebo zmluvných štátov (tretích krajín), ktoré budú mať uzatvorené so Slovenskou republikou príslušnú medzinárodnú dohodu (MCAA CARF) a taktiež o rezidentov Slovenskej republiky. Osobou z oznamovaného </w:t>
      </w:r>
      <w:r w:rsidR="00E1512E" w:rsidRPr="00CF0E64">
        <w:rPr>
          <w:rFonts w:ascii="Times New Roman" w:eastAsia="Arial Unicode MS" w:hAnsi="Times New Roman" w:cs="Times New Roman"/>
          <w:kern w:val="1"/>
          <w:sz w:val="24"/>
          <w:szCs w:val="24"/>
          <w:lang w:eastAsia="ar-SA"/>
        </w:rPr>
        <w:t xml:space="preserve">štátu je aj subjekt, ktorý nemá rezidenciu na daňové účely v žiadnom štáte, pokiaľ má v oznamovanom štáte miesto skutočného vedenia. </w:t>
      </w:r>
      <w:r w:rsidR="00065650" w:rsidRPr="00CF0E64">
        <w:rPr>
          <w:rFonts w:ascii="Times New Roman" w:eastAsia="Arial Unicode MS" w:hAnsi="Times New Roman" w:cs="Times New Roman"/>
          <w:kern w:val="1"/>
          <w:sz w:val="24"/>
          <w:szCs w:val="24"/>
          <w:lang w:eastAsia="ar-SA"/>
        </w:rPr>
        <w:t xml:space="preserve">Definíciou je pokrytá aj </w:t>
      </w:r>
      <w:r w:rsidR="00380742">
        <w:rPr>
          <w:rFonts w:ascii="Times New Roman" w:hAnsi="Times New Roman" w:cs="Times New Roman"/>
          <w:sz w:val="24"/>
          <w:szCs w:val="24"/>
        </w:rPr>
        <w:t xml:space="preserve">osoba, ktorej bola zverená správa dedičstva po poručiteľovi (§ 182 – § 186 zákona č. 161/2015 Z. z. Civilný </w:t>
      </w:r>
      <w:proofErr w:type="spellStart"/>
      <w:r w:rsidR="00380742">
        <w:rPr>
          <w:rFonts w:ascii="Times New Roman" w:hAnsi="Times New Roman" w:cs="Times New Roman"/>
          <w:sz w:val="24"/>
          <w:szCs w:val="24"/>
        </w:rPr>
        <w:t>mimosporový</w:t>
      </w:r>
      <w:proofErr w:type="spellEnd"/>
      <w:r w:rsidR="00380742">
        <w:rPr>
          <w:rFonts w:ascii="Times New Roman" w:hAnsi="Times New Roman" w:cs="Times New Roman"/>
          <w:sz w:val="24"/>
          <w:szCs w:val="24"/>
        </w:rPr>
        <w:t xml:space="preserve"> poriadok)</w:t>
      </w:r>
      <w:r w:rsidR="00065650" w:rsidRPr="00CF0E64">
        <w:rPr>
          <w:rFonts w:ascii="Times New Roman" w:eastAsia="Arial Unicode MS" w:hAnsi="Times New Roman" w:cs="Times New Roman"/>
          <w:kern w:val="1"/>
          <w:sz w:val="24"/>
          <w:szCs w:val="24"/>
          <w:lang w:eastAsia="ar-SA"/>
        </w:rPr>
        <w:t xml:space="preserve">, ktorý bol rezidentom na daňové účely v oznamovanom štáte. </w:t>
      </w:r>
    </w:p>
    <w:p w14:paraId="773E52C1" w14:textId="4C030CBA" w:rsidR="00065650" w:rsidRPr="00CF0E64" w:rsidRDefault="00065650"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lastRenderedPageBreak/>
        <w:t xml:space="preserve">Používateľom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sa rozumie fyzická osoba alebo subjekt, ktorí sú klientmi oznamujúceho poskytovateľa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na účely vykonávania oznamovaných transakcií. </w:t>
      </w:r>
    </w:p>
    <w:p w14:paraId="4899F4F7" w14:textId="252DF029" w:rsidR="00065650" w:rsidRPr="00CF0E64" w:rsidRDefault="00065650"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Používateľom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je osoba, ktorej je na základe priameho alebo nepriameho zastúpenia, </w:t>
      </w:r>
      <w:r w:rsidR="003B3E4F" w:rsidRPr="00CF0E64">
        <w:rPr>
          <w:rFonts w:ascii="Times New Roman" w:eastAsia="Arial Unicode MS" w:hAnsi="Times New Roman" w:cs="Times New Roman"/>
          <w:kern w:val="1"/>
          <w:sz w:val="24"/>
          <w:szCs w:val="24"/>
          <w:lang w:eastAsia="ar-SA"/>
        </w:rPr>
        <w:t xml:space="preserve">služba </w:t>
      </w:r>
      <w:proofErr w:type="spellStart"/>
      <w:r w:rsidR="003B3E4F" w:rsidRPr="00CF0E64">
        <w:rPr>
          <w:rFonts w:ascii="Times New Roman" w:eastAsia="Arial Unicode MS" w:hAnsi="Times New Roman" w:cs="Times New Roman"/>
          <w:kern w:val="1"/>
          <w:sz w:val="24"/>
          <w:szCs w:val="24"/>
          <w:lang w:eastAsia="ar-SA"/>
        </w:rPr>
        <w:t>kryptoaktív</w:t>
      </w:r>
      <w:proofErr w:type="spellEnd"/>
      <w:r w:rsidR="003B3E4F" w:rsidRPr="00CF0E64">
        <w:rPr>
          <w:rFonts w:ascii="Times New Roman" w:eastAsia="Arial Unicode MS" w:hAnsi="Times New Roman" w:cs="Times New Roman"/>
          <w:kern w:val="1"/>
          <w:sz w:val="24"/>
          <w:szCs w:val="24"/>
          <w:lang w:eastAsia="ar-SA"/>
        </w:rPr>
        <w:t xml:space="preserve"> poskytovaná. Používateľom </w:t>
      </w:r>
      <w:proofErr w:type="spellStart"/>
      <w:r w:rsidR="003B3E4F" w:rsidRPr="00CF0E64">
        <w:rPr>
          <w:rFonts w:ascii="Times New Roman" w:eastAsia="Arial Unicode MS" w:hAnsi="Times New Roman" w:cs="Times New Roman"/>
          <w:kern w:val="1"/>
          <w:sz w:val="24"/>
          <w:szCs w:val="24"/>
          <w:lang w:eastAsia="ar-SA"/>
        </w:rPr>
        <w:t>kryptoaktív</w:t>
      </w:r>
      <w:proofErr w:type="spellEnd"/>
      <w:r w:rsidR="003B3E4F" w:rsidRPr="00CF0E64">
        <w:rPr>
          <w:rFonts w:ascii="Times New Roman" w:eastAsia="Arial Unicode MS" w:hAnsi="Times New Roman" w:cs="Times New Roman"/>
          <w:kern w:val="1"/>
          <w:sz w:val="24"/>
          <w:szCs w:val="24"/>
          <w:lang w:eastAsia="ar-SA"/>
        </w:rPr>
        <w:t xml:space="preserve"> teda nie je napr. zástupca, </w:t>
      </w:r>
      <w:r w:rsidR="003B3E4F" w:rsidRPr="00CF0E64">
        <w:rPr>
          <w:rFonts w:ascii="Times New Roman" w:hAnsi="Times New Roman" w:cs="Times New Roman"/>
          <w:sz w:val="24"/>
          <w:szCs w:val="24"/>
        </w:rPr>
        <w:t xml:space="preserve">správca, poverenec, osoba s podpisovým právom, investičný poradca alebo sprostredkovateľ. </w:t>
      </w:r>
    </w:p>
    <w:p w14:paraId="30D11B3B" w14:textId="5ACA035C" w:rsidR="00065650" w:rsidRPr="00CF0E64" w:rsidRDefault="00065650"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V odseku 4 sú vymenované subjekty, ktoré sa považujú za vylúčené osoby na účely automatickej výmeny informácií. Ide o subjekty, s akciami ktorých sa pravidelne obchoduje na etablovaných trhoch s cennými papiermi, subjekty prepojené s takýmito subjektmi, vládne subjekty, medzinárodné organizácie, centrálne banky alebo iné finančné inštitúcie ako sú investičné subjekty uvedené v § 3 ods. 2 zákona.</w:t>
      </w:r>
      <w:r w:rsidR="00763731" w:rsidRPr="00CF0E64">
        <w:rPr>
          <w:rFonts w:ascii="Times New Roman" w:eastAsia="Arial Unicode MS" w:hAnsi="Times New Roman" w:cs="Times New Roman"/>
          <w:kern w:val="1"/>
          <w:sz w:val="24"/>
          <w:szCs w:val="24"/>
          <w:lang w:eastAsia="ar-SA"/>
        </w:rPr>
        <w:t xml:space="preserve"> Tieto subjekty a orgány predstavujú nízke riziko daňových únikov z dôvodu ich verejnoprávnej povahy alebo z dôvodu, že ich účtovníctvo podlieha auditu alebo podobnej dozornej činnosti. </w:t>
      </w:r>
    </w:p>
    <w:p w14:paraId="48571BC9" w14:textId="1DD06B15" w:rsidR="00837627" w:rsidRPr="00CF0E64" w:rsidRDefault="003B3E4F"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Vo vzťahu k maloobchodným transakciám sa za používateľa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považuje tiež klient obchodníka, pre ktorého oznamujúci poskytovateľ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vykonáva mal</w:t>
      </w:r>
      <w:r w:rsidR="00D04CA4" w:rsidRPr="00CF0E64">
        <w:rPr>
          <w:rFonts w:ascii="Times New Roman" w:hAnsi="Times New Roman" w:cs="Times New Roman"/>
          <w:sz w:val="24"/>
          <w:szCs w:val="24"/>
        </w:rPr>
        <w:t xml:space="preserve">oobchodnú transakciu, ak je oznamujúci poskytovateľ </w:t>
      </w:r>
      <w:proofErr w:type="spellStart"/>
      <w:r w:rsidR="00D04CA4" w:rsidRPr="00CF0E64">
        <w:rPr>
          <w:rFonts w:ascii="Times New Roman" w:hAnsi="Times New Roman" w:cs="Times New Roman"/>
          <w:sz w:val="24"/>
          <w:szCs w:val="24"/>
        </w:rPr>
        <w:t>kryptoaktív</w:t>
      </w:r>
      <w:proofErr w:type="spellEnd"/>
      <w:r w:rsidR="00D04CA4" w:rsidRPr="00CF0E64">
        <w:rPr>
          <w:rFonts w:ascii="Times New Roman" w:hAnsi="Times New Roman" w:cs="Times New Roman"/>
          <w:sz w:val="24"/>
          <w:szCs w:val="24"/>
        </w:rPr>
        <w:t xml:space="preserve"> povinný overiť totožnosť takéhoto klienta podľa postupov v rámci boja proti legalizácii príjmov z trestnej činnosti a financovania terorizmu. </w:t>
      </w:r>
    </w:p>
    <w:p w14:paraId="1DF8118C" w14:textId="0A71C3F0" w:rsidR="00837627" w:rsidRPr="00CF0E64" w:rsidRDefault="00D04CA4"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odseku 8 sa stanovuje definícia existujúceho používateľa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na účely automatickej výmeny informácií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 xml:space="preserve"> v záujme zosúladenia s úpravami v oblasti automatickej výmeny informácií o finančných účtoch. </w:t>
      </w:r>
      <w:r w:rsidR="006155ED" w:rsidRPr="00CF0E64">
        <w:rPr>
          <w:rFonts w:ascii="Times New Roman" w:hAnsi="Times New Roman" w:cs="Times New Roman"/>
          <w:sz w:val="24"/>
          <w:szCs w:val="24"/>
        </w:rPr>
        <w:t>Vo vzťahu k členským štátom Európskej únie je r</w:t>
      </w:r>
      <w:r w:rsidRPr="00CF0E64">
        <w:rPr>
          <w:rFonts w:ascii="Times New Roman" w:hAnsi="Times New Roman" w:cs="Times New Roman"/>
          <w:sz w:val="24"/>
          <w:szCs w:val="24"/>
        </w:rPr>
        <w:t>ozhodujúcim dátumom 31. december 2025 a</w:t>
      </w:r>
      <w:r w:rsidR="006155ED" w:rsidRPr="00CF0E64">
        <w:rPr>
          <w:rFonts w:ascii="Times New Roman" w:hAnsi="Times New Roman" w:cs="Times New Roman"/>
          <w:sz w:val="24"/>
          <w:szCs w:val="24"/>
        </w:rPr>
        <w:t xml:space="preserve"> vo vzťahu ku kvalifikovaným zmluvným štátom </w:t>
      </w:r>
      <w:r w:rsidRPr="00CF0E64">
        <w:rPr>
          <w:rFonts w:ascii="Times New Roman" w:hAnsi="Times New Roman" w:cs="Times New Roman"/>
          <w:sz w:val="24"/>
          <w:szCs w:val="24"/>
        </w:rPr>
        <w:t xml:space="preserve">31. december roku, v ktorom sa zmluvný </w:t>
      </w:r>
      <w:r w:rsidR="006155ED" w:rsidRPr="00CF0E64">
        <w:rPr>
          <w:rFonts w:ascii="Times New Roman" w:hAnsi="Times New Roman" w:cs="Times New Roman"/>
          <w:sz w:val="24"/>
          <w:szCs w:val="24"/>
        </w:rPr>
        <w:t>štát stane</w:t>
      </w:r>
      <w:r w:rsidRPr="00CF0E64">
        <w:rPr>
          <w:rFonts w:ascii="Times New Roman" w:hAnsi="Times New Roman" w:cs="Times New Roman"/>
          <w:sz w:val="24"/>
          <w:szCs w:val="24"/>
        </w:rPr>
        <w:t xml:space="preserve"> </w:t>
      </w:r>
      <w:r w:rsidR="006155ED" w:rsidRPr="00CF0E64">
        <w:rPr>
          <w:rFonts w:ascii="Times New Roman" w:hAnsi="Times New Roman" w:cs="Times New Roman"/>
          <w:sz w:val="24"/>
          <w:szCs w:val="24"/>
        </w:rPr>
        <w:t xml:space="preserve">kvalifikovaných zmluvným štátom. </w:t>
      </w:r>
      <w:r w:rsidRPr="00CF0E64">
        <w:rPr>
          <w:rFonts w:ascii="Times New Roman" w:hAnsi="Times New Roman" w:cs="Times New Roman"/>
          <w:sz w:val="24"/>
          <w:szCs w:val="24"/>
        </w:rPr>
        <w:t xml:space="preserve"> </w:t>
      </w:r>
    </w:p>
    <w:p w14:paraId="5BC26963" w14:textId="2128EE04" w:rsidR="00B877D8" w:rsidRPr="00CF0E64" w:rsidRDefault="00B877D8"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Odsek 9 reflektuje požiadavku smernice (EÚ) 2023/2226, že pojem „ovládajúca osoba“ je potrebné interpretovať spôsobom, ktorý je v súlade s pojmom „konečný užívateľ výhod“ vymedzeným v článku 3 bode 6 smernice (EÚ) 2015/849.  </w:t>
      </w:r>
    </w:p>
    <w:p w14:paraId="3A3FE373" w14:textId="77777777" w:rsidR="003B68A9" w:rsidRPr="00CF0E64" w:rsidRDefault="003B68A9" w:rsidP="003B68A9">
      <w:pPr>
        <w:spacing w:after="0" w:line="252" w:lineRule="auto"/>
        <w:jc w:val="both"/>
        <w:rPr>
          <w:rFonts w:ascii="Times New Roman" w:hAnsi="Times New Roman" w:cs="Times New Roman"/>
          <w:sz w:val="24"/>
          <w:szCs w:val="24"/>
        </w:rPr>
      </w:pPr>
    </w:p>
    <w:p w14:paraId="0EA0C9E6" w14:textId="16B270FC" w:rsidR="00B01CDD" w:rsidRPr="00CF0E64" w:rsidRDefault="002A3A89" w:rsidP="003B68A9">
      <w:pPr>
        <w:spacing w:after="0" w:line="252" w:lineRule="auto"/>
        <w:jc w:val="both"/>
        <w:rPr>
          <w:rFonts w:ascii="Times New Roman" w:eastAsia="Arial Unicode MS" w:hAnsi="Times New Roman" w:cs="Times New Roman"/>
          <w:b/>
          <w:kern w:val="1"/>
          <w:sz w:val="24"/>
          <w:szCs w:val="24"/>
          <w:lang w:eastAsia="ar-SA"/>
        </w:rPr>
      </w:pPr>
      <w:r w:rsidRPr="00CF0E64">
        <w:rPr>
          <w:rFonts w:ascii="Times New Roman" w:eastAsia="Arial Unicode MS" w:hAnsi="Times New Roman" w:cs="Times New Roman"/>
          <w:b/>
          <w:kern w:val="1"/>
          <w:sz w:val="24"/>
          <w:szCs w:val="24"/>
          <w:lang w:eastAsia="ar-SA"/>
        </w:rPr>
        <w:t>§ 15e</w:t>
      </w:r>
    </w:p>
    <w:p w14:paraId="2ED765DE" w14:textId="449BF99B" w:rsidR="0047537E" w:rsidRPr="00CF0E64" w:rsidRDefault="0047537E" w:rsidP="003B68A9">
      <w:pPr>
        <w:spacing w:after="0" w:line="252" w:lineRule="auto"/>
        <w:jc w:val="both"/>
        <w:rPr>
          <w:rFonts w:ascii="Times New Roman" w:hAnsi="Times New Roman" w:cs="Times New Roman"/>
          <w:sz w:val="24"/>
          <w:szCs w:val="24"/>
        </w:rPr>
      </w:pPr>
      <w:r w:rsidRPr="00CF0E64">
        <w:rPr>
          <w:rFonts w:ascii="Times New Roman" w:eastAsia="Arial Unicode MS" w:hAnsi="Times New Roman" w:cs="Times New Roman"/>
          <w:kern w:val="1"/>
          <w:sz w:val="24"/>
          <w:szCs w:val="24"/>
          <w:lang w:eastAsia="ar-SA"/>
        </w:rPr>
        <w:t>Nadväzne na § 15d sú oznamovanými štátmi členské štáty Európskej únie, zmluvné štáty na základe medzinárodnej dohody upravujúcej automatickú výmenu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ako aj Slovenská republika, keďže v súlade s cieľmi smernice (EÚ) sa </w:t>
      </w:r>
      <w:r w:rsidRPr="00CF0E64">
        <w:rPr>
          <w:rFonts w:ascii="Times New Roman" w:hAnsi="Times New Roman" w:cs="Times New Roman"/>
          <w:sz w:val="24"/>
          <w:szCs w:val="24"/>
        </w:rPr>
        <w:t xml:space="preserve">predpokladá využívanie informácií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 xml:space="preserve"> aj na domáce účely. </w:t>
      </w:r>
    </w:p>
    <w:p w14:paraId="2EC3864D" w14:textId="7F88637C" w:rsidR="00763731" w:rsidRPr="00CF0E64" w:rsidRDefault="00763731"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Zoznam zmluvných štátov zverejní Ministerstvo financií Slovenskej republiky na svojom webovom sídle nadväzne na zapojenie sa zmluvných štátov do globálneho výmenného rámca prostredníctvom podpisu medzinárodnej dohody (</w:t>
      </w:r>
      <w:r w:rsidR="00E404D3" w:rsidRPr="00CF0E64">
        <w:rPr>
          <w:rFonts w:ascii="Times New Roman" w:hAnsi="Times New Roman" w:cs="Times New Roman"/>
          <w:sz w:val="24"/>
          <w:szCs w:val="24"/>
        </w:rPr>
        <w:t>M</w:t>
      </w:r>
      <w:r w:rsidR="004135C5" w:rsidRPr="00CF0E64">
        <w:rPr>
          <w:rFonts w:ascii="Times New Roman" w:hAnsi="Times New Roman" w:cs="Times New Roman"/>
          <w:sz w:val="24"/>
          <w:szCs w:val="24"/>
        </w:rPr>
        <w:t xml:space="preserve">ultilaterálnej </w:t>
      </w:r>
      <w:r w:rsidR="00FD4C02" w:rsidRPr="00CF0E64">
        <w:rPr>
          <w:rFonts w:ascii="Times New Roman" w:hAnsi="Times New Roman" w:cs="Times New Roman"/>
          <w:sz w:val="24"/>
          <w:szCs w:val="24"/>
        </w:rPr>
        <w:t>dohody príslušných orgánov pre účely automatickej výmeny informácií (</w:t>
      </w:r>
      <w:r w:rsidRPr="00CF0E64">
        <w:rPr>
          <w:rFonts w:ascii="Times New Roman" w:hAnsi="Times New Roman" w:cs="Times New Roman"/>
          <w:sz w:val="24"/>
          <w:szCs w:val="24"/>
        </w:rPr>
        <w:t>MCAA CARF</w:t>
      </w:r>
      <w:r w:rsidR="00FD4C02" w:rsidRPr="00CF0E64">
        <w:rPr>
          <w:rFonts w:ascii="Times New Roman" w:hAnsi="Times New Roman" w:cs="Times New Roman"/>
          <w:sz w:val="24"/>
          <w:szCs w:val="24"/>
        </w:rPr>
        <w:t>)</w:t>
      </w:r>
      <w:r w:rsidRPr="00CF0E64">
        <w:rPr>
          <w:rFonts w:ascii="Times New Roman" w:hAnsi="Times New Roman" w:cs="Times New Roman"/>
          <w:sz w:val="24"/>
          <w:szCs w:val="24"/>
        </w:rPr>
        <w:t xml:space="preserve">) a aktiváciu výmenných vzťahov. </w:t>
      </w:r>
    </w:p>
    <w:p w14:paraId="48B0380B" w14:textId="744F2863" w:rsidR="00763731" w:rsidRPr="00CF0E64" w:rsidRDefault="00FD4C02"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V odseku 3 sa definuje kvalifikovaný zmluvný štát, ktorý je štát mimo Európskej únie, ktorý má uzavretú medzinárodnú dohodu v oblasti automatickej výmeny informácií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 xml:space="preserve"> s príslušnými orgánmi všetkých členských štátov Európskej únie. Zmluvný štát ich uvedie vo svojom zozname výmenných partnerov, ktorý zverejní podľa stanovených domácich pravidiel.</w:t>
      </w:r>
    </w:p>
    <w:p w14:paraId="6F2D2967" w14:textId="40057E01" w:rsidR="002A3A89" w:rsidRPr="00CF0E64" w:rsidRDefault="00FD4C02"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V odseku 4 sa definuje dohoda príslušných orgánov</w:t>
      </w:r>
      <w:r w:rsidR="008F49D7" w:rsidRPr="00CF0E64">
        <w:rPr>
          <w:rFonts w:ascii="Times New Roman" w:eastAsia="Arial Unicode MS" w:hAnsi="Times New Roman" w:cs="Times New Roman"/>
          <w:kern w:val="1"/>
          <w:sz w:val="24"/>
          <w:szCs w:val="24"/>
          <w:lang w:eastAsia="ar-SA"/>
        </w:rPr>
        <w:t xml:space="preserve"> na účely odseku 3. Ide o dohodu medzi príslušnými orgánmi Slovenskej republiky a zmluvného štátu, ktorou sa vyžaduje automatická výmena informácií o </w:t>
      </w:r>
      <w:proofErr w:type="spellStart"/>
      <w:r w:rsidR="008F49D7" w:rsidRPr="00CF0E64">
        <w:rPr>
          <w:rFonts w:ascii="Times New Roman" w:eastAsia="Arial Unicode MS" w:hAnsi="Times New Roman" w:cs="Times New Roman"/>
          <w:kern w:val="1"/>
          <w:sz w:val="24"/>
          <w:szCs w:val="24"/>
          <w:lang w:eastAsia="ar-SA"/>
        </w:rPr>
        <w:t>kryptoaktívach</w:t>
      </w:r>
      <w:proofErr w:type="spellEnd"/>
      <w:r w:rsidR="008F49D7" w:rsidRPr="00CF0E64">
        <w:rPr>
          <w:rFonts w:ascii="Times New Roman" w:eastAsia="Arial Unicode MS" w:hAnsi="Times New Roman" w:cs="Times New Roman"/>
          <w:kern w:val="1"/>
          <w:sz w:val="24"/>
          <w:szCs w:val="24"/>
          <w:lang w:eastAsia="ar-SA"/>
        </w:rPr>
        <w:t>, ktoré sú ekvivalentné k informáciám vymieňaným podľa § 15h ods. 9. Keďže rozhodnutím na úrovni G20/OECD bol uznaný globálny štandard pre oznamovanie a automatickú výmenu informácií o </w:t>
      </w:r>
      <w:proofErr w:type="spellStart"/>
      <w:r w:rsidR="008F49D7" w:rsidRPr="00CF0E64">
        <w:rPr>
          <w:rFonts w:ascii="Times New Roman" w:eastAsia="Arial Unicode MS" w:hAnsi="Times New Roman" w:cs="Times New Roman"/>
          <w:kern w:val="1"/>
          <w:sz w:val="24"/>
          <w:szCs w:val="24"/>
          <w:lang w:eastAsia="ar-SA"/>
        </w:rPr>
        <w:t>kryptoaktívach</w:t>
      </w:r>
      <w:proofErr w:type="spellEnd"/>
      <w:r w:rsidR="008F49D7" w:rsidRPr="00CF0E64">
        <w:rPr>
          <w:rFonts w:ascii="Times New Roman" w:eastAsia="Arial Unicode MS" w:hAnsi="Times New Roman" w:cs="Times New Roman"/>
          <w:kern w:val="1"/>
          <w:sz w:val="24"/>
          <w:szCs w:val="24"/>
          <w:lang w:eastAsia="ar-SA"/>
        </w:rPr>
        <w:t xml:space="preserve"> (CARF) za minimálny štandard, nie je v zmysle smernice (EÚ) 2023/222</w:t>
      </w:r>
      <w:r w:rsidR="00667F1D" w:rsidRPr="00CF0E64">
        <w:rPr>
          <w:rFonts w:ascii="Times New Roman" w:eastAsia="Arial Unicode MS" w:hAnsi="Times New Roman" w:cs="Times New Roman"/>
          <w:kern w:val="1"/>
          <w:sz w:val="24"/>
          <w:szCs w:val="24"/>
          <w:lang w:eastAsia="ar-SA"/>
        </w:rPr>
        <w:t xml:space="preserve">6 potrebné, aby Európska komisia prostredníctvom vykonávacieho aktu určila, či podmienky výmeny a vymieňané informácie zodpovedajú smernici (EÚ) 2023/2226. Túto dohodu je možné považovať za takú, na základe </w:t>
      </w:r>
      <w:r w:rsidR="00667F1D" w:rsidRPr="00CF0E64">
        <w:rPr>
          <w:rFonts w:ascii="Times New Roman" w:eastAsia="Arial Unicode MS" w:hAnsi="Times New Roman" w:cs="Times New Roman"/>
          <w:kern w:val="1"/>
          <w:sz w:val="24"/>
          <w:szCs w:val="24"/>
          <w:lang w:eastAsia="ar-SA"/>
        </w:rPr>
        <w:lastRenderedPageBreak/>
        <w:t xml:space="preserve">ktorej sa vymieňajú zodpovedajúce/ekvivalentné informácie tým, ktoré sa vymieňajú podľa smernice (EÚ) 2023/2226. </w:t>
      </w:r>
    </w:p>
    <w:p w14:paraId="2DBFD44A" w14:textId="77777777" w:rsidR="003B68A9" w:rsidRPr="00CF0E64" w:rsidRDefault="003B68A9" w:rsidP="003B68A9">
      <w:pPr>
        <w:spacing w:after="0" w:line="252" w:lineRule="auto"/>
        <w:jc w:val="both"/>
        <w:rPr>
          <w:rFonts w:ascii="Times New Roman" w:eastAsia="Arial Unicode MS" w:hAnsi="Times New Roman" w:cs="Times New Roman"/>
          <w:kern w:val="1"/>
          <w:sz w:val="24"/>
          <w:szCs w:val="24"/>
          <w:lang w:eastAsia="ar-SA"/>
        </w:rPr>
      </w:pPr>
    </w:p>
    <w:p w14:paraId="001EFBC0" w14:textId="30D181C8" w:rsidR="00282B42" w:rsidRPr="00CF0E64" w:rsidRDefault="00282B42" w:rsidP="003B68A9">
      <w:pPr>
        <w:spacing w:after="0" w:line="252" w:lineRule="auto"/>
        <w:jc w:val="both"/>
        <w:rPr>
          <w:rFonts w:ascii="Times New Roman" w:hAnsi="Times New Roman" w:cs="Times New Roman"/>
          <w:b/>
          <w:sz w:val="24"/>
          <w:szCs w:val="24"/>
        </w:rPr>
      </w:pPr>
      <w:r w:rsidRPr="00CF0E64">
        <w:rPr>
          <w:rFonts w:ascii="Times New Roman" w:hAnsi="Times New Roman" w:cs="Times New Roman"/>
          <w:b/>
          <w:sz w:val="24"/>
          <w:szCs w:val="24"/>
        </w:rPr>
        <w:t>§ 15f</w:t>
      </w:r>
    </w:p>
    <w:p w14:paraId="706CADB2" w14:textId="3A2A8148" w:rsidR="00282B42" w:rsidRPr="00CF0E64" w:rsidRDefault="007B263F"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Podobne ako v prípade automatickej výmeny informácií o finančných účtoch sa z</w:t>
      </w:r>
      <w:r w:rsidR="00E7015C" w:rsidRPr="00CF0E64">
        <w:rPr>
          <w:rFonts w:ascii="Times New Roman" w:hAnsi="Times New Roman" w:cs="Times New Roman"/>
          <w:sz w:val="24"/>
          <w:szCs w:val="24"/>
        </w:rPr>
        <w:t xml:space="preserve">avádza  povinnosť pre oznamujúceho poskytovateľa služieb </w:t>
      </w:r>
      <w:proofErr w:type="spellStart"/>
      <w:r w:rsidR="00E7015C" w:rsidRPr="00CF0E64">
        <w:rPr>
          <w:rFonts w:ascii="Times New Roman" w:hAnsi="Times New Roman" w:cs="Times New Roman"/>
          <w:sz w:val="24"/>
          <w:szCs w:val="24"/>
        </w:rPr>
        <w:t>kryptoaktív</w:t>
      </w:r>
      <w:proofErr w:type="spellEnd"/>
      <w:r w:rsidR="00E7015C" w:rsidRPr="00CF0E64">
        <w:rPr>
          <w:rFonts w:ascii="Times New Roman" w:hAnsi="Times New Roman" w:cs="Times New Roman"/>
          <w:sz w:val="24"/>
          <w:szCs w:val="24"/>
        </w:rPr>
        <w:t xml:space="preserve"> každoročne preverovať, či v oznamovanom období uskutočnil oznamované transakcie pre používateľov podliehajúcich oznamovaniu a nadväzne na toto preverenie vykonať postupy preverovania na účely automatickej výmeny informácií o </w:t>
      </w:r>
      <w:proofErr w:type="spellStart"/>
      <w:r w:rsidR="00E7015C" w:rsidRPr="00CF0E64">
        <w:rPr>
          <w:rFonts w:ascii="Times New Roman" w:hAnsi="Times New Roman" w:cs="Times New Roman"/>
          <w:sz w:val="24"/>
          <w:szCs w:val="24"/>
        </w:rPr>
        <w:t>kryptoaktívach</w:t>
      </w:r>
      <w:proofErr w:type="spellEnd"/>
      <w:r w:rsidR="00E7015C" w:rsidRPr="00CF0E64">
        <w:rPr>
          <w:rFonts w:ascii="Times New Roman" w:hAnsi="Times New Roman" w:cs="Times New Roman"/>
          <w:sz w:val="24"/>
          <w:szCs w:val="24"/>
        </w:rPr>
        <w:t xml:space="preserve">. Podrobnosti o požiadavkách na oznamovanie a postupoch preverovania, ako aj požiadavkách na platnosť čestných vyhlásení potrebných na účely preverenia budú upravené vo všeobecne záväznom právnom predpise (vyhláške Ministerstva financií Slovenskej republiky). </w:t>
      </w:r>
    </w:p>
    <w:p w14:paraId="4D76D19B" w14:textId="5B26E032" w:rsidR="003535DE" w:rsidRPr="00CF0E64" w:rsidRDefault="003535DE" w:rsidP="003B68A9">
      <w:pPr>
        <w:spacing w:after="0" w:line="252" w:lineRule="auto"/>
        <w:jc w:val="both"/>
        <w:rPr>
          <w:rFonts w:ascii="Times New Roman" w:hAnsi="Times New Roman" w:cs="Times New Roman"/>
          <w:sz w:val="24"/>
          <w:szCs w:val="24"/>
        </w:rPr>
      </w:pPr>
    </w:p>
    <w:p w14:paraId="0A9E2DBE" w14:textId="26738F43" w:rsidR="007B263F" w:rsidRPr="00CF0E64" w:rsidRDefault="007B263F" w:rsidP="003B68A9">
      <w:pPr>
        <w:spacing w:after="0" w:line="252" w:lineRule="auto"/>
        <w:jc w:val="both"/>
        <w:rPr>
          <w:rFonts w:ascii="Times New Roman" w:hAnsi="Times New Roman" w:cs="Times New Roman"/>
          <w:b/>
          <w:sz w:val="24"/>
          <w:szCs w:val="24"/>
        </w:rPr>
      </w:pPr>
      <w:r w:rsidRPr="00CF0E64">
        <w:rPr>
          <w:rFonts w:ascii="Times New Roman" w:hAnsi="Times New Roman" w:cs="Times New Roman"/>
          <w:b/>
          <w:sz w:val="24"/>
          <w:szCs w:val="24"/>
        </w:rPr>
        <w:t>§ 15g</w:t>
      </w:r>
    </w:p>
    <w:p w14:paraId="3DF4715D" w14:textId="2F000D85" w:rsidR="007B263F" w:rsidRPr="00CF0E64" w:rsidRDefault="007B263F"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Upravuje sa povinnosť pre oznamujúceho poskytovateľa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získavať informácie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 xml:space="preserve"> v súvislosti s používateľmi podliehajúcimi oznamovaniu a ovládajúcimi osobami, ktoré sú osobami podliehajúcimi oznamovaniu.</w:t>
      </w:r>
    </w:p>
    <w:p w14:paraId="79DE6F80" w14:textId="77777777" w:rsidR="007B263F" w:rsidRPr="00CF0E64" w:rsidRDefault="007B263F"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odseku 2 sú taxatívne vymenované informácie, ktoré má oznamujúci poskytovateľ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získavať. </w:t>
      </w:r>
    </w:p>
    <w:p w14:paraId="301378B1" w14:textId="30C44B82" w:rsidR="007B263F" w:rsidRPr="00CF0E64" w:rsidRDefault="007B263F"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V prípade fyzickej osoby ide o meno a priezvisko, adresu bydliska, daňové identifikačné číslo pridelené v štáte daňovej rezidencie</w:t>
      </w:r>
      <w:r w:rsidR="00D96AB0" w:rsidRPr="00CF0E64">
        <w:rPr>
          <w:rFonts w:ascii="Times New Roman" w:hAnsi="Times New Roman" w:cs="Times New Roman"/>
          <w:sz w:val="24"/>
          <w:szCs w:val="24"/>
        </w:rPr>
        <w:t xml:space="preserve"> (alebo ekvivalent identifikačného čísla, ktoré sa používa v štáte daňovej rezidencie na daňové účely)</w:t>
      </w:r>
      <w:r w:rsidRPr="00CF0E64">
        <w:rPr>
          <w:rFonts w:ascii="Times New Roman" w:hAnsi="Times New Roman" w:cs="Times New Roman"/>
          <w:sz w:val="24"/>
          <w:szCs w:val="24"/>
        </w:rPr>
        <w:t>, označenie štátu rezidencie na daňové účely, dátum a miesto narodenia a v prípade ovládajúcej osoby aj postavenie, na základe ktorého sa považuje za ovládajúcu osobu subjektu.</w:t>
      </w:r>
    </w:p>
    <w:p w14:paraId="191D924A" w14:textId="649D29E5" w:rsidR="007B263F" w:rsidRPr="00CF0E64" w:rsidRDefault="007B263F"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V prípade subjektu je povinnosť získavať obchodné meno alebo názov subjektu, sídlo, daňové identifikačné číslo pridelené v štáte daňovej rezidencie</w:t>
      </w:r>
      <w:r w:rsidR="00D96AB0" w:rsidRPr="00CF0E64">
        <w:rPr>
          <w:rFonts w:ascii="Times New Roman" w:hAnsi="Times New Roman" w:cs="Times New Roman"/>
          <w:sz w:val="24"/>
          <w:szCs w:val="24"/>
        </w:rPr>
        <w:t xml:space="preserve"> (alebo ekvivalent identifikačného čísla, ktoré sa používa v štáte daňovej rezidencie na daňové účely)</w:t>
      </w:r>
      <w:r w:rsidRPr="00CF0E64">
        <w:rPr>
          <w:rFonts w:ascii="Times New Roman" w:hAnsi="Times New Roman" w:cs="Times New Roman"/>
          <w:sz w:val="24"/>
          <w:szCs w:val="24"/>
        </w:rPr>
        <w:t xml:space="preserve">, označenie štátu rezidencie na daňové účely. </w:t>
      </w:r>
    </w:p>
    <w:p w14:paraId="184D5838" w14:textId="55CADC8D" w:rsidR="007B263F" w:rsidRPr="00CF0E64" w:rsidRDefault="00530D60"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prípade, ak má fyzická osoba alebo subjekt pridelené viaceré daňové identifikačné čísla z viacerých štátov, na účely automatickej výmeny informácií sa získavajú všetky takto pridelené daňové identifikačné čísla alebo ich ekvivalenty spolu s identifikovaním štátu, ktorý daňové identifikačné číslo pridelil. </w:t>
      </w:r>
    </w:p>
    <w:p w14:paraId="627BFFD3" w14:textId="47BCDA1C" w:rsidR="00530D60" w:rsidRPr="00CF0E64" w:rsidRDefault="00530D60"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odseku 3 sa upravuje zoznam informácií, ktoré je povinný oznamujúci poskytovateľ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získavať v situácii, ak na priame potvrdenie totožnosti a štátu daňovej rezidencie využíva identifikačnú službu. V tomto prípade ide o meno a priezvisko alebo obchodné meno/názov, identifikátor identifikačnej služby a členský štát vydania identifikátora, ako aj postavenie, na základe ktorého je osoba podliehajúca oznamovaniu ovládajúcou osobou subjektu. </w:t>
      </w:r>
    </w:p>
    <w:p w14:paraId="3D8D7B88" w14:textId="77777777" w:rsidR="007B263F" w:rsidRPr="00CF0E64" w:rsidRDefault="007B263F" w:rsidP="003B68A9">
      <w:pPr>
        <w:pStyle w:val="Bezriadkovania"/>
        <w:spacing w:line="252" w:lineRule="auto"/>
        <w:jc w:val="both"/>
        <w:rPr>
          <w:i/>
        </w:rPr>
      </w:pPr>
    </w:p>
    <w:p w14:paraId="445DE450" w14:textId="44ED160B" w:rsidR="007B263F" w:rsidRPr="00CF0E64" w:rsidRDefault="004E4554" w:rsidP="003B68A9">
      <w:pPr>
        <w:spacing w:after="0" w:line="252" w:lineRule="auto"/>
        <w:jc w:val="both"/>
        <w:rPr>
          <w:rFonts w:ascii="Times New Roman" w:hAnsi="Times New Roman" w:cs="Times New Roman"/>
          <w:b/>
          <w:sz w:val="24"/>
          <w:szCs w:val="24"/>
        </w:rPr>
      </w:pPr>
      <w:r w:rsidRPr="00CF0E64">
        <w:rPr>
          <w:rFonts w:ascii="Times New Roman" w:hAnsi="Times New Roman" w:cs="Times New Roman"/>
          <w:b/>
          <w:sz w:val="24"/>
          <w:szCs w:val="24"/>
        </w:rPr>
        <w:t>§ 15h</w:t>
      </w:r>
    </w:p>
    <w:p w14:paraId="442D9572" w14:textId="5E3D5C01" w:rsidR="004E4554" w:rsidRPr="00CF0E64" w:rsidRDefault="004E4554"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odsekoch 1 a 2 sa stanovujú pravidlá, kedy je oznamujúci poskytovateľ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povinný vykonávať postupy preverovania a oznamovať informácie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 xml:space="preserve"> v Slovenskej republike. Ide o prípady, keď je regulovaným subjektom, ktorému Národná banka Slovenska vydala povolenie podľa nariadenia (EÚ) 2023/1114, alebo ktorý môže poskytovať služby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na základe oznámenia Národnej banke Slovenska podľa predmetného nariadenia. Takéto subjekty majú silný </w:t>
      </w:r>
      <w:proofErr w:type="spellStart"/>
      <w:r w:rsidRPr="00CF0E64">
        <w:rPr>
          <w:rFonts w:ascii="Times New Roman" w:hAnsi="Times New Roman" w:cs="Times New Roman"/>
          <w:sz w:val="24"/>
          <w:szCs w:val="24"/>
        </w:rPr>
        <w:t>nexus</w:t>
      </w:r>
      <w:proofErr w:type="spellEnd"/>
      <w:r w:rsidRPr="00CF0E64">
        <w:rPr>
          <w:rFonts w:ascii="Times New Roman" w:hAnsi="Times New Roman" w:cs="Times New Roman"/>
          <w:sz w:val="24"/>
          <w:szCs w:val="24"/>
        </w:rPr>
        <w:t xml:space="preserve"> (prepojenie) so Slovenskou republikou, ktoré vyplýva z nariadenia (EÚ) 2023/1114.</w:t>
      </w:r>
    </w:p>
    <w:p w14:paraId="5C9BF7E0" w14:textId="067FFDCC" w:rsidR="009B1188" w:rsidRPr="00CF0E64" w:rsidRDefault="009B1188"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lastRenderedPageBreak/>
        <w:t>V prípadoch, ak nejde o regulované subjekty podľa nariadenia (EÚ) 2023/1</w:t>
      </w:r>
      <w:r w:rsidR="00E404D3" w:rsidRPr="00CF0E64">
        <w:rPr>
          <w:rFonts w:ascii="Times New Roman" w:hAnsi="Times New Roman" w:cs="Times New Roman"/>
          <w:sz w:val="24"/>
          <w:szCs w:val="24"/>
        </w:rPr>
        <w:t>1</w:t>
      </w:r>
      <w:r w:rsidRPr="00CF0E64">
        <w:rPr>
          <w:rFonts w:ascii="Times New Roman" w:hAnsi="Times New Roman" w:cs="Times New Roman"/>
          <w:sz w:val="24"/>
          <w:szCs w:val="24"/>
        </w:rPr>
        <w:t xml:space="preserve">14, je </w:t>
      </w:r>
      <w:proofErr w:type="spellStart"/>
      <w:r w:rsidRPr="00CF0E64">
        <w:rPr>
          <w:rFonts w:ascii="Times New Roman" w:hAnsi="Times New Roman" w:cs="Times New Roman"/>
          <w:sz w:val="24"/>
          <w:szCs w:val="24"/>
        </w:rPr>
        <w:t>nexus</w:t>
      </w:r>
      <w:proofErr w:type="spellEnd"/>
      <w:r w:rsidRPr="00CF0E64">
        <w:rPr>
          <w:rFonts w:ascii="Times New Roman" w:hAnsi="Times New Roman" w:cs="Times New Roman"/>
          <w:sz w:val="24"/>
          <w:szCs w:val="24"/>
        </w:rPr>
        <w:t xml:space="preserve"> nastavený v súlade s globálnym štandardom CARF. Povinnosť vykonávať postupy preverovania a oznamovať informácie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 xml:space="preserve"> v Slovenskej republike má:</w:t>
      </w:r>
    </w:p>
    <w:p w14:paraId="07C9D6D4" w14:textId="77777777" w:rsidR="009B1188" w:rsidRPr="00CF0E64" w:rsidRDefault="009B1188" w:rsidP="003B68A9">
      <w:pPr>
        <w:pStyle w:val="Odsekzoznamu"/>
        <w:numPr>
          <w:ilvl w:val="0"/>
          <w:numId w:val="3"/>
        </w:num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subjekt alebo fyzická osoba, ktorá je rezidentom na daňové účely v Slovenskej republike, </w:t>
      </w:r>
    </w:p>
    <w:p w14:paraId="5DB99B04" w14:textId="13CF398D" w:rsidR="009B1188" w:rsidRPr="00CF0E64" w:rsidRDefault="009B1188" w:rsidP="003B68A9">
      <w:pPr>
        <w:pStyle w:val="Odsekzoznamu"/>
        <w:numPr>
          <w:ilvl w:val="0"/>
          <w:numId w:val="3"/>
        </w:num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subjekt, ktorý je zaregistrovaný </w:t>
      </w:r>
      <w:r w:rsidR="00B459D3">
        <w:rPr>
          <w:rFonts w:ascii="Times New Roman" w:hAnsi="Times New Roman" w:cs="Times New Roman"/>
          <w:sz w:val="24"/>
          <w:szCs w:val="24"/>
        </w:rPr>
        <w:t xml:space="preserve">v registri právnických osôb, podnikateľov a orgánov verejnej moci podľa zákona č. 272/2015 Z. z. </w:t>
      </w:r>
      <w:r w:rsidRPr="00CF0E64">
        <w:rPr>
          <w:rFonts w:ascii="Times New Roman" w:hAnsi="Times New Roman" w:cs="Times New Roman"/>
          <w:sz w:val="24"/>
          <w:szCs w:val="24"/>
        </w:rPr>
        <w:t xml:space="preserve">alebo zriadený podľa právnych predpisov Slovenskej republiky a má právnu subjektivitu v Slovenskej republike alebo má povinnosť podávať daňové priznania v Slovenskej republike, </w:t>
      </w:r>
    </w:p>
    <w:p w14:paraId="30DA8D0F" w14:textId="77777777" w:rsidR="009B1188" w:rsidRPr="00CF0E64" w:rsidRDefault="009B1188" w:rsidP="003B68A9">
      <w:pPr>
        <w:pStyle w:val="Odsekzoznamu"/>
        <w:numPr>
          <w:ilvl w:val="0"/>
          <w:numId w:val="3"/>
        </w:num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subjekt riadený zo Slovenskej republiky alebo </w:t>
      </w:r>
    </w:p>
    <w:p w14:paraId="72FF67EE" w14:textId="4B623C42" w:rsidR="004E4554" w:rsidRPr="00CF0E64" w:rsidRDefault="009B1188" w:rsidP="003B68A9">
      <w:pPr>
        <w:pStyle w:val="Odsekzoznamu"/>
        <w:numPr>
          <w:ilvl w:val="0"/>
          <w:numId w:val="3"/>
        </w:num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subjekt alebo fyzická osoba, ktoré majú obvyklé miesto podnikania v Slovenskej republike. </w:t>
      </w:r>
    </w:p>
    <w:p w14:paraId="12AE9894" w14:textId="4F6A0A8E" w:rsidR="009B1188" w:rsidRPr="00CF0E64" w:rsidRDefault="00BB646D"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zmysle komentára </w:t>
      </w:r>
      <w:r w:rsidR="00A1633D" w:rsidRPr="00CF0E64">
        <w:rPr>
          <w:rFonts w:ascii="Times New Roman" w:hAnsi="Times New Roman" w:cs="Times New Roman"/>
          <w:sz w:val="24"/>
          <w:szCs w:val="24"/>
        </w:rPr>
        <w:t xml:space="preserve">ku globálnemu štandardu CARF (časť I) sa pojem „riadený z“ chápe širšie ako miesto skutočného vedenia a pokrýva nielen miesto skutočného vedenia,  ale aj akékoľvek iné miesto vedenia subjektu. </w:t>
      </w:r>
      <w:r w:rsidR="0057033A" w:rsidRPr="00CF0E64">
        <w:rPr>
          <w:rFonts w:ascii="Times New Roman" w:hAnsi="Times New Roman" w:cs="Times New Roman"/>
          <w:sz w:val="24"/>
          <w:szCs w:val="24"/>
        </w:rPr>
        <w:t xml:space="preserve">Mal by pokrývať situácie, keď zverenecký fond (alebo funkčne podobný subjekt), ktorý je oznamujúcim poskytovateľom služieb </w:t>
      </w:r>
      <w:proofErr w:type="spellStart"/>
      <w:r w:rsidR="0057033A" w:rsidRPr="00CF0E64">
        <w:rPr>
          <w:rFonts w:ascii="Times New Roman" w:hAnsi="Times New Roman" w:cs="Times New Roman"/>
          <w:sz w:val="24"/>
          <w:szCs w:val="24"/>
        </w:rPr>
        <w:t>kryptoaktív</w:t>
      </w:r>
      <w:proofErr w:type="spellEnd"/>
      <w:r w:rsidR="0057033A" w:rsidRPr="00CF0E64">
        <w:rPr>
          <w:rFonts w:ascii="Times New Roman" w:hAnsi="Times New Roman" w:cs="Times New Roman"/>
          <w:sz w:val="24"/>
          <w:szCs w:val="24"/>
        </w:rPr>
        <w:t>, je riadený správcom (alebo funkčne podobným zástupcom), ktorý je rezidentom na daňové účely v</w:t>
      </w:r>
      <w:r w:rsidR="006D41D9" w:rsidRPr="00CF0E64">
        <w:rPr>
          <w:rFonts w:ascii="Times New Roman" w:hAnsi="Times New Roman" w:cs="Times New Roman"/>
          <w:sz w:val="24"/>
          <w:szCs w:val="24"/>
        </w:rPr>
        <w:t xml:space="preserve"> inom </w:t>
      </w:r>
      <w:r w:rsidR="0057033A" w:rsidRPr="00CF0E64">
        <w:rPr>
          <w:rFonts w:ascii="Times New Roman" w:hAnsi="Times New Roman" w:cs="Times New Roman"/>
          <w:sz w:val="24"/>
          <w:szCs w:val="24"/>
        </w:rPr>
        <w:t>štáte.</w:t>
      </w:r>
    </w:p>
    <w:p w14:paraId="3B65ADC7" w14:textId="4E20A873" w:rsidR="006D41D9" w:rsidRPr="00CF0E64" w:rsidRDefault="00585964"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Pojem „obvyklé miesto podnikania“ je v zmysle komentára ku globálnemu štandardu CARF potrebné chápať tak, že zahŕňa pobočku, stálu prevádzkareň a akékoľvek iné miesto, z ktorého sa pravidelne vykonáva činnosť, pričom nemusí byť obmedzené na fixné/stále miesto podnikania. </w:t>
      </w:r>
    </w:p>
    <w:p w14:paraId="5C2A83E0" w14:textId="1E68523A" w:rsidR="004E4554" w:rsidRPr="00CF0E64" w:rsidRDefault="008F6B7D"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V rámci pravidiel podľa smernice (EÚ) 2023/2226 sa stanovuje, že oznam</w:t>
      </w:r>
      <w:r w:rsidR="00C77B00" w:rsidRPr="00CF0E64">
        <w:rPr>
          <w:rFonts w:ascii="Times New Roman" w:hAnsi="Times New Roman" w:cs="Times New Roman"/>
          <w:sz w:val="24"/>
          <w:szCs w:val="24"/>
        </w:rPr>
        <w:t xml:space="preserve">ujúci poskytovateľ </w:t>
      </w:r>
      <w:r w:rsidR="004E4554" w:rsidRPr="00CF0E64">
        <w:rPr>
          <w:rFonts w:ascii="Times New Roman" w:hAnsi="Times New Roman" w:cs="Times New Roman"/>
          <w:sz w:val="24"/>
          <w:szCs w:val="24"/>
        </w:rPr>
        <w:t xml:space="preserve">služieb </w:t>
      </w:r>
      <w:proofErr w:type="spellStart"/>
      <w:r w:rsidR="004E4554" w:rsidRPr="00CF0E64">
        <w:rPr>
          <w:rFonts w:ascii="Times New Roman" w:hAnsi="Times New Roman" w:cs="Times New Roman"/>
          <w:sz w:val="24"/>
          <w:szCs w:val="24"/>
        </w:rPr>
        <w:t>kryptoaktív</w:t>
      </w:r>
      <w:proofErr w:type="spellEnd"/>
      <w:r w:rsidR="004E4554" w:rsidRPr="00CF0E64">
        <w:rPr>
          <w:rFonts w:ascii="Times New Roman" w:hAnsi="Times New Roman" w:cs="Times New Roman"/>
          <w:sz w:val="24"/>
          <w:szCs w:val="24"/>
        </w:rPr>
        <w:t xml:space="preserve"> vykonáva postupy preverovania a oznamuje informácie o </w:t>
      </w:r>
      <w:proofErr w:type="spellStart"/>
      <w:r w:rsidR="004E4554" w:rsidRPr="00CF0E64">
        <w:rPr>
          <w:rFonts w:ascii="Times New Roman" w:hAnsi="Times New Roman" w:cs="Times New Roman"/>
          <w:sz w:val="24"/>
          <w:szCs w:val="24"/>
        </w:rPr>
        <w:t>kryptoaktívach</w:t>
      </w:r>
      <w:proofErr w:type="spellEnd"/>
      <w:r w:rsidR="004E4554" w:rsidRPr="00CF0E64">
        <w:rPr>
          <w:rFonts w:ascii="Times New Roman" w:hAnsi="Times New Roman" w:cs="Times New Roman"/>
          <w:sz w:val="24"/>
          <w:szCs w:val="24"/>
        </w:rPr>
        <w:t xml:space="preserve"> v Slovenskej republike vo vzťahu k oznamovaným transakciám, ktoré sú uskutočnené prostredníctvom pobočky nachádzajúcej sa v Slovenskej republike. </w:t>
      </w:r>
    </w:p>
    <w:p w14:paraId="483E871E" w14:textId="2C0C0E71" w:rsidR="004E4554" w:rsidRPr="00CF0E64" w:rsidRDefault="00E41C7A"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V odsekoch 3 až 6 sa ustanovuje hierarchia pre účely oznamovania informácií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 xml:space="preserve"> a vykonávanie postupov preverovania v prípade splnenia vyššieho </w:t>
      </w:r>
      <w:proofErr w:type="spellStart"/>
      <w:r w:rsidRPr="00CF0E64">
        <w:rPr>
          <w:rFonts w:ascii="Times New Roman" w:hAnsi="Times New Roman" w:cs="Times New Roman"/>
          <w:sz w:val="24"/>
          <w:szCs w:val="24"/>
        </w:rPr>
        <w:t>nexusu</w:t>
      </w:r>
      <w:proofErr w:type="spellEnd"/>
      <w:r w:rsidRPr="00CF0E64">
        <w:rPr>
          <w:rFonts w:ascii="Times New Roman" w:hAnsi="Times New Roman" w:cs="Times New Roman"/>
          <w:sz w:val="24"/>
          <w:szCs w:val="24"/>
        </w:rPr>
        <w:t xml:space="preserve"> (prepojenia) k iným členským štátom alebo kvalifikovanému zmluvnému štátu. Hierarchia </w:t>
      </w:r>
      <w:proofErr w:type="spellStart"/>
      <w:r w:rsidRPr="00CF0E64">
        <w:rPr>
          <w:rFonts w:ascii="Times New Roman" w:hAnsi="Times New Roman" w:cs="Times New Roman"/>
          <w:sz w:val="24"/>
          <w:szCs w:val="24"/>
        </w:rPr>
        <w:t>nexusu</w:t>
      </w:r>
      <w:proofErr w:type="spellEnd"/>
      <w:r w:rsidRPr="00CF0E64">
        <w:rPr>
          <w:rFonts w:ascii="Times New Roman" w:hAnsi="Times New Roman" w:cs="Times New Roman"/>
          <w:sz w:val="24"/>
          <w:szCs w:val="24"/>
        </w:rPr>
        <w:t xml:space="preserve"> vychádza z § 15h ods. 1 písm. b) bodov 1 až 4, pričom za najvyšší </w:t>
      </w:r>
      <w:proofErr w:type="spellStart"/>
      <w:r w:rsidRPr="00CF0E64">
        <w:rPr>
          <w:rFonts w:ascii="Times New Roman" w:hAnsi="Times New Roman" w:cs="Times New Roman"/>
          <w:sz w:val="24"/>
          <w:szCs w:val="24"/>
        </w:rPr>
        <w:t>nexus</w:t>
      </w:r>
      <w:proofErr w:type="spellEnd"/>
      <w:r w:rsidRPr="00CF0E64">
        <w:rPr>
          <w:rFonts w:ascii="Times New Roman" w:hAnsi="Times New Roman" w:cs="Times New Roman"/>
          <w:sz w:val="24"/>
          <w:szCs w:val="24"/>
        </w:rPr>
        <w:t xml:space="preserve"> sa považuje rezidencia na daňové účely, nižším </w:t>
      </w:r>
      <w:proofErr w:type="spellStart"/>
      <w:r w:rsidRPr="00CF0E64">
        <w:rPr>
          <w:rFonts w:ascii="Times New Roman" w:hAnsi="Times New Roman" w:cs="Times New Roman"/>
          <w:sz w:val="24"/>
          <w:szCs w:val="24"/>
        </w:rPr>
        <w:t>nexusom</w:t>
      </w:r>
      <w:proofErr w:type="spellEnd"/>
      <w:r w:rsidRPr="00CF0E64">
        <w:rPr>
          <w:rFonts w:ascii="Times New Roman" w:hAnsi="Times New Roman" w:cs="Times New Roman"/>
          <w:sz w:val="24"/>
          <w:szCs w:val="24"/>
        </w:rPr>
        <w:t xml:space="preserve"> je zaregistrovanie alebo zriadenie podľa právnych predpisov príslušného štátu, ešte nižším </w:t>
      </w:r>
      <w:proofErr w:type="spellStart"/>
      <w:r w:rsidRPr="00CF0E64">
        <w:rPr>
          <w:rFonts w:ascii="Times New Roman" w:hAnsi="Times New Roman" w:cs="Times New Roman"/>
          <w:sz w:val="24"/>
          <w:szCs w:val="24"/>
        </w:rPr>
        <w:t>nexusom</w:t>
      </w:r>
      <w:proofErr w:type="spellEnd"/>
      <w:r w:rsidRPr="00CF0E64">
        <w:rPr>
          <w:rFonts w:ascii="Times New Roman" w:hAnsi="Times New Roman" w:cs="Times New Roman"/>
          <w:sz w:val="24"/>
          <w:szCs w:val="24"/>
        </w:rPr>
        <w:t xml:space="preserve"> je situácia, ak je subjekt riadený z príslušného štátu a najnižším </w:t>
      </w:r>
      <w:proofErr w:type="spellStart"/>
      <w:r w:rsidRPr="00CF0E64">
        <w:rPr>
          <w:rFonts w:ascii="Times New Roman" w:hAnsi="Times New Roman" w:cs="Times New Roman"/>
          <w:sz w:val="24"/>
          <w:szCs w:val="24"/>
        </w:rPr>
        <w:t>nexusom</w:t>
      </w:r>
      <w:proofErr w:type="spellEnd"/>
      <w:r w:rsidRPr="00CF0E64">
        <w:rPr>
          <w:rFonts w:ascii="Times New Roman" w:hAnsi="Times New Roman" w:cs="Times New Roman"/>
          <w:sz w:val="24"/>
          <w:szCs w:val="24"/>
        </w:rPr>
        <w:t xml:space="preserve"> je obvyklé miesto podnikania v štáte. </w:t>
      </w:r>
      <w:r w:rsidR="00EA0748" w:rsidRPr="00CF0E64">
        <w:rPr>
          <w:rFonts w:ascii="Times New Roman" w:hAnsi="Times New Roman" w:cs="Times New Roman"/>
          <w:sz w:val="24"/>
          <w:szCs w:val="24"/>
        </w:rPr>
        <w:t xml:space="preserve">Pravidlá uvedené v odsekoch 3 až 6 vo všeobecnosti stanovujú, že oznamujúci poskytovateľ služieb </w:t>
      </w:r>
      <w:proofErr w:type="spellStart"/>
      <w:r w:rsidR="00EA0748" w:rsidRPr="00CF0E64">
        <w:rPr>
          <w:rFonts w:ascii="Times New Roman" w:hAnsi="Times New Roman" w:cs="Times New Roman"/>
          <w:sz w:val="24"/>
          <w:szCs w:val="24"/>
        </w:rPr>
        <w:t>kryptoaktív</w:t>
      </w:r>
      <w:proofErr w:type="spellEnd"/>
      <w:r w:rsidR="00EA0748" w:rsidRPr="00CF0E64">
        <w:rPr>
          <w:rFonts w:ascii="Times New Roman" w:hAnsi="Times New Roman" w:cs="Times New Roman"/>
          <w:sz w:val="24"/>
          <w:szCs w:val="24"/>
        </w:rPr>
        <w:t xml:space="preserve"> nie je povinný oznamovať informácie a vykonávať postupy preverovani</w:t>
      </w:r>
      <w:r w:rsidR="00611981">
        <w:rPr>
          <w:rFonts w:ascii="Times New Roman" w:hAnsi="Times New Roman" w:cs="Times New Roman"/>
          <w:sz w:val="24"/>
          <w:szCs w:val="24"/>
        </w:rPr>
        <w:t>a</w:t>
      </w:r>
      <w:r w:rsidR="00EA0748" w:rsidRPr="00CF0E64">
        <w:rPr>
          <w:rFonts w:ascii="Times New Roman" w:hAnsi="Times New Roman" w:cs="Times New Roman"/>
          <w:sz w:val="24"/>
          <w:szCs w:val="24"/>
        </w:rPr>
        <w:t xml:space="preserve"> v Slovenskej republike v prípadoch, ak je vyšší </w:t>
      </w:r>
      <w:proofErr w:type="spellStart"/>
      <w:r w:rsidR="00EA0748" w:rsidRPr="00CF0E64">
        <w:rPr>
          <w:rFonts w:ascii="Times New Roman" w:hAnsi="Times New Roman" w:cs="Times New Roman"/>
          <w:sz w:val="24"/>
          <w:szCs w:val="24"/>
        </w:rPr>
        <w:t>nexus</w:t>
      </w:r>
      <w:proofErr w:type="spellEnd"/>
      <w:r w:rsidR="00EA0748" w:rsidRPr="00CF0E64">
        <w:rPr>
          <w:rFonts w:ascii="Times New Roman" w:hAnsi="Times New Roman" w:cs="Times New Roman"/>
          <w:sz w:val="24"/>
          <w:szCs w:val="24"/>
        </w:rPr>
        <w:t xml:space="preserve"> v inom členskom štáte alebo kvalifikovanom zmluvnom štáte. </w:t>
      </w:r>
    </w:p>
    <w:p w14:paraId="4D1A0065" w14:textId="416A916C" w:rsidR="00634301" w:rsidRPr="00CF0E64" w:rsidRDefault="00634301"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odseku 7 sa ustanovuje postup v súlade so smernicou (EÚ) 2023/2226, keď oznamujúci poskytovateľ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nie je povinný oznamovať informácie a vykonávať postupy preverovania v Slovenskej republike, kde spĺňa niektorú z podmienok uvedených v § 15 h ods. 1 písm. b) v bodoch 1 až 4, ak elektronicky </w:t>
      </w:r>
      <w:r w:rsidR="007B2B8F">
        <w:rPr>
          <w:rFonts w:ascii="Times New Roman" w:hAnsi="Times New Roman" w:cs="Times New Roman"/>
          <w:sz w:val="24"/>
          <w:szCs w:val="24"/>
        </w:rPr>
        <w:t xml:space="preserve">v stanovenej lehote </w:t>
      </w:r>
      <w:r w:rsidRPr="00CF0E64">
        <w:rPr>
          <w:rFonts w:ascii="Times New Roman" w:hAnsi="Times New Roman" w:cs="Times New Roman"/>
          <w:sz w:val="24"/>
          <w:szCs w:val="24"/>
        </w:rPr>
        <w:t xml:space="preserve">podá príslušnému orgánu Slovenskej republiky oznámenie, v ktorom potvrdí, že tieto povinnosti plní v členskom štáte alebo kvalifikovanom zmluvnom štáte. Formulár k tomuto oznámeniu zverejní príslušný orgán Slovenskej republiky na svojom webovom sídle. </w:t>
      </w:r>
    </w:p>
    <w:p w14:paraId="4580B2D7" w14:textId="4B6F9DAF" w:rsidR="00634301" w:rsidRPr="00CF0E64" w:rsidRDefault="00634301"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Rovnako v odseku 8 sa upravuje, že oznamujúci poskytovateľ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nie je povinný oznamovať informácie a vykonávať postupy preverovania v prípade oznamovaných transakcií, ktoré vykonáva prostredníctvom pobočky v členskom štáte alebo kvalifikovanom zmluvnom štáte, za podmienky, ak takáto pobočka plní uvedené povinnosti v týchto štátoch. </w:t>
      </w:r>
    </w:p>
    <w:p w14:paraId="231BC40D" w14:textId="66A5706B" w:rsidR="006E59BF" w:rsidRDefault="0045243E"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lastRenderedPageBreak/>
        <w:t xml:space="preserve">V odseku 9 sa uvádza zoznam informácií, ktoré má oznamujúci poskytovateľ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povinnosť oznámiť príslušnému orgánu Slovenskej republiky za kalendárny rok alebo iné primerané oznamovacie obdobie v súvislosti s používateľmi podliehajúcimi oznamovaniu a ovládajúcimi osobami, ktoré sú osobami podliehajúcimi oznamovaniu. </w:t>
      </w:r>
      <w:r w:rsidR="006E59BF">
        <w:rPr>
          <w:rFonts w:ascii="Times New Roman" w:hAnsi="Times New Roman" w:cs="Times New Roman"/>
          <w:sz w:val="24"/>
          <w:szCs w:val="24"/>
        </w:rPr>
        <w:t>In</w:t>
      </w:r>
      <w:r w:rsidR="006E59BF" w:rsidRPr="006E59BF">
        <w:rPr>
          <w:rFonts w:ascii="Times New Roman" w:hAnsi="Times New Roman" w:cs="Times New Roman"/>
          <w:sz w:val="24"/>
          <w:szCs w:val="24"/>
        </w:rPr>
        <w:t xml:space="preserve">dividuálne identifikačné číslo pridelené pri registrácii na účely výmeny informácií o </w:t>
      </w:r>
      <w:proofErr w:type="spellStart"/>
      <w:r w:rsidR="006E59BF" w:rsidRPr="006E59BF">
        <w:rPr>
          <w:rFonts w:ascii="Times New Roman" w:hAnsi="Times New Roman" w:cs="Times New Roman"/>
          <w:sz w:val="24"/>
          <w:szCs w:val="24"/>
        </w:rPr>
        <w:t>kryptoaktívach</w:t>
      </w:r>
      <w:proofErr w:type="spellEnd"/>
      <w:r w:rsidR="006E59BF" w:rsidRPr="006E59BF">
        <w:rPr>
          <w:rFonts w:ascii="Times New Roman" w:hAnsi="Times New Roman" w:cs="Times New Roman"/>
          <w:sz w:val="24"/>
          <w:szCs w:val="24"/>
        </w:rPr>
        <w:t xml:space="preserve"> a globálny identifikátor právneho subjektu oznamujúceho poskytovateľa služieb </w:t>
      </w:r>
      <w:proofErr w:type="spellStart"/>
      <w:r w:rsidR="006E59BF" w:rsidRPr="006E59BF">
        <w:rPr>
          <w:rFonts w:ascii="Times New Roman" w:hAnsi="Times New Roman" w:cs="Times New Roman"/>
          <w:sz w:val="24"/>
          <w:szCs w:val="24"/>
        </w:rPr>
        <w:t>kryptoaktív</w:t>
      </w:r>
      <w:proofErr w:type="spellEnd"/>
      <w:r w:rsidR="006E59BF">
        <w:rPr>
          <w:rFonts w:ascii="Times New Roman" w:hAnsi="Times New Roman" w:cs="Times New Roman"/>
          <w:sz w:val="24"/>
          <w:szCs w:val="24"/>
        </w:rPr>
        <w:t xml:space="preserve"> sa oznamujú, ak sú k dispozícii.</w:t>
      </w:r>
      <w:r w:rsidR="00C27F11">
        <w:rPr>
          <w:rFonts w:ascii="Times New Roman" w:hAnsi="Times New Roman" w:cs="Times New Roman"/>
          <w:sz w:val="24"/>
          <w:szCs w:val="24"/>
        </w:rPr>
        <w:t xml:space="preserve"> Adresou sa rozumie v prípade fyzických osôb adresa bydliska a v prípade subjektu sídlo alebo miesto podnikania. </w:t>
      </w:r>
    </w:p>
    <w:p w14:paraId="2202F969" w14:textId="18B58376" w:rsidR="00634301" w:rsidRPr="00CF0E64" w:rsidRDefault="00EB4B35" w:rsidP="003B68A9">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V zmysle komentára k rámcu CARF </w:t>
      </w:r>
      <w:r w:rsidR="00C11CD3" w:rsidRPr="00C11CD3">
        <w:rPr>
          <w:rFonts w:ascii="Times New Roman" w:hAnsi="Times New Roman" w:cs="Times New Roman"/>
          <w:sz w:val="24"/>
          <w:szCs w:val="24"/>
        </w:rPr>
        <w:t>súhrnné hrubé prijaté/zaplatené sumy</w:t>
      </w:r>
      <w:r w:rsidR="00C11CD3">
        <w:rPr>
          <w:rFonts w:ascii="Times New Roman" w:hAnsi="Times New Roman" w:cs="Times New Roman"/>
          <w:sz w:val="24"/>
          <w:szCs w:val="24"/>
        </w:rPr>
        <w:t xml:space="preserve"> neobsahujú</w:t>
      </w:r>
      <w:r w:rsidR="00C11CD3" w:rsidRPr="00C11CD3">
        <w:rPr>
          <w:rFonts w:ascii="Times New Roman" w:hAnsi="Times New Roman" w:cs="Times New Roman"/>
          <w:sz w:val="24"/>
          <w:szCs w:val="24"/>
        </w:rPr>
        <w:t xml:space="preserve"> poplatky za transakciu.</w:t>
      </w:r>
      <w:r w:rsidR="006E59BF">
        <w:rPr>
          <w:rFonts w:ascii="Times New Roman" w:hAnsi="Times New Roman" w:cs="Times New Roman"/>
          <w:sz w:val="24"/>
          <w:szCs w:val="24"/>
        </w:rPr>
        <w:t xml:space="preserve"> </w:t>
      </w:r>
    </w:p>
    <w:p w14:paraId="0362D80F" w14:textId="77777777" w:rsidR="006B38EC" w:rsidRDefault="006B38EC" w:rsidP="003B68A9">
      <w:pPr>
        <w:spacing w:after="0" w:line="252" w:lineRule="auto"/>
        <w:jc w:val="both"/>
        <w:rPr>
          <w:rFonts w:ascii="Times New Roman" w:hAnsi="Times New Roman" w:cs="Times New Roman"/>
          <w:sz w:val="24"/>
          <w:szCs w:val="24"/>
        </w:rPr>
      </w:pPr>
    </w:p>
    <w:p w14:paraId="29259863" w14:textId="5E29C476" w:rsidR="0045243E" w:rsidRDefault="00993226"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odsekoch 10 až 12 sa uvádzajú spresnenia ohľadom </w:t>
      </w:r>
      <w:r w:rsidR="007C38F9">
        <w:rPr>
          <w:rFonts w:ascii="Times New Roman" w:hAnsi="Times New Roman" w:cs="Times New Roman"/>
          <w:sz w:val="24"/>
          <w:szCs w:val="24"/>
        </w:rPr>
        <w:t xml:space="preserve">oceňovania a </w:t>
      </w:r>
      <w:r w:rsidRPr="00CF0E64">
        <w:rPr>
          <w:rFonts w:ascii="Times New Roman" w:hAnsi="Times New Roman" w:cs="Times New Roman"/>
          <w:sz w:val="24"/>
          <w:szCs w:val="24"/>
        </w:rPr>
        <w:t>oznamovania informácií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 xml:space="preserve"> v oficiálnej mene. </w:t>
      </w:r>
    </w:p>
    <w:p w14:paraId="0CEC01D8" w14:textId="49B3D60A" w:rsidR="007D0022" w:rsidRDefault="007C38F9" w:rsidP="007C38F9">
      <w:pPr>
        <w:pStyle w:val="Bezriadkovania"/>
        <w:jc w:val="both"/>
      </w:pPr>
      <w:r>
        <w:t>V zmysle komentára k rámcu CARF sa p</w:t>
      </w:r>
      <w:r w:rsidR="007D0022">
        <w:t xml:space="preserve">ri spôsobe ocenenia reálnej trhovej hodnoty </w:t>
      </w:r>
      <w:r>
        <w:t>použije</w:t>
      </w:r>
      <w:r w:rsidR="007D0022">
        <w:t xml:space="preserve"> primeran</w:t>
      </w:r>
      <w:r>
        <w:t>á</w:t>
      </w:r>
      <w:r w:rsidR="007D0022">
        <w:t xml:space="preserve"> metód</w:t>
      </w:r>
      <w:r>
        <w:t>a</w:t>
      </w:r>
      <w:r w:rsidR="007D0022">
        <w:t xml:space="preserve"> oceňovania, ktorá sa zameriava na súčasné dôkazy o hodnote v čase každej príslušnej transakcie, a to spôsobom, ktorý oznamujúci poskytovateľ služieb </w:t>
      </w:r>
      <w:proofErr w:type="spellStart"/>
      <w:r w:rsidR="007D0022">
        <w:t>kryptoaktív</w:t>
      </w:r>
      <w:proofErr w:type="spellEnd"/>
      <w:r w:rsidR="007D0022">
        <w:t xml:space="preserve"> dôsledne uplatňuje. Pri vykonávaní takéhoto oceňovania môže oznamujúci poskytovateľ služieb </w:t>
      </w:r>
      <w:proofErr w:type="spellStart"/>
      <w:r w:rsidR="007D0022">
        <w:t>kryptoaktív</w:t>
      </w:r>
      <w:proofErr w:type="spellEnd"/>
      <w:r w:rsidR="007D0022">
        <w:t xml:space="preserve"> použiť ako referenciu hodnoty obchodných párov relevantných </w:t>
      </w:r>
      <w:proofErr w:type="spellStart"/>
      <w:r w:rsidR="007D0022">
        <w:t>kryptoaktív</w:t>
      </w:r>
      <w:proofErr w:type="spellEnd"/>
      <w:r w:rsidR="007D0022">
        <w:t xml:space="preserve"> a oficiálnej meny, ktoré vedie, aby určil reálnu trhovú hodnotu </w:t>
      </w:r>
      <w:proofErr w:type="spellStart"/>
      <w:r w:rsidR="007D0022">
        <w:t>kryptoaktíva</w:t>
      </w:r>
      <w:proofErr w:type="spellEnd"/>
      <w:r w:rsidR="007D0022">
        <w:t xml:space="preserve"> v čase jeho prevodu. Pokiaľ takéto nevedie, </w:t>
      </w:r>
      <w:r>
        <w:t>použije</w:t>
      </w:r>
      <w:r w:rsidR="007D0022">
        <w:t xml:space="preserve"> jednu z nasledovných metód oceňovania:</w:t>
      </w:r>
    </w:p>
    <w:p w14:paraId="550F7905" w14:textId="77777777" w:rsidR="007D0022" w:rsidRDefault="007D0022" w:rsidP="007D0022">
      <w:pPr>
        <w:pStyle w:val="Bezriadkovania"/>
        <w:numPr>
          <w:ilvl w:val="0"/>
          <w:numId w:val="5"/>
        </w:numPr>
        <w:jc w:val="both"/>
      </w:pPr>
      <w:r>
        <w:t xml:space="preserve">ako prvé sa použijú účtovné hodnoty z interného účtovníctva, ktorú prevádzkovateľ služieb </w:t>
      </w:r>
      <w:proofErr w:type="spellStart"/>
      <w:r>
        <w:t>kryptoaktív</w:t>
      </w:r>
      <w:proofErr w:type="spellEnd"/>
      <w:r>
        <w:t xml:space="preserve"> používa v súvislosti s </w:t>
      </w:r>
      <w:proofErr w:type="spellStart"/>
      <w:r>
        <w:t>kryptoaktívami</w:t>
      </w:r>
      <w:proofErr w:type="spellEnd"/>
      <w:r>
        <w:t>,</w:t>
      </w:r>
    </w:p>
    <w:p w14:paraId="4DA2AA31" w14:textId="14B4DE8C" w:rsidR="007D0022" w:rsidRDefault="007D0022" w:rsidP="007D0022">
      <w:pPr>
        <w:pStyle w:val="Bezriadkovania"/>
        <w:numPr>
          <w:ilvl w:val="0"/>
          <w:numId w:val="5"/>
        </w:numPr>
        <w:jc w:val="both"/>
      </w:pPr>
      <w:r>
        <w:t xml:space="preserve">pokiaľ nie sú účtovné hodnoty k dispozícii, </w:t>
      </w:r>
      <w:r w:rsidR="007C38F9">
        <w:t>použijú sa</w:t>
      </w:r>
      <w:r>
        <w:t xml:space="preserve"> hodnoty poskytnuté tretími stranami (spoločnosti, webové stránky), ktoré agregujú aktuálne ceny </w:t>
      </w:r>
      <w:proofErr w:type="spellStart"/>
      <w:r>
        <w:t>kryptoaktív</w:t>
      </w:r>
      <w:proofErr w:type="spellEnd"/>
      <w:r>
        <w:t>, pokiaľ je možné predpokladať, že tieto poskytnú spoľahlivý ukazovateľ hodnoty,</w:t>
      </w:r>
    </w:p>
    <w:p w14:paraId="7467F536" w14:textId="6D2636C9" w:rsidR="007D0022" w:rsidRDefault="007D0022" w:rsidP="007D0022">
      <w:pPr>
        <w:pStyle w:val="Bezriadkovania"/>
        <w:numPr>
          <w:ilvl w:val="0"/>
          <w:numId w:val="5"/>
        </w:numPr>
        <w:jc w:val="both"/>
      </w:pPr>
      <w:r>
        <w:t xml:space="preserve">ak nie je k dispozícii ani jedno z vyššie uvedeného, </w:t>
      </w:r>
      <w:r w:rsidR="007C38F9">
        <w:t>použije</w:t>
      </w:r>
      <w:r>
        <w:t xml:space="preserve"> najaktuálnejšie ocenenie </w:t>
      </w:r>
      <w:proofErr w:type="spellStart"/>
      <w:r>
        <w:t>kryptoaktíva</w:t>
      </w:r>
      <w:proofErr w:type="spellEnd"/>
      <w:r>
        <w:t>, ktorú tento prevádzkovateľ naposledy použil,</w:t>
      </w:r>
    </w:p>
    <w:p w14:paraId="53370989" w14:textId="77777777" w:rsidR="007D0022" w:rsidRDefault="007D0022" w:rsidP="007D0022">
      <w:pPr>
        <w:pStyle w:val="Bezriadkovania"/>
        <w:numPr>
          <w:ilvl w:val="0"/>
          <w:numId w:val="5"/>
        </w:numPr>
        <w:jc w:val="both"/>
      </w:pPr>
      <w:r>
        <w:t>ak hodnotu nemožno stále priradiť, môže sa použiť primeraný odhad.</w:t>
      </w:r>
    </w:p>
    <w:p w14:paraId="01759C6C" w14:textId="77777777" w:rsidR="007D0022" w:rsidRDefault="007D0022" w:rsidP="007C38F9">
      <w:pPr>
        <w:pStyle w:val="Bezriadkovania"/>
        <w:jc w:val="both"/>
      </w:pPr>
      <w:r>
        <w:t>Uvedenú metódu oceňovania uvedie do XML schémy.</w:t>
      </w:r>
    </w:p>
    <w:p w14:paraId="1677C18B" w14:textId="77777777" w:rsidR="006B38EC" w:rsidRDefault="006B38EC" w:rsidP="003B68A9">
      <w:pPr>
        <w:pStyle w:val="Bezriadkovania"/>
        <w:spacing w:line="252" w:lineRule="auto"/>
        <w:jc w:val="both"/>
      </w:pPr>
    </w:p>
    <w:p w14:paraId="66650E12" w14:textId="01488949" w:rsidR="0045243E" w:rsidRPr="00CF0E64" w:rsidRDefault="00993226" w:rsidP="003B68A9">
      <w:pPr>
        <w:pStyle w:val="Bezriadkovania"/>
        <w:spacing w:line="252" w:lineRule="auto"/>
        <w:jc w:val="both"/>
      </w:pPr>
      <w:r w:rsidRPr="00CF0E64">
        <w:t xml:space="preserve">V odseku 13 sa zavádza povinnosť pre oznamujúceho poskytovateľa služieb </w:t>
      </w:r>
      <w:proofErr w:type="spellStart"/>
      <w:r w:rsidRPr="00CF0E64">
        <w:t>kryptoaktív</w:t>
      </w:r>
      <w:proofErr w:type="spellEnd"/>
      <w:r w:rsidRPr="00CF0E64">
        <w:t xml:space="preserve"> oznámiť získané a preverené informácie o </w:t>
      </w:r>
      <w:proofErr w:type="spellStart"/>
      <w:r w:rsidRPr="00CF0E64">
        <w:t>kryptoaktívach</w:t>
      </w:r>
      <w:proofErr w:type="spellEnd"/>
      <w:r w:rsidRPr="00CF0E64">
        <w:t xml:space="preserve"> príslušnému orgánu Slovenskej republiky v lehote do 3</w:t>
      </w:r>
      <w:r w:rsidR="004A2587" w:rsidRPr="00CF0E64">
        <w:t>1</w:t>
      </w:r>
      <w:r w:rsidRPr="00CF0E64">
        <w:t xml:space="preserve">. </w:t>
      </w:r>
      <w:r w:rsidR="004A2587" w:rsidRPr="00CF0E64">
        <w:t>mája</w:t>
      </w:r>
      <w:r w:rsidRPr="00CF0E64">
        <w:t xml:space="preserve"> kalendárneho roka nasledujúceho po kalendárnom roku, za ktorý sa plní oznamovacia povinnosť. </w:t>
      </w:r>
      <w:r w:rsidR="00C6566A">
        <w:t>Medzi oznamované informácie patria aj skutočnosti, ak</w:t>
      </w:r>
      <w:r w:rsidR="00C6566A" w:rsidRPr="0002231E">
        <w:t xml:space="preserve"> v kalendárnom roku alebo inom primeranom období neuskutočnil žiadnu oznamovanú transakciu pre </w:t>
      </w:r>
      <w:r w:rsidR="00C6566A">
        <w:t xml:space="preserve">žiadneho </w:t>
      </w:r>
      <w:r w:rsidR="00C6566A" w:rsidRPr="0002231E">
        <w:t>používateľa podliehajúceho oznamovaniu</w:t>
      </w:r>
      <w:r w:rsidR="00C6566A">
        <w:t xml:space="preserve"> a skutočnosť, že informácie podľa § 15h ods. 9 podala pobočka v inom členskom štáte alebo kvalifikovanom zmluvnom štáte. </w:t>
      </w:r>
      <w:r w:rsidRPr="00CF0E64">
        <w:t xml:space="preserve">Lehota je stanovená </w:t>
      </w:r>
      <w:r w:rsidR="004A2587" w:rsidRPr="00CF0E64">
        <w:t>s ohľadom na zabezpečenie dostatočného časového priestoru pre príslušný orgán informácie skontrolovať a pripraviť na zaslanie partnerským príslušným orgánom na účely automatickej výmeny informácií o </w:t>
      </w:r>
      <w:proofErr w:type="spellStart"/>
      <w:r w:rsidR="004A2587" w:rsidRPr="00CF0E64">
        <w:t>kryptoaktívach</w:t>
      </w:r>
      <w:proofErr w:type="spellEnd"/>
      <w:r w:rsidR="004A2587" w:rsidRPr="00CF0E64">
        <w:t xml:space="preserve">. </w:t>
      </w:r>
    </w:p>
    <w:p w14:paraId="703A8759" w14:textId="549C99CF" w:rsidR="00993226" w:rsidRPr="00CF0E64" w:rsidRDefault="00247C05" w:rsidP="003B68A9">
      <w:pPr>
        <w:pStyle w:val="Bezriadkovania"/>
        <w:spacing w:line="252" w:lineRule="auto"/>
        <w:jc w:val="both"/>
      </w:pPr>
      <w:r w:rsidRPr="00CF0E64">
        <w:t>V odseku 14 sa v</w:t>
      </w:r>
      <w:r w:rsidR="00F16718" w:rsidRPr="00CF0E64">
        <w:t xml:space="preserve"> súlade so smernicou (EÚ) 2023/2226 </w:t>
      </w:r>
      <w:r w:rsidRPr="00CF0E64">
        <w:t>u</w:t>
      </w:r>
      <w:r w:rsidR="00F16718" w:rsidRPr="00CF0E64">
        <w:t>pravuje situácia v prípade oznamovania informácií v štáte mimo Európskej únie, na ktorý sa vzťah</w:t>
      </w:r>
      <w:r w:rsidR="00FE49BA" w:rsidRPr="00CF0E64">
        <w:t xml:space="preserve">uje dohoda príslušných orgánov. </w:t>
      </w:r>
    </w:p>
    <w:p w14:paraId="46B5B2BF" w14:textId="116AA586" w:rsidR="00FE49BA" w:rsidRPr="00CF0E64" w:rsidRDefault="00FE49BA" w:rsidP="003B68A9">
      <w:pPr>
        <w:pStyle w:val="Bezriadkovania"/>
        <w:spacing w:line="252" w:lineRule="auto"/>
        <w:jc w:val="both"/>
      </w:pPr>
      <w:r w:rsidRPr="00CF0E64">
        <w:t xml:space="preserve">V odseku 15 sa nadväzne na potrebu zabezpečenia plnenia oznamovacích povinností zavádza povinnosť pre oznamujúcich poskytovateľov služieb </w:t>
      </w:r>
      <w:proofErr w:type="spellStart"/>
      <w:r w:rsidRPr="00CF0E64">
        <w:t>kryptoaktív</w:t>
      </w:r>
      <w:proofErr w:type="spellEnd"/>
      <w:r w:rsidRPr="00CF0E64">
        <w:t xml:space="preserve"> oznámiť požadované informácie v rozsahu podľa § 15h ods. 9 pred ukončením činnosti alebo zánikom. </w:t>
      </w:r>
    </w:p>
    <w:p w14:paraId="435CC4D8" w14:textId="4E2CB321" w:rsidR="00FE49BA" w:rsidRPr="00CF0E64" w:rsidRDefault="00FE49BA" w:rsidP="003B68A9">
      <w:pPr>
        <w:pStyle w:val="Bezriadkovania"/>
        <w:spacing w:line="252" w:lineRule="auto"/>
        <w:jc w:val="both"/>
      </w:pPr>
      <w:r w:rsidRPr="00CF0E64">
        <w:t>Nadväzne na ustanovenia smernice (EÚ) 2023/2226 sa ustanovuje, že príslušný orgán Slovenskej republiky má v centrálnom registri, v ktorom sa budú zaznamenávať informácie o </w:t>
      </w:r>
      <w:proofErr w:type="spellStart"/>
      <w:r w:rsidRPr="00CF0E64">
        <w:t>kryptoaktívach</w:t>
      </w:r>
      <w:proofErr w:type="spellEnd"/>
      <w:r w:rsidRPr="00CF0E64">
        <w:t xml:space="preserve">, </w:t>
      </w:r>
      <w:r w:rsidR="00BE3A41" w:rsidRPr="00CF0E64">
        <w:t xml:space="preserve">prístup </w:t>
      </w:r>
      <w:r w:rsidRPr="00CF0E64">
        <w:t xml:space="preserve">len k informáciám týkajúcim sa používateľov podliehajúcich </w:t>
      </w:r>
      <w:r w:rsidRPr="00CF0E64">
        <w:lastRenderedPageBreak/>
        <w:t xml:space="preserve">oznamovaniu a osôb podliehajúcich oznamovaniu s bydliskom alebo sídlom v Slovenskej republike. </w:t>
      </w:r>
    </w:p>
    <w:p w14:paraId="2DF080F0" w14:textId="15C99E21" w:rsidR="003B68A9" w:rsidRDefault="007B2B8F" w:rsidP="003B68A9">
      <w:pPr>
        <w:pStyle w:val="Bezriadkovania"/>
        <w:spacing w:line="252" w:lineRule="auto"/>
        <w:jc w:val="both"/>
      </w:pPr>
      <w:r>
        <w:t xml:space="preserve">V odseku 17 sa špecifikuje spôsob elektronického oznamovania informácií pre prevádzkovateľa </w:t>
      </w:r>
      <w:proofErr w:type="spellStart"/>
      <w:r>
        <w:t>kryptoaktív</w:t>
      </w:r>
      <w:proofErr w:type="spellEnd"/>
      <w:r>
        <w:t xml:space="preserve">, ktorý nemá pridelené daňové identifikačné číslo v Slovenskej republike. Na takúto komunikáciu sa nevzťahuje doručovanie písomností podľa daňového poriadku. Ostatní oznamujúci poskytovatelia služieb </w:t>
      </w:r>
      <w:proofErr w:type="spellStart"/>
      <w:r>
        <w:t>kryptoaktív</w:t>
      </w:r>
      <w:proofErr w:type="spellEnd"/>
      <w:r>
        <w:t xml:space="preserve"> budú oznamovať informácie v súlade s daňovým poriadkom. </w:t>
      </w:r>
    </w:p>
    <w:p w14:paraId="0CABA49A" w14:textId="78B94BD4" w:rsidR="007B2B8F" w:rsidRDefault="00C6566A" w:rsidP="003B68A9">
      <w:pPr>
        <w:pStyle w:val="Bezriadkovania"/>
        <w:spacing w:line="252" w:lineRule="auto"/>
        <w:jc w:val="both"/>
        <w:rPr>
          <w:shd w:val="clear" w:color="auto" w:fill="FFFFFF"/>
        </w:rPr>
      </w:pPr>
      <w:r>
        <w:t xml:space="preserve">V odseku 18 sa z dôvodu prieniku medzi rámcom CARF a spoločným štandardom CRS ustanovuje, že v rámci oznamovaných informácií podľa § 15h ods. 9 poskytovateľ služieb </w:t>
      </w:r>
      <w:proofErr w:type="spellStart"/>
      <w:r>
        <w:t>kryptoaktív</w:t>
      </w:r>
      <w:proofErr w:type="spellEnd"/>
      <w:r>
        <w:t xml:space="preserve"> uvedie aj skutočnosť, ak </w:t>
      </w:r>
      <w:r>
        <w:rPr>
          <w:shd w:val="clear" w:color="auto" w:fill="FFFFFF"/>
        </w:rPr>
        <w:t>hrubé výnosy z predaja alebo vyplatenia finančného aktíva oznámil podľa § 9 ods. 5 zákona v rámci automatickej výmeny informácií o finančných účtoch.</w:t>
      </w:r>
    </w:p>
    <w:p w14:paraId="779EFC0C" w14:textId="77777777" w:rsidR="00C6566A" w:rsidRPr="00CF0E64" w:rsidRDefault="00C6566A" w:rsidP="003B68A9">
      <w:pPr>
        <w:pStyle w:val="Bezriadkovania"/>
        <w:spacing w:line="252" w:lineRule="auto"/>
        <w:jc w:val="both"/>
      </w:pPr>
    </w:p>
    <w:p w14:paraId="167516D9" w14:textId="7E4DBB02" w:rsidR="00FC5DFE" w:rsidRPr="00CF0E64" w:rsidRDefault="00FC5DFE" w:rsidP="003B68A9">
      <w:pPr>
        <w:spacing w:after="0" w:line="252" w:lineRule="auto"/>
        <w:jc w:val="both"/>
        <w:rPr>
          <w:rFonts w:ascii="Times New Roman" w:eastAsia="Times New Roman" w:hAnsi="Times New Roman" w:cs="Times New Roman"/>
          <w:b/>
          <w:sz w:val="24"/>
          <w:szCs w:val="24"/>
          <w:lang w:eastAsia="sk-SK"/>
        </w:rPr>
      </w:pPr>
      <w:r w:rsidRPr="00CF0E64">
        <w:rPr>
          <w:rFonts w:ascii="Times New Roman" w:eastAsia="Times New Roman" w:hAnsi="Times New Roman" w:cs="Times New Roman"/>
          <w:b/>
          <w:sz w:val="24"/>
          <w:szCs w:val="24"/>
          <w:lang w:eastAsia="sk-SK"/>
        </w:rPr>
        <w:t>§ 15i</w:t>
      </w:r>
    </w:p>
    <w:p w14:paraId="070C2A8D" w14:textId="6536C9FC" w:rsidR="00FC5DFE" w:rsidRPr="00CF0E64" w:rsidRDefault="00FC5DFE" w:rsidP="003B68A9">
      <w:pPr>
        <w:spacing w:after="0" w:line="252" w:lineRule="auto"/>
        <w:jc w:val="both"/>
        <w:rPr>
          <w:rFonts w:ascii="Times New Roman" w:hAnsi="Times New Roman" w:cs="Times New Roman"/>
          <w:sz w:val="24"/>
          <w:szCs w:val="24"/>
          <w:shd w:val="clear" w:color="auto" w:fill="FFFFFF"/>
        </w:rPr>
      </w:pPr>
      <w:r w:rsidRPr="00CF0E64">
        <w:rPr>
          <w:rFonts w:ascii="Times New Roman" w:hAnsi="Times New Roman" w:cs="Times New Roman"/>
          <w:sz w:val="24"/>
          <w:szCs w:val="24"/>
          <w:shd w:val="clear" w:color="auto" w:fill="FFFFFF"/>
        </w:rPr>
        <w:t xml:space="preserve">Registračná povinnosť sa vzťahuje na prevádzkovateľov </w:t>
      </w:r>
      <w:proofErr w:type="spellStart"/>
      <w:r w:rsidRPr="00CF0E64">
        <w:rPr>
          <w:rFonts w:ascii="Times New Roman" w:hAnsi="Times New Roman" w:cs="Times New Roman"/>
          <w:sz w:val="24"/>
          <w:szCs w:val="24"/>
          <w:shd w:val="clear" w:color="auto" w:fill="FFFFFF"/>
        </w:rPr>
        <w:t>kryptoaktív</w:t>
      </w:r>
      <w:proofErr w:type="spellEnd"/>
      <w:r w:rsidRPr="00CF0E64">
        <w:rPr>
          <w:rFonts w:ascii="Times New Roman" w:hAnsi="Times New Roman" w:cs="Times New Roman"/>
          <w:sz w:val="24"/>
          <w:szCs w:val="24"/>
          <w:shd w:val="clear" w:color="auto" w:fill="FFFFFF"/>
        </w:rPr>
        <w:t xml:space="preserve"> podľa § 15a písm. b), keďže tieto fyzické osoby a subjekty nie sú regulované podľa nariadenia (EÚ) 2023/1114. O registráciu </w:t>
      </w:r>
      <w:r w:rsidR="00E77FC8" w:rsidRPr="00CF0E64">
        <w:rPr>
          <w:rFonts w:ascii="Times New Roman" w:hAnsi="Times New Roman" w:cs="Times New Roman"/>
          <w:sz w:val="24"/>
          <w:szCs w:val="24"/>
          <w:shd w:val="clear" w:color="auto" w:fill="FFFFFF"/>
        </w:rPr>
        <w:t xml:space="preserve">v Slovenskej republike </w:t>
      </w:r>
      <w:r w:rsidRPr="00CF0E64">
        <w:rPr>
          <w:rFonts w:ascii="Times New Roman" w:hAnsi="Times New Roman" w:cs="Times New Roman"/>
          <w:sz w:val="24"/>
          <w:szCs w:val="24"/>
          <w:shd w:val="clear" w:color="auto" w:fill="FFFFFF"/>
        </w:rPr>
        <w:t xml:space="preserve">má povinnosť </w:t>
      </w:r>
      <w:r w:rsidR="00E77FC8" w:rsidRPr="00CF0E64">
        <w:rPr>
          <w:rFonts w:ascii="Times New Roman" w:hAnsi="Times New Roman" w:cs="Times New Roman"/>
          <w:sz w:val="24"/>
          <w:szCs w:val="24"/>
          <w:shd w:val="clear" w:color="auto" w:fill="FFFFFF"/>
        </w:rPr>
        <w:t xml:space="preserve">požiadať prevádzkovateľ </w:t>
      </w:r>
      <w:proofErr w:type="spellStart"/>
      <w:r w:rsidR="00E77FC8" w:rsidRPr="00CF0E64">
        <w:rPr>
          <w:rFonts w:ascii="Times New Roman" w:hAnsi="Times New Roman" w:cs="Times New Roman"/>
          <w:sz w:val="24"/>
          <w:szCs w:val="24"/>
          <w:shd w:val="clear" w:color="auto" w:fill="FFFFFF"/>
        </w:rPr>
        <w:t>kryptoaktív</w:t>
      </w:r>
      <w:proofErr w:type="spellEnd"/>
      <w:r w:rsidR="00E77FC8" w:rsidRPr="00CF0E64">
        <w:rPr>
          <w:rFonts w:ascii="Times New Roman" w:hAnsi="Times New Roman" w:cs="Times New Roman"/>
          <w:sz w:val="24"/>
          <w:szCs w:val="24"/>
          <w:shd w:val="clear" w:color="auto" w:fill="FFFFFF"/>
        </w:rPr>
        <w:t>, ak tu spĺňa niektorú z podmienok uvedených v § 15h ods. 1 písm</w:t>
      </w:r>
      <w:r w:rsidR="000C61EF" w:rsidRPr="00CF0E64">
        <w:rPr>
          <w:rFonts w:ascii="Times New Roman" w:hAnsi="Times New Roman" w:cs="Times New Roman"/>
          <w:sz w:val="24"/>
          <w:szCs w:val="24"/>
          <w:shd w:val="clear" w:color="auto" w:fill="FFFFFF"/>
        </w:rPr>
        <w:t>.</w:t>
      </w:r>
      <w:r w:rsidR="00E77FC8" w:rsidRPr="00CF0E64">
        <w:rPr>
          <w:rFonts w:ascii="Times New Roman" w:hAnsi="Times New Roman" w:cs="Times New Roman"/>
          <w:sz w:val="24"/>
          <w:szCs w:val="24"/>
          <w:shd w:val="clear" w:color="auto" w:fill="FFFFFF"/>
        </w:rPr>
        <w:t xml:space="preserve"> b) v bodoch </w:t>
      </w:r>
      <w:r w:rsidR="00697C76" w:rsidRPr="00CF0E64">
        <w:rPr>
          <w:rFonts w:ascii="Times New Roman" w:hAnsi="Times New Roman" w:cs="Times New Roman"/>
          <w:sz w:val="24"/>
          <w:szCs w:val="24"/>
          <w:shd w:val="clear" w:color="auto" w:fill="FFFFFF"/>
        </w:rPr>
        <w:t xml:space="preserve">1 až 4 alebo sa na neho vzťahuje § 15h ods. 2 ohľadom oznamovaných transakcií vykonávaných prostredníctvom pobočky na území Slovenskej republiky. Lehota na požiadanie o registráciu je stanovená do 31. marca po </w:t>
      </w:r>
      <w:r w:rsidR="00C216FE" w:rsidRPr="00CF0E64">
        <w:rPr>
          <w:rFonts w:ascii="Times New Roman" w:hAnsi="Times New Roman" w:cs="Times New Roman"/>
          <w:sz w:val="24"/>
          <w:szCs w:val="24"/>
          <w:shd w:val="clear" w:color="auto" w:fill="FFFFFF"/>
        </w:rPr>
        <w:t xml:space="preserve">skončení oznamovacieho obdobia a o registráciu sa </w:t>
      </w:r>
      <w:r w:rsidR="00D953AA" w:rsidRPr="00CF0E64">
        <w:rPr>
          <w:rFonts w:ascii="Times New Roman" w:hAnsi="Times New Roman" w:cs="Times New Roman"/>
          <w:sz w:val="24"/>
          <w:szCs w:val="24"/>
          <w:shd w:val="clear" w:color="auto" w:fill="FFFFFF"/>
        </w:rPr>
        <w:t xml:space="preserve">elektronicky </w:t>
      </w:r>
      <w:r w:rsidR="00C216FE" w:rsidRPr="00CF0E64">
        <w:rPr>
          <w:rFonts w:ascii="Times New Roman" w:hAnsi="Times New Roman" w:cs="Times New Roman"/>
          <w:sz w:val="24"/>
          <w:szCs w:val="24"/>
          <w:shd w:val="clear" w:color="auto" w:fill="FFFFFF"/>
        </w:rPr>
        <w:t>žiada u správcu dane, ktorým je Daňový úrad Bratislava.</w:t>
      </w:r>
      <w:r w:rsidR="00D953AA" w:rsidRPr="00CF0E64">
        <w:rPr>
          <w:rFonts w:ascii="Times New Roman" w:hAnsi="Times New Roman" w:cs="Times New Roman"/>
          <w:sz w:val="24"/>
          <w:szCs w:val="24"/>
          <w:shd w:val="clear" w:color="auto" w:fill="FFFFFF"/>
        </w:rPr>
        <w:t xml:space="preserve"> Formulár žiadosti zverejní Finančné riaditeľstvo Slovenskej republiky na svojom webovom sídle. </w:t>
      </w:r>
    </w:p>
    <w:p w14:paraId="211727C9" w14:textId="3235C0BF" w:rsidR="00697C76" w:rsidRPr="00CF0E64" w:rsidRDefault="00697C76" w:rsidP="003B68A9">
      <w:pPr>
        <w:spacing w:after="0" w:line="252" w:lineRule="auto"/>
        <w:jc w:val="both"/>
        <w:rPr>
          <w:rFonts w:ascii="Times New Roman" w:hAnsi="Times New Roman" w:cs="Times New Roman"/>
          <w:sz w:val="24"/>
          <w:szCs w:val="24"/>
          <w:shd w:val="clear" w:color="auto" w:fill="FFFFFF"/>
        </w:rPr>
      </w:pPr>
      <w:r w:rsidRPr="00CF0E64">
        <w:rPr>
          <w:rFonts w:ascii="Times New Roman" w:hAnsi="Times New Roman" w:cs="Times New Roman"/>
          <w:sz w:val="24"/>
          <w:szCs w:val="24"/>
          <w:shd w:val="clear" w:color="auto" w:fill="FFFFFF"/>
        </w:rPr>
        <w:t xml:space="preserve">V zmysle smernice (EÚ) 2023/2226, ak prevádzkovateľ </w:t>
      </w:r>
      <w:proofErr w:type="spellStart"/>
      <w:r w:rsidRPr="00CF0E64">
        <w:rPr>
          <w:rFonts w:ascii="Times New Roman" w:hAnsi="Times New Roman" w:cs="Times New Roman"/>
          <w:sz w:val="24"/>
          <w:szCs w:val="24"/>
          <w:shd w:val="clear" w:color="auto" w:fill="FFFFFF"/>
        </w:rPr>
        <w:t>kryptoaktív</w:t>
      </w:r>
      <w:proofErr w:type="spellEnd"/>
      <w:r w:rsidRPr="00CF0E64">
        <w:rPr>
          <w:rFonts w:ascii="Times New Roman" w:hAnsi="Times New Roman" w:cs="Times New Roman"/>
          <w:sz w:val="24"/>
          <w:szCs w:val="24"/>
          <w:shd w:val="clear" w:color="auto" w:fill="FFFFFF"/>
        </w:rPr>
        <w:t xml:space="preserve"> spĺňa vyššie uvedené podmienky vo viacerých členských štátoch, má povinnosť zaregistrovať sa u príslušného orgánu jedného z týchto členských štátov, a to ešte pred uplynutím lehoty na oznámenie informácií o </w:t>
      </w:r>
      <w:proofErr w:type="spellStart"/>
      <w:r w:rsidRPr="00CF0E64">
        <w:rPr>
          <w:rFonts w:ascii="Times New Roman" w:hAnsi="Times New Roman" w:cs="Times New Roman"/>
          <w:sz w:val="24"/>
          <w:szCs w:val="24"/>
          <w:shd w:val="clear" w:color="auto" w:fill="FFFFFF"/>
        </w:rPr>
        <w:t>kryptoaktívach</w:t>
      </w:r>
      <w:proofErr w:type="spellEnd"/>
      <w:r w:rsidRPr="00CF0E64">
        <w:rPr>
          <w:rFonts w:ascii="Times New Roman" w:hAnsi="Times New Roman" w:cs="Times New Roman"/>
          <w:sz w:val="24"/>
          <w:szCs w:val="24"/>
          <w:shd w:val="clear" w:color="auto" w:fill="FFFFFF"/>
        </w:rPr>
        <w:t xml:space="preserve">. V odseku 2 sa ďalej ustanovuje, že ak sa v takejto situácii rozhodne pre registráciu v Slovenskej republike, požiada o registráciu u správcu dane, ktorým je Daňový úrad Bratislava v lehote, formáte a štruktúre, ako sú ustanovené pre registráciu v Slovenskej republike. </w:t>
      </w:r>
    </w:p>
    <w:p w14:paraId="53301B1B" w14:textId="19835E81" w:rsidR="004135C5" w:rsidRPr="00CF0E64" w:rsidRDefault="004135C5" w:rsidP="003B68A9">
      <w:pPr>
        <w:spacing w:after="0" w:line="252" w:lineRule="auto"/>
        <w:jc w:val="both"/>
        <w:rPr>
          <w:rFonts w:ascii="Times New Roman" w:hAnsi="Times New Roman" w:cs="Times New Roman"/>
          <w:sz w:val="24"/>
          <w:szCs w:val="24"/>
          <w:shd w:val="clear" w:color="auto" w:fill="FFFFFF"/>
        </w:rPr>
      </w:pPr>
      <w:r w:rsidRPr="00CF0E64">
        <w:rPr>
          <w:rFonts w:ascii="Times New Roman" w:hAnsi="Times New Roman" w:cs="Times New Roman"/>
          <w:sz w:val="24"/>
          <w:szCs w:val="24"/>
          <w:shd w:val="clear" w:color="auto" w:fill="FFFFFF"/>
        </w:rPr>
        <w:t xml:space="preserve">Ak </w:t>
      </w:r>
      <w:r w:rsidR="00DF1D90" w:rsidRPr="00CF0E64">
        <w:rPr>
          <w:rFonts w:ascii="Times New Roman" w:hAnsi="Times New Roman" w:cs="Times New Roman"/>
          <w:sz w:val="24"/>
          <w:szCs w:val="24"/>
          <w:shd w:val="clear" w:color="auto" w:fill="FFFFFF"/>
        </w:rPr>
        <w:t xml:space="preserve">prevádzkovateľ </w:t>
      </w:r>
      <w:proofErr w:type="spellStart"/>
      <w:r w:rsidR="00DF1D90" w:rsidRPr="00CF0E64">
        <w:rPr>
          <w:rFonts w:ascii="Times New Roman" w:hAnsi="Times New Roman" w:cs="Times New Roman"/>
          <w:sz w:val="24"/>
          <w:szCs w:val="24"/>
          <w:shd w:val="clear" w:color="auto" w:fill="FFFFFF"/>
        </w:rPr>
        <w:t>kryptoaktív</w:t>
      </w:r>
      <w:proofErr w:type="spellEnd"/>
      <w:r w:rsidR="00DF1D90" w:rsidRPr="00CF0E64">
        <w:rPr>
          <w:rFonts w:ascii="Times New Roman" w:hAnsi="Times New Roman" w:cs="Times New Roman"/>
          <w:sz w:val="24"/>
          <w:szCs w:val="24"/>
          <w:shd w:val="clear" w:color="auto" w:fill="FFFFFF"/>
        </w:rPr>
        <w:t xml:space="preserve"> oznamuje informácie o </w:t>
      </w:r>
      <w:proofErr w:type="spellStart"/>
      <w:r w:rsidR="00DF1D90" w:rsidRPr="00CF0E64">
        <w:rPr>
          <w:rFonts w:ascii="Times New Roman" w:hAnsi="Times New Roman" w:cs="Times New Roman"/>
          <w:sz w:val="24"/>
          <w:szCs w:val="24"/>
          <w:shd w:val="clear" w:color="auto" w:fill="FFFFFF"/>
        </w:rPr>
        <w:t>kryptoaktívach</w:t>
      </w:r>
      <w:proofErr w:type="spellEnd"/>
      <w:r w:rsidR="00DF1D90" w:rsidRPr="00CF0E64">
        <w:rPr>
          <w:rFonts w:ascii="Times New Roman" w:hAnsi="Times New Roman" w:cs="Times New Roman"/>
          <w:sz w:val="24"/>
          <w:szCs w:val="24"/>
          <w:shd w:val="clear" w:color="auto" w:fill="FFFFFF"/>
        </w:rPr>
        <w:t xml:space="preserve"> a vykonáva postupy preverovania v inom členskom štáte alebo kvalifikovanom zmluvnom štáte, nie je povinný registrovať sa u príslušného orgánu Slovenskej republiky, keďže tu nie povinný oznamovať informácie a vykonávať postupy preverovania. </w:t>
      </w:r>
    </w:p>
    <w:p w14:paraId="15B36FDA" w14:textId="4A976A15" w:rsidR="00F425E1" w:rsidRPr="00CF0E64" w:rsidRDefault="00D953AA" w:rsidP="003B68A9">
      <w:pPr>
        <w:pStyle w:val="Bezriadkovania"/>
        <w:spacing w:line="252" w:lineRule="auto"/>
        <w:jc w:val="both"/>
      </w:pPr>
      <w:r w:rsidRPr="00CF0E64">
        <w:t xml:space="preserve">V odseku </w:t>
      </w:r>
      <w:r w:rsidR="00CB495E" w:rsidRPr="00CF0E64">
        <w:t>4</w:t>
      </w:r>
      <w:r w:rsidRPr="00CF0E64">
        <w:t xml:space="preserve"> sú uvedené informácie, ktoré musia byť obsiahnuté v žiadosti o registráciu. </w:t>
      </w:r>
      <w:r w:rsidR="00C74B9A">
        <w:t>Pri písmene d) sa uvedie DIČ, IČ DPH alebo iné identifikačné číslo.</w:t>
      </w:r>
    </w:p>
    <w:p w14:paraId="68B41CE0" w14:textId="77777777" w:rsidR="00B459D3" w:rsidRDefault="00D953AA" w:rsidP="003B68A9">
      <w:pPr>
        <w:pStyle w:val="Bezriadkovania"/>
        <w:spacing w:line="252" w:lineRule="auto"/>
        <w:jc w:val="both"/>
      </w:pPr>
      <w:r w:rsidRPr="00CF0E64">
        <w:t xml:space="preserve">V odseku </w:t>
      </w:r>
      <w:r w:rsidR="00CB495E" w:rsidRPr="00CF0E64">
        <w:t>5</w:t>
      </w:r>
      <w:r w:rsidRPr="00CF0E64">
        <w:t xml:space="preserve"> sa ustanovuje povinnosť pre správcu dane, ktorým je Daňový úrad Bratislava, aby do 15 dní odo dňa podania žiadosti alebo odo dňa odstránenia nedostatkov podania zaregistroval prevádzkovateľa </w:t>
      </w:r>
      <w:proofErr w:type="spellStart"/>
      <w:r w:rsidRPr="00CF0E64">
        <w:t>kryptoaktív</w:t>
      </w:r>
      <w:proofErr w:type="spellEnd"/>
      <w:r w:rsidR="00B459D3">
        <w:t>, ak spĺňa podmienky na registráciu</w:t>
      </w:r>
      <w:r w:rsidRPr="00CF0E64">
        <w:t xml:space="preserve">. Pri registrácii mu pridelí a oznámi individuálne identifikačné číslo, ktoré bude prevádzkovateľ </w:t>
      </w:r>
      <w:proofErr w:type="spellStart"/>
      <w:r w:rsidRPr="00CF0E64">
        <w:t>kryptoaktív</w:t>
      </w:r>
      <w:proofErr w:type="spellEnd"/>
      <w:r w:rsidRPr="00CF0E64">
        <w:t xml:space="preserve"> používať na účely komunikácie ohľadom automatickej výmeny informácií o </w:t>
      </w:r>
      <w:proofErr w:type="spellStart"/>
      <w:r w:rsidRPr="00CF0E64">
        <w:t>kryptoaktívach</w:t>
      </w:r>
      <w:proofErr w:type="spellEnd"/>
      <w:r w:rsidRPr="00CF0E64">
        <w:t xml:space="preserve">. </w:t>
      </w:r>
    </w:p>
    <w:p w14:paraId="1161B96C" w14:textId="5C79DC61" w:rsidR="00B459D3" w:rsidRDefault="00B459D3" w:rsidP="003B68A9">
      <w:pPr>
        <w:pStyle w:val="Bezriadkovania"/>
        <w:spacing w:line="252" w:lineRule="auto"/>
        <w:jc w:val="both"/>
      </w:pPr>
      <w:r>
        <w:t xml:space="preserve">V odseku 6 je upravená situácia, ak </w:t>
      </w:r>
      <w:proofErr w:type="spellStart"/>
      <w:r>
        <w:t>prevázdzkovateľ</w:t>
      </w:r>
      <w:proofErr w:type="spellEnd"/>
      <w:r>
        <w:t xml:space="preserve"> </w:t>
      </w:r>
      <w:proofErr w:type="spellStart"/>
      <w:r>
        <w:t>kryptoaktív</w:t>
      </w:r>
      <w:proofErr w:type="spellEnd"/>
      <w:r>
        <w:t xml:space="preserve"> nespĺňa podmienky na registráciu. V takomto prípade správca dane, ktorým je Daňový úrad Bratislava, vydá rozhodnutie o nesplnení podmienok. </w:t>
      </w:r>
    </w:p>
    <w:p w14:paraId="10D7EBAC" w14:textId="4DE2697C" w:rsidR="00D953AA" w:rsidRPr="00CF0E64" w:rsidRDefault="00B459D3" w:rsidP="003B68A9">
      <w:pPr>
        <w:pStyle w:val="Bezriadkovania"/>
        <w:spacing w:line="252" w:lineRule="auto"/>
        <w:jc w:val="both"/>
      </w:pPr>
      <w:r>
        <w:t xml:space="preserve">Podľa odseku 7 sa vydané individuálne </w:t>
      </w:r>
      <w:r w:rsidR="00D953AA" w:rsidRPr="00CF0E64">
        <w:t xml:space="preserve">identifikačné číslo elektronicky oznamuje príslušným orgánom členských štátov cez register prevádzkovateľov </w:t>
      </w:r>
      <w:proofErr w:type="spellStart"/>
      <w:r w:rsidR="00D953AA" w:rsidRPr="00CF0E64">
        <w:t>krypotaktív</w:t>
      </w:r>
      <w:proofErr w:type="spellEnd"/>
      <w:r w:rsidR="00D953AA" w:rsidRPr="00CF0E64">
        <w:t>, ktorý vedie Európska komisia.</w:t>
      </w:r>
    </w:p>
    <w:p w14:paraId="1AB680CA" w14:textId="01F58BCC" w:rsidR="00D953AA" w:rsidRPr="00CF0E64" w:rsidRDefault="00D953AA" w:rsidP="003B68A9">
      <w:pPr>
        <w:pStyle w:val="Bezriadkovania"/>
        <w:spacing w:line="252" w:lineRule="auto"/>
        <w:jc w:val="both"/>
      </w:pPr>
      <w:r w:rsidRPr="00CF0E64">
        <w:t xml:space="preserve">V odseku </w:t>
      </w:r>
      <w:r w:rsidR="00B459D3">
        <w:t>8</w:t>
      </w:r>
      <w:r w:rsidRPr="00CF0E64">
        <w:t xml:space="preserve"> sa zavádza povinnosť pre prevádzkovateľa </w:t>
      </w:r>
      <w:proofErr w:type="spellStart"/>
      <w:r w:rsidRPr="00CF0E64">
        <w:t>kryptoaktív</w:t>
      </w:r>
      <w:proofErr w:type="spellEnd"/>
      <w:r w:rsidRPr="00CF0E64">
        <w:t xml:space="preserve"> oznamovať správcovi dane, ktorým je Daňový úrad Bratislava, zmenu skutočností uvedených v žiadosti o registráciu, </w:t>
      </w:r>
      <w:r w:rsidRPr="00CF0E64">
        <w:lastRenderedPageBreak/>
        <w:t xml:space="preserve">ako aj zmeny, ktoré majú za následok zrušenie registrácie, a to do 15 dní odo dňa, keď zmeny nastali. </w:t>
      </w:r>
      <w:r w:rsidR="000F1BE5">
        <w:t xml:space="preserve">Zmenu skutočností bude možné vykonať v rámci úprav registračného formulára. </w:t>
      </w:r>
    </w:p>
    <w:p w14:paraId="4C289171" w14:textId="6D7C94EA" w:rsidR="00D953AA" w:rsidRPr="00CF0E64" w:rsidRDefault="00D953AA" w:rsidP="003B68A9">
      <w:pPr>
        <w:pStyle w:val="Bezriadkovania"/>
        <w:spacing w:line="252" w:lineRule="auto"/>
        <w:jc w:val="both"/>
      </w:pPr>
      <w:r w:rsidRPr="00CF0E64">
        <w:t xml:space="preserve">V odseku </w:t>
      </w:r>
      <w:r w:rsidR="00B459D3">
        <w:t xml:space="preserve">9 </w:t>
      </w:r>
      <w:r w:rsidRPr="00CF0E64">
        <w:t xml:space="preserve">sa upravuje doručovanie písomností prevádzkovateľovi </w:t>
      </w:r>
      <w:proofErr w:type="spellStart"/>
      <w:r w:rsidRPr="00CF0E64">
        <w:t>kryptoaktív</w:t>
      </w:r>
      <w:proofErr w:type="spellEnd"/>
      <w:r w:rsidR="00A76E48">
        <w:t>, ktorý nemá pridelené daňové identifikačné číslo v Slovenskej republike,</w:t>
      </w:r>
      <w:r w:rsidRPr="00CF0E64">
        <w:t xml:space="preserve"> zo strany správcu dane, ktorým je Daňový úrad Bratislava. </w:t>
      </w:r>
    </w:p>
    <w:p w14:paraId="38086629" w14:textId="5F69B823" w:rsidR="00D953AA" w:rsidRPr="00CF0E64" w:rsidRDefault="00D953AA" w:rsidP="003B68A9">
      <w:pPr>
        <w:pStyle w:val="Bezriadkovania"/>
        <w:spacing w:line="252" w:lineRule="auto"/>
        <w:jc w:val="both"/>
      </w:pPr>
      <w:r w:rsidRPr="00CF0E64">
        <w:t xml:space="preserve">V odseku </w:t>
      </w:r>
      <w:r w:rsidR="00B459D3">
        <w:t>10</w:t>
      </w:r>
      <w:r w:rsidR="00B459D3" w:rsidRPr="00CF0E64">
        <w:t xml:space="preserve"> </w:t>
      </w:r>
      <w:r w:rsidRPr="00CF0E64">
        <w:t>sa upravuje povinnosť pre prevádzkovateľ</w:t>
      </w:r>
      <w:r w:rsidR="00CB495E" w:rsidRPr="00CF0E64">
        <w:t>a</w:t>
      </w:r>
      <w:r w:rsidRPr="00CF0E64">
        <w:t xml:space="preserve"> </w:t>
      </w:r>
      <w:proofErr w:type="spellStart"/>
      <w:r w:rsidRPr="00CF0E64">
        <w:t>kryptoaktív</w:t>
      </w:r>
      <w:proofErr w:type="spellEnd"/>
      <w:r w:rsidR="00A76E48">
        <w:t>, ktorý nemá pridelené daňové identifikačné číslo v Slovenskej republike,</w:t>
      </w:r>
      <w:r w:rsidRPr="00CF0E64">
        <w:t xml:space="preserve"> oznamovať skutočnosti správcovi dane, ktorým je Daňový úrad Bratislava elektronickými prostriedkami, pričom na takúto komunikáciu sa nevzťahuje spôsob doručovania písomností podľa daňového poriadku. </w:t>
      </w:r>
      <w:r w:rsidR="000F1BE5">
        <w:t xml:space="preserve">Oznamovanie skutočností sa uskutoční </w:t>
      </w:r>
      <w:r w:rsidR="000F1BE5" w:rsidRPr="000F1BE5">
        <w:t>formou registračného formulára cez Portál FS</w:t>
      </w:r>
      <w:r w:rsidR="000F1BE5">
        <w:t xml:space="preserve">. </w:t>
      </w:r>
    </w:p>
    <w:p w14:paraId="08CAB6B2" w14:textId="13EF7106" w:rsidR="00D953AA" w:rsidRPr="00CF0E64" w:rsidRDefault="00D953AA" w:rsidP="003B68A9">
      <w:pPr>
        <w:pStyle w:val="Bezriadkovania"/>
        <w:spacing w:line="252" w:lineRule="auto"/>
        <w:jc w:val="both"/>
      </w:pPr>
      <w:r w:rsidRPr="00CF0E64">
        <w:t xml:space="preserve">V odseku </w:t>
      </w:r>
      <w:r w:rsidR="00B459D3" w:rsidRPr="00CF0E64">
        <w:t>1</w:t>
      </w:r>
      <w:r w:rsidR="00B459D3">
        <w:t>1</w:t>
      </w:r>
      <w:r w:rsidR="00B459D3" w:rsidRPr="00CF0E64">
        <w:t xml:space="preserve"> </w:t>
      </w:r>
      <w:r w:rsidRPr="00CF0E64">
        <w:t xml:space="preserve">sa ustanovujú okolnosti, za ktorých správca dane, ktorým je Daňový úrad Bratislava, zruší registráciu prevádzkovateľovi </w:t>
      </w:r>
      <w:proofErr w:type="spellStart"/>
      <w:r w:rsidRPr="00CF0E64">
        <w:t>kryptoaktív</w:t>
      </w:r>
      <w:proofErr w:type="spellEnd"/>
      <w:r w:rsidRPr="00CF0E64">
        <w:t>.</w:t>
      </w:r>
      <w:r w:rsidR="003F2B06" w:rsidRPr="00CF0E64">
        <w:t xml:space="preserve"> Zrušenie registrácie je naviazané na opakované nesplnenie povinnosti oznamovania. </w:t>
      </w:r>
    </w:p>
    <w:p w14:paraId="60A3020B" w14:textId="63CFBE8E" w:rsidR="006D30F5" w:rsidRPr="00CF0E64" w:rsidRDefault="006D30F5" w:rsidP="003B68A9">
      <w:pPr>
        <w:pStyle w:val="Bezriadkovania"/>
        <w:spacing w:line="252" w:lineRule="auto"/>
        <w:jc w:val="both"/>
      </w:pPr>
      <w:r w:rsidRPr="00CF0E64">
        <w:t xml:space="preserve">V odseku </w:t>
      </w:r>
      <w:r w:rsidR="00B459D3" w:rsidRPr="00CF0E64">
        <w:t>1</w:t>
      </w:r>
      <w:r w:rsidR="00B459D3">
        <w:t>2</w:t>
      </w:r>
      <w:r w:rsidR="00B459D3" w:rsidRPr="00CF0E64">
        <w:t xml:space="preserve"> </w:t>
      </w:r>
      <w:r w:rsidRPr="00CF0E64">
        <w:t xml:space="preserve">sú upravené okolnosti, za akých správca dane povolí opätovnú registráciu. </w:t>
      </w:r>
      <w:r w:rsidR="00F91189">
        <w:t>P</w:t>
      </w:r>
      <w:r w:rsidR="00F91189" w:rsidRPr="00F91189">
        <w:t xml:space="preserve">ridelenie </w:t>
      </w:r>
      <w:r w:rsidR="00B459D3">
        <w:t>individuálneho identifikačného čísla</w:t>
      </w:r>
      <w:r w:rsidR="00F91189" w:rsidRPr="00F91189">
        <w:t xml:space="preserve"> </w:t>
      </w:r>
      <w:r w:rsidR="00F91189">
        <w:t xml:space="preserve">pri opätovnej registrácii </w:t>
      </w:r>
      <w:r w:rsidR="00F91189" w:rsidRPr="00F91189">
        <w:t>bude realizované podľa technických požiadaviek EK</w:t>
      </w:r>
      <w:r w:rsidR="00F91189">
        <w:t>.</w:t>
      </w:r>
    </w:p>
    <w:p w14:paraId="4058680B" w14:textId="5BFEAD90" w:rsidR="003F2B06" w:rsidRPr="00CF0E64" w:rsidRDefault="003F2B06" w:rsidP="003B68A9">
      <w:pPr>
        <w:pStyle w:val="Bezriadkovania"/>
        <w:spacing w:line="252" w:lineRule="auto"/>
        <w:jc w:val="both"/>
      </w:pPr>
      <w:r w:rsidRPr="00CF0E64">
        <w:t xml:space="preserve">V odseku </w:t>
      </w:r>
      <w:r w:rsidR="00B459D3" w:rsidRPr="00CF0E64">
        <w:t>1</w:t>
      </w:r>
      <w:r w:rsidR="00B459D3">
        <w:t>3</w:t>
      </w:r>
      <w:r w:rsidR="00B459D3" w:rsidRPr="00CF0E64">
        <w:t xml:space="preserve"> </w:t>
      </w:r>
      <w:r w:rsidRPr="00CF0E64">
        <w:t xml:space="preserve">sú uvedené prípady, kedy môže príslušný orgán Slovenskej republiky vymazať prevádzkovateľa </w:t>
      </w:r>
      <w:proofErr w:type="spellStart"/>
      <w:r w:rsidRPr="00CF0E64">
        <w:t>kryptoaktív</w:t>
      </w:r>
      <w:proofErr w:type="spellEnd"/>
      <w:r w:rsidRPr="00CF0E64">
        <w:t xml:space="preserve"> z registra prevádzkovateľov </w:t>
      </w:r>
      <w:proofErr w:type="spellStart"/>
      <w:r w:rsidRPr="00CF0E64">
        <w:t>kryptoaktív</w:t>
      </w:r>
      <w:proofErr w:type="spellEnd"/>
      <w:r w:rsidRPr="00CF0E64">
        <w:t xml:space="preserve"> zriadeného Európskou komisiou. Ide o prípady, keď prevádzkovateľ </w:t>
      </w:r>
      <w:proofErr w:type="spellStart"/>
      <w:r w:rsidRPr="00CF0E64">
        <w:t>kryptoaktív</w:t>
      </w:r>
      <w:proofErr w:type="spellEnd"/>
      <w:r w:rsidRPr="00CF0E64">
        <w:t xml:space="preserve"> oznámi, že už na území Slovenskej republiky nemá používateľov podliehajúcich oznamovaniu, alebo je dôvod predpokladať, že prevádzkovateľ </w:t>
      </w:r>
      <w:proofErr w:type="spellStart"/>
      <w:r w:rsidRPr="00CF0E64">
        <w:t>kryptoaktív</w:t>
      </w:r>
      <w:proofErr w:type="spellEnd"/>
      <w:r w:rsidRPr="00CF0E64">
        <w:t xml:space="preserve"> ukončil svoju činnosť, alebo prevádzkovateľ už nespĺňa podmienky uvedené v definícii prevádzkovateľa </w:t>
      </w:r>
      <w:proofErr w:type="spellStart"/>
      <w:r w:rsidRPr="00CF0E64">
        <w:t>kryptoaktív</w:t>
      </w:r>
      <w:proofErr w:type="spellEnd"/>
      <w:r w:rsidRPr="00CF0E64">
        <w:t xml:space="preserve">, alebo príslušný správca dane zrušil prevádzkovateľovi </w:t>
      </w:r>
      <w:proofErr w:type="spellStart"/>
      <w:r w:rsidRPr="00CF0E64">
        <w:t>kryptoaktív</w:t>
      </w:r>
      <w:proofErr w:type="spellEnd"/>
      <w:r w:rsidRPr="00CF0E64">
        <w:t xml:space="preserve"> registráciu. </w:t>
      </w:r>
    </w:p>
    <w:p w14:paraId="1940EE4C" w14:textId="76A63FEC" w:rsidR="00D953AA" w:rsidRPr="00CF0E64" w:rsidRDefault="00506DD8" w:rsidP="003B68A9">
      <w:pPr>
        <w:pStyle w:val="Bezriadkovania"/>
        <w:spacing w:line="252" w:lineRule="auto"/>
        <w:jc w:val="both"/>
      </w:pPr>
      <w:r w:rsidRPr="00CF0E64">
        <w:t xml:space="preserve">V odseku </w:t>
      </w:r>
      <w:r w:rsidR="00B459D3" w:rsidRPr="00CF0E64">
        <w:t>1</w:t>
      </w:r>
      <w:r w:rsidR="00B459D3">
        <w:t>4</w:t>
      </w:r>
      <w:r w:rsidR="00B459D3" w:rsidRPr="00CF0E64">
        <w:t xml:space="preserve"> </w:t>
      </w:r>
      <w:r w:rsidRPr="00CF0E64">
        <w:t xml:space="preserve">sa ukladá povinnosť príslušnému orgánu Slovenskej republiky bezodkladne informovať Európsku komisiu o prevádzkovateľovi </w:t>
      </w:r>
      <w:proofErr w:type="spellStart"/>
      <w:r w:rsidRPr="00CF0E64">
        <w:t>kryptoaktív</w:t>
      </w:r>
      <w:proofErr w:type="spellEnd"/>
      <w:r w:rsidRPr="00CF0E64">
        <w:t xml:space="preserve">, ktorý má používateľov podliehajúcich oznamovaniu, ktorí sú daňovými rezidentmi v niektorom členskom štáte, a ktorý nie je zaregistrovaný na území Slovenskej republiky. </w:t>
      </w:r>
    </w:p>
    <w:p w14:paraId="7A4237FD" w14:textId="7395203B" w:rsidR="00506DD8" w:rsidRPr="00CF0E64" w:rsidRDefault="00506DD8" w:rsidP="003B68A9">
      <w:pPr>
        <w:pStyle w:val="Bezriadkovania"/>
        <w:spacing w:line="252" w:lineRule="auto"/>
        <w:jc w:val="both"/>
      </w:pPr>
      <w:r w:rsidRPr="00CF0E64">
        <w:t xml:space="preserve">V odseku </w:t>
      </w:r>
      <w:r w:rsidR="00B459D3" w:rsidRPr="00CF0E64">
        <w:t>1</w:t>
      </w:r>
      <w:r w:rsidR="00B459D3">
        <w:t>5</w:t>
      </w:r>
      <w:r w:rsidR="00B459D3" w:rsidRPr="00CF0E64">
        <w:t xml:space="preserve"> </w:t>
      </w:r>
      <w:r w:rsidRPr="00CF0E64">
        <w:t>sa upra</w:t>
      </w:r>
      <w:r w:rsidR="00704480" w:rsidRPr="00CF0E64">
        <w:t xml:space="preserve">vuje užšia spolupráca vo forme spoločnej koordinácie príslušných orgánov členských štátov v prípade nesplnenia registračnej povinnosti prevádzkovateľom </w:t>
      </w:r>
      <w:proofErr w:type="spellStart"/>
      <w:r w:rsidR="00704480" w:rsidRPr="00CF0E64">
        <w:t>kryptoaktív</w:t>
      </w:r>
      <w:proofErr w:type="spellEnd"/>
      <w:r w:rsidR="00704480" w:rsidRPr="00CF0E64">
        <w:t xml:space="preserve"> na území Európskej únie. Spoločná koordinácia je nevyhnutná pre zabezpečenie riadneho plnenia registračných a oznamovacích povinností v oblasti automatickej výmeny informácií o </w:t>
      </w:r>
      <w:proofErr w:type="spellStart"/>
      <w:r w:rsidR="00704480" w:rsidRPr="00CF0E64">
        <w:t>kryptoaktívach</w:t>
      </w:r>
      <w:proofErr w:type="spellEnd"/>
      <w:r w:rsidR="00704480" w:rsidRPr="00CF0E64">
        <w:t xml:space="preserve">. </w:t>
      </w:r>
    </w:p>
    <w:p w14:paraId="2ABA44CE" w14:textId="77777777" w:rsidR="00704480" w:rsidRPr="00CF0E64" w:rsidRDefault="00704480" w:rsidP="003B68A9">
      <w:pPr>
        <w:pStyle w:val="Bezriadkovania"/>
        <w:spacing w:line="252" w:lineRule="auto"/>
        <w:jc w:val="both"/>
      </w:pPr>
    </w:p>
    <w:p w14:paraId="2BAD6367" w14:textId="46EE4DE1" w:rsidR="00993226" w:rsidRPr="00CF0E64" w:rsidRDefault="00704480" w:rsidP="003B68A9">
      <w:pPr>
        <w:spacing w:after="0" w:line="252" w:lineRule="auto"/>
        <w:jc w:val="both"/>
        <w:rPr>
          <w:rFonts w:ascii="Times New Roman" w:hAnsi="Times New Roman" w:cs="Times New Roman"/>
          <w:b/>
          <w:sz w:val="24"/>
          <w:szCs w:val="24"/>
        </w:rPr>
      </w:pPr>
      <w:r w:rsidRPr="00CF0E64">
        <w:rPr>
          <w:rFonts w:ascii="Times New Roman" w:hAnsi="Times New Roman" w:cs="Times New Roman"/>
          <w:b/>
          <w:sz w:val="24"/>
          <w:szCs w:val="24"/>
        </w:rPr>
        <w:t>§ 15j</w:t>
      </w:r>
    </w:p>
    <w:p w14:paraId="43EE0B49" w14:textId="16C56CB3" w:rsidR="00704480" w:rsidRPr="00CF0E64" w:rsidRDefault="00704480" w:rsidP="003B68A9">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súlade so smernicou (EÚ) 2023/2226 sa umožňuje Ministerstvu financií Slovenskej republiky požiadať Európsku komisiu o posúdenie, či informácie, ktoré sa automaticky vymieňajú podľa dohody medzi príslušným orgánom Slovenskej republiky a zmluvným štátom sú </w:t>
      </w:r>
      <w:r w:rsidR="00C74C21" w:rsidRPr="00CF0E64">
        <w:rPr>
          <w:rFonts w:ascii="Times New Roman" w:hAnsi="Times New Roman" w:cs="Times New Roman"/>
          <w:sz w:val="24"/>
          <w:szCs w:val="24"/>
        </w:rPr>
        <w:t>rovnocenné</w:t>
      </w:r>
      <w:r w:rsidRPr="00CF0E64">
        <w:rPr>
          <w:rFonts w:ascii="Times New Roman" w:hAnsi="Times New Roman" w:cs="Times New Roman"/>
          <w:sz w:val="24"/>
          <w:szCs w:val="24"/>
        </w:rPr>
        <w:t xml:space="preserve"> k</w:t>
      </w:r>
      <w:r w:rsidR="00C74C21" w:rsidRPr="00CF0E64">
        <w:rPr>
          <w:rFonts w:ascii="Times New Roman" w:hAnsi="Times New Roman" w:cs="Times New Roman"/>
          <w:sz w:val="24"/>
          <w:szCs w:val="24"/>
        </w:rPr>
        <w:t> </w:t>
      </w:r>
      <w:r w:rsidRPr="00CF0E64">
        <w:rPr>
          <w:rFonts w:ascii="Times New Roman" w:hAnsi="Times New Roman" w:cs="Times New Roman"/>
          <w:sz w:val="24"/>
          <w:szCs w:val="24"/>
        </w:rPr>
        <w:t>informáciám</w:t>
      </w:r>
      <w:r w:rsidR="00C74C21" w:rsidRPr="00CF0E64">
        <w:rPr>
          <w:rFonts w:ascii="Times New Roman" w:hAnsi="Times New Roman" w:cs="Times New Roman"/>
          <w:sz w:val="24"/>
          <w:szCs w:val="24"/>
        </w:rPr>
        <w:t xml:space="preserve"> (resp. či zodpovedajú informáciám)</w:t>
      </w:r>
      <w:r w:rsidRPr="00CF0E64">
        <w:rPr>
          <w:rFonts w:ascii="Times New Roman" w:hAnsi="Times New Roman" w:cs="Times New Roman"/>
          <w:sz w:val="24"/>
          <w:szCs w:val="24"/>
        </w:rPr>
        <w:t xml:space="preserve">, ktoré sa oznamujú podľa § 15h ods. 9. </w:t>
      </w:r>
      <w:r w:rsidR="00247C05" w:rsidRPr="00CF0E64">
        <w:rPr>
          <w:rFonts w:ascii="Times New Roman" w:hAnsi="Times New Roman" w:cs="Times New Roman"/>
          <w:sz w:val="24"/>
          <w:szCs w:val="24"/>
        </w:rPr>
        <w:t>Nadväzne na uznanie globálneho rámca CARF ako minimálneho štandardu sa informácie vymieňané na základe mnohostrannej dohody príslušných orgánov považujú za zodpovedajúce výmene informácií podľa smernice 2023/2226 a nie je potrebné v tomto prípade žiadať Európsku komisiu o posúdenie rovnocennosti informácií. V odseku 2 sa ustanovuje povinnosť pre</w:t>
      </w:r>
      <w:r w:rsidRPr="00CF0E64">
        <w:rPr>
          <w:rFonts w:ascii="Times New Roman" w:hAnsi="Times New Roman" w:cs="Times New Roman"/>
          <w:sz w:val="24"/>
          <w:szCs w:val="24"/>
        </w:rPr>
        <w:t xml:space="preserve"> </w:t>
      </w:r>
      <w:r w:rsidR="000C61EF" w:rsidRPr="00CF0E64">
        <w:rPr>
          <w:rFonts w:ascii="Times New Roman" w:hAnsi="Times New Roman" w:cs="Times New Roman"/>
          <w:sz w:val="24"/>
          <w:szCs w:val="24"/>
        </w:rPr>
        <w:t>m</w:t>
      </w:r>
      <w:r w:rsidRPr="00CF0E64">
        <w:rPr>
          <w:rFonts w:ascii="Times New Roman" w:hAnsi="Times New Roman" w:cs="Times New Roman"/>
          <w:sz w:val="24"/>
          <w:szCs w:val="24"/>
        </w:rPr>
        <w:t xml:space="preserve">inisterstvo financií poskytnúť Európskej komisii nevyhnutnú súčinnosť pri takomto posúdení. </w:t>
      </w:r>
    </w:p>
    <w:p w14:paraId="5118A1BC" w14:textId="17312FCC" w:rsidR="00D953AA" w:rsidRPr="00CF0E64" w:rsidRDefault="00D953AA" w:rsidP="003B68A9">
      <w:pPr>
        <w:spacing w:after="0" w:line="252" w:lineRule="auto"/>
        <w:jc w:val="both"/>
        <w:rPr>
          <w:rFonts w:ascii="Times New Roman" w:hAnsi="Times New Roman" w:cs="Times New Roman"/>
          <w:sz w:val="24"/>
          <w:szCs w:val="24"/>
        </w:rPr>
      </w:pPr>
    </w:p>
    <w:p w14:paraId="20A50EA9" w14:textId="2EE7C1FB" w:rsidR="000B6E2A" w:rsidRPr="00CF0E64" w:rsidRDefault="000B6E2A"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2</w:t>
      </w:r>
      <w:r w:rsidR="00247C05" w:rsidRPr="00CF0E64">
        <w:rPr>
          <w:rFonts w:ascii="Times New Roman" w:eastAsia="Arial Unicode MS" w:hAnsi="Times New Roman" w:cs="Times New Roman"/>
          <w:b/>
          <w:kern w:val="1"/>
          <w:sz w:val="24"/>
          <w:szCs w:val="24"/>
          <w:u w:val="single"/>
          <w:lang w:eastAsia="ar-SA"/>
        </w:rPr>
        <w:t>7</w:t>
      </w:r>
      <w:r w:rsidRPr="00CF0E64">
        <w:rPr>
          <w:rFonts w:ascii="Times New Roman" w:eastAsia="Arial Unicode MS" w:hAnsi="Times New Roman" w:cs="Times New Roman"/>
          <w:b/>
          <w:kern w:val="1"/>
          <w:sz w:val="24"/>
          <w:szCs w:val="24"/>
          <w:u w:val="single"/>
          <w:lang w:eastAsia="ar-SA"/>
        </w:rPr>
        <w:t xml:space="preserve"> - § 16</w:t>
      </w:r>
    </w:p>
    <w:p w14:paraId="7FBB0F42" w14:textId="45A92359" w:rsidR="000B6E2A" w:rsidRPr="00CF0E64" w:rsidRDefault="000B6E2A"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Nadväzne na rozšírenie predmetu zákona sa upravuje, že aj pri automatickej výmene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sa primerane postupuje podľa zákona č. 563/2009 Z. z. o správe daní (daňový </w:t>
      </w:r>
      <w:r w:rsidRPr="00CF0E64">
        <w:rPr>
          <w:rFonts w:ascii="Times New Roman" w:eastAsia="Arial Unicode MS" w:hAnsi="Times New Roman" w:cs="Times New Roman"/>
          <w:kern w:val="1"/>
          <w:sz w:val="24"/>
          <w:szCs w:val="24"/>
          <w:lang w:eastAsia="ar-SA"/>
        </w:rPr>
        <w:lastRenderedPageBreak/>
        <w:t xml:space="preserve">poriadok) </w:t>
      </w:r>
      <w:r w:rsidR="002118F4" w:rsidRPr="00CF0E64">
        <w:rPr>
          <w:rFonts w:ascii="Times New Roman" w:eastAsia="Arial Unicode MS" w:hAnsi="Times New Roman" w:cs="Times New Roman"/>
          <w:kern w:val="1"/>
          <w:sz w:val="24"/>
          <w:szCs w:val="24"/>
          <w:lang w:eastAsia="ar-SA"/>
        </w:rPr>
        <w:t xml:space="preserve">(ďalej len „daňový poriadok“) </w:t>
      </w:r>
      <w:r w:rsidRPr="00CF0E64">
        <w:rPr>
          <w:rFonts w:ascii="Times New Roman" w:eastAsia="Arial Unicode MS" w:hAnsi="Times New Roman" w:cs="Times New Roman"/>
          <w:kern w:val="1"/>
          <w:sz w:val="24"/>
          <w:szCs w:val="24"/>
          <w:lang w:eastAsia="ar-SA"/>
        </w:rPr>
        <w:t>a o zmene a doplnení niektorých zákonov a zákona č. 442/2012 Z. z. o medzinárodnej pomoci a spolupráci pri správe daní</w:t>
      </w:r>
      <w:r w:rsidR="004763FB">
        <w:rPr>
          <w:rFonts w:ascii="Times New Roman" w:eastAsia="Arial Unicode MS" w:hAnsi="Times New Roman" w:cs="Times New Roman"/>
          <w:kern w:val="1"/>
          <w:sz w:val="24"/>
          <w:szCs w:val="24"/>
          <w:lang w:eastAsia="ar-SA"/>
        </w:rPr>
        <w:t xml:space="preserve"> (ďalej len „zákon č. 442/2012 Z. z.“)</w:t>
      </w:r>
      <w:r w:rsidRPr="00CF0E64">
        <w:rPr>
          <w:rFonts w:ascii="Times New Roman" w:eastAsia="Arial Unicode MS" w:hAnsi="Times New Roman" w:cs="Times New Roman"/>
          <w:kern w:val="1"/>
          <w:sz w:val="24"/>
          <w:szCs w:val="24"/>
          <w:lang w:eastAsia="ar-SA"/>
        </w:rPr>
        <w:t xml:space="preserve">. </w:t>
      </w:r>
    </w:p>
    <w:p w14:paraId="5514B936" w14:textId="77777777" w:rsidR="008C1A6E" w:rsidRPr="00CF0E64" w:rsidRDefault="008C1A6E" w:rsidP="003B68A9">
      <w:pPr>
        <w:spacing w:after="0" w:line="252" w:lineRule="auto"/>
        <w:jc w:val="both"/>
        <w:rPr>
          <w:rFonts w:ascii="Times New Roman" w:eastAsia="Arial Unicode MS" w:hAnsi="Times New Roman" w:cs="Times New Roman"/>
          <w:kern w:val="1"/>
          <w:sz w:val="24"/>
          <w:szCs w:val="24"/>
          <w:lang w:eastAsia="ar-SA"/>
        </w:rPr>
      </w:pPr>
    </w:p>
    <w:p w14:paraId="69624938" w14:textId="0C098172" w:rsidR="000B6E2A" w:rsidRPr="00CF0E64" w:rsidRDefault="00B21A02"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2</w:t>
      </w:r>
      <w:r w:rsidR="00247C05" w:rsidRPr="00CF0E64">
        <w:rPr>
          <w:rFonts w:ascii="Times New Roman" w:eastAsia="Arial Unicode MS" w:hAnsi="Times New Roman" w:cs="Times New Roman"/>
          <w:b/>
          <w:kern w:val="1"/>
          <w:sz w:val="24"/>
          <w:szCs w:val="24"/>
          <w:u w:val="single"/>
          <w:lang w:eastAsia="ar-SA"/>
        </w:rPr>
        <w:t>8</w:t>
      </w:r>
      <w:r w:rsidRPr="00CF0E64">
        <w:rPr>
          <w:rFonts w:ascii="Times New Roman" w:eastAsia="Arial Unicode MS" w:hAnsi="Times New Roman" w:cs="Times New Roman"/>
          <w:b/>
          <w:kern w:val="1"/>
          <w:sz w:val="24"/>
          <w:szCs w:val="24"/>
          <w:u w:val="single"/>
          <w:lang w:eastAsia="ar-SA"/>
        </w:rPr>
        <w:t xml:space="preserve"> - § 17</w:t>
      </w:r>
    </w:p>
    <w:p w14:paraId="62B8B141" w14:textId="17123E96" w:rsidR="00B21A02" w:rsidRPr="00CF0E64" w:rsidRDefault="00B21A02"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Ustanovuje sa povinnosť pre používateľa podliehajúceho oznamovaniu poskytnúť nevyhnutnú súčinnosť oznamujúcemu poskytovateľovi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na účely plnenia povinností podľa tohto zákona. Ide predovšetkým o poskytnutie čestného vyhlásenia a súčinnosť pri aktualizácii poskytnutých informácií pre účely automatickej výmeny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w:t>
      </w:r>
    </w:p>
    <w:p w14:paraId="31F7BE89" w14:textId="77777777" w:rsidR="008C1A6E" w:rsidRPr="00CF0E64" w:rsidRDefault="008C1A6E" w:rsidP="003B68A9">
      <w:pPr>
        <w:spacing w:after="0" w:line="252" w:lineRule="auto"/>
        <w:jc w:val="both"/>
        <w:rPr>
          <w:rFonts w:ascii="Times New Roman" w:eastAsia="Arial Unicode MS" w:hAnsi="Times New Roman" w:cs="Times New Roman"/>
          <w:kern w:val="1"/>
          <w:sz w:val="24"/>
          <w:szCs w:val="24"/>
          <w:lang w:eastAsia="ar-SA"/>
        </w:rPr>
      </w:pPr>
    </w:p>
    <w:p w14:paraId="6E23545F" w14:textId="15E59EB4" w:rsidR="00B21A02" w:rsidRPr="00CF0E64" w:rsidRDefault="00B21A02"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 xml:space="preserve">K bodu </w:t>
      </w:r>
      <w:r w:rsidR="00247C05" w:rsidRPr="00CF0E64">
        <w:rPr>
          <w:rFonts w:ascii="Times New Roman" w:eastAsia="Arial Unicode MS" w:hAnsi="Times New Roman" w:cs="Times New Roman"/>
          <w:b/>
          <w:kern w:val="1"/>
          <w:sz w:val="24"/>
          <w:szCs w:val="24"/>
          <w:u w:val="single"/>
          <w:lang w:eastAsia="ar-SA"/>
        </w:rPr>
        <w:t xml:space="preserve">29 </w:t>
      </w:r>
      <w:r w:rsidRPr="00CF0E64">
        <w:rPr>
          <w:rFonts w:ascii="Times New Roman" w:eastAsia="Arial Unicode MS" w:hAnsi="Times New Roman" w:cs="Times New Roman"/>
          <w:b/>
          <w:kern w:val="1"/>
          <w:sz w:val="24"/>
          <w:szCs w:val="24"/>
          <w:u w:val="single"/>
          <w:lang w:eastAsia="ar-SA"/>
        </w:rPr>
        <w:t>- § 18</w:t>
      </w:r>
      <w:r w:rsidR="00F800C7" w:rsidRPr="00CF0E64">
        <w:rPr>
          <w:rFonts w:ascii="Times New Roman" w:eastAsia="Arial Unicode MS" w:hAnsi="Times New Roman" w:cs="Times New Roman"/>
          <w:b/>
          <w:kern w:val="1"/>
          <w:sz w:val="24"/>
          <w:szCs w:val="24"/>
          <w:u w:val="single"/>
          <w:lang w:eastAsia="ar-SA"/>
        </w:rPr>
        <w:t xml:space="preserve"> ods. 1</w:t>
      </w:r>
    </w:p>
    <w:p w14:paraId="61C9D47F" w14:textId="08555089" w:rsidR="00B21A02" w:rsidRPr="00CF0E64" w:rsidRDefault="00B21A02"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Doručovanie oznámenia príslušnému orgánu Slovenskej republiky elektronickými prostriedkami sa vzťahuje aj na automatickú výmenu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w:t>
      </w:r>
    </w:p>
    <w:p w14:paraId="4BFF452D" w14:textId="55E72277" w:rsidR="008C1A6E" w:rsidRPr="00CF0E64" w:rsidRDefault="008C1A6E" w:rsidP="003B68A9">
      <w:pPr>
        <w:spacing w:after="0" w:line="252" w:lineRule="auto"/>
        <w:jc w:val="both"/>
        <w:rPr>
          <w:rFonts w:ascii="Times New Roman" w:eastAsia="Arial Unicode MS" w:hAnsi="Times New Roman" w:cs="Times New Roman"/>
          <w:kern w:val="1"/>
          <w:sz w:val="24"/>
          <w:szCs w:val="24"/>
          <w:lang w:eastAsia="ar-SA"/>
        </w:rPr>
      </w:pPr>
    </w:p>
    <w:p w14:paraId="1F222445" w14:textId="5073A4F1" w:rsidR="00F800C7" w:rsidRPr="00CF0E64" w:rsidRDefault="00F800C7"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30 - § 18 ods. 2</w:t>
      </w:r>
    </w:p>
    <w:p w14:paraId="7F8B907B" w14:textId="5A46C6DC" w:rsidR="00F800C7" w:rsidRPr="00CF0E64" w:rsidRDefault="00F800C7"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Legislatívno-technická úprava, zavedenie legislatívnej skratky.</w:t>
      </w:r>
    </w:p>
    <w:p w14:paraId="6847D005" w14:textId="77777777" w:rsidR="00F800C7" w:rsidRPr="00CF0E64" w:rsidRDefault="00F800C7" w:rsidP="003B68A9">
      <w:pPr>
        <w:spacing w:after="0" w:line="252" w:lineRule="auto"/>
        <w:jc w:val="both"/>
        <w:rPr>
          <w:rFonts w:ascii="Times New Roman" w:eastAsia="Arial Unicode MS" w:hAnsi="Times New Roman" w:cs="Times New Roman"/>
          <w:kern w:val="1"/>
          <w:sz w:val="24"/>
          <w:szCs w:val="24"/>
          <w:lang w:eastAsia="ar-SA"/>
        </w:rPr>
      </w:pPr>
    </w:p>
    <w:p w14:paraId="24E0D5A4" w14:textId="09F195C4" w:rsidR="00B21A02" w:rsidRPr="00CF0E64" w:rsidRDefault="005E60DD"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 xml:space="preserve">K bodu </w:t>
      </w:r>
      <w:r w:rsidR="00F800C7" w:rsidRPr="00CF0E64">
        <w:rPr>
          <w:rFonts w:ascii="Times New Roman" w:eastAsia="Arial Unicode MS" w:hAnsi="Times New Roman" w:cs="Times New Roman"/>
          <w:b/>
          <w:kern w:val="1"/>
          <w:sz w:val="24"/>
          <w:szCs w:val="24"/>
          <w:u w:val="single"/>
          <w:lang w:eastAsia="ar-SA"/>
        </w:rPr>
        <w:t xml:space="preserve">31 </w:t>
      </w:r>
      <w:r w:rsidRPr="00CF0E64">
        <w:rPr>
          <w:rFonts w:ascii="Times New Roman" w:eastAsia="Arial Unicode MS" w:hAnsi="Times New Roman" w:cs="Times New Roman"/>
          <w:b/>
          <w:kern w:val="1"/>
          <w:sz w:val="24"/>
          <w:szCs w:val="24"/>
          <w:u w:val="single"/>
          <w:lang w:eastAsia="ar-SA"/>
        </w:rPr>
        <w:t>- § 19 ods. 1</w:t>
      </w:r>
    </w:p>
    <w:p w14:paraId="1F0AEB90" w14:textId="1B0DAC09" w:rsidR="005E60DD" w:rsidRPr="00CF0E64" w:rsidRDefault="003B4661"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V súlade so smernicou (EÚ) 2023/2226 sa d</w:t>
      </w:r>
      <w:r w:rsidR="00B976D4" w:rsidRPr="00CF0E64">
        <w:rPr>
          <w:rFonts w:ascii="Times New Roman" w:eastAsia="Arial Unicode MS" w:hAnsi="Times New Roman" w:cs="Times New Roman"/>
          <w:kern w:val="1"/>
          <w:sz w:val="24"/>
          <w:szCs w:val="24"/>
          <w:lang w:eastAsia="ar-SA"/>
        </w:rPr>
        <w:t xml:space="preserve">o ustanovenia dopĺňa, že aj oznamujúci poskytovateľ služieb </w:t>
      </w:r>
      <w:proofErr w:type="spellStart"/>
      <w:r w:rsidR="00B976D4" w:rsidRPr="00CF0E64">
        <w:rPr>
          <w:rFonts w:ascii="Times New Roman" w:eastAsia="Arial Unicode MS" w:hAnsi="Times New Roman" w:cs="Times New Roman"/>
          <w:kern w:val="1"/>
          <w:sz w:val="24"/>
          <w:szCs w:val="24"/>
          <w:lang w:eastAsia="ar-SA"/>
        </w:rPr>
        <w:t>kryptoaktív</w:t>
      </w:r>
      <w:proofErr w:type="spellEnd"/>
      <w:r w:rsidR="00B976D4" w:rsidRPr="00CF0E64">
        <w:rPr>
          <w:rFonts w:ascii="Times New Roman" w:eastAsia="Arial Unicode MS" w:hAnsi="Times New Roman" w:cs="Times New Roman"/>
          <w:kern w:val="1"/>
          <w:sz w:val="24"/>
          <w:szCs w:val="24"/>
          <w:lang w:eastAsia="ar-SA"/>
        </w:rPr>
        <w:t xml:space="preserve"> sa považuje za prevádzkovateľa pre účely ochrany osobných údajov v zmysle Nariadeni</w:t>
      </w:r>
      <w:r w:rsidR="000C61EF" w:rsidRPr="00CF0E64">
        <w:rPr>
          <w:rFonts w:ascii="Times New Roman" w:eastAsia="Arial Unicode MS" w:hAnsi="Times New Roman" w:cs="Times New Roman"/>
          <w:kern w:val="1"/>
          <w:sz w:val="24"/>
          <w:szCs w:val="24"/>
          <w:lang w:eastAsia="ar-SA"/>
        </w:rPr>
        <w:t>a</w:t>
      </w:r>
      <w:r w:rsidR="00B976D4" w:rsidRPr="00CF0E64">
        <w:rPr>
          <w:rFonts w:ascii="Times New Roman" w:eastAsia="Arial Unicode MS" w:hAnsi="Times New Roman" w:cs="Times New Roman"/>
          <w:kern w:val="1"/>
          <w:sz w:val="24"/>
          <w:szCs w:val="24"/>
          <w:lang w:eastAsia="ar-SA"/>
        </w:rPr>
        <w:t xml:space="preserve"> Európskeho parlamentu a Rady (EÚ) 2016/679 z 27. apríla 2016 o ochrane fyzických osôb pri spracúvaní osobných údajov a o voľnom pohybe takýchto údajov, ktorým sa zrušuje smernica 95/46/ES (všeobecné nariadenie o ochrane údajov) (Ú. v. EÚ L 119, 4. 5. 2016)</w:t>
      </w:r>
      <w:r w:rsidR="001D3FDA" w:rsidRPr="00CF0E64">
        <w:rPr>
          <w:rFonts w:ascii="Times New Roman" w:eastAsia="Arial Unicode MS" w:hAnsi="Times New Roman" w:cs="Times New Roman"/>
          <w:kern w:val="1"/>
          <w:sz w:val="24"/>
          <w:szCs w:val="24"/>
          <w:lang w:eastAsia="ar-SA"/>
        </w:rPr>
        <w:t xml:space="preserve"> (ďalej len „nariadenie (EÚ) 2016/679“)</w:t>
      </w:r>
      <w:r w:rsidR="00B976D4" w:rsidRPr="00CF0E64">
        <w:rPr>
          <w:rFonts w:ascii="Times New Roman" w:eastAsia="Arial Unicode MS" w:hAnsi="Times New Roman" w:cs="Times New Roman"/>
          <w:kern w:val="1"/>
          <w:sz w:val="24"/>
          <w:szCs w:val="24"/>
          <w:lang w:eastAsia="ar-SA"/>
        </w:rPr>
        <w:t xml:space="preserve">. </w:t>
      </w:r>
    </w:p>
    <w:p w14:paraId="768DA331" w14:textId="6D559CAB" w:rsidR="008C1A6E" w:rsidRDefault="008C1A6E" w:rsidP="003B68A9">
      <w:pPr>
        <w:spacing w:after="0" w:line="252" w:lineRule="auto"/>
        <w:jc w:val="both"/>
        <w:rPr>
          <w:rFonts w:ascii="Times New Roman" w:eastAsia="Arial Unicode MS" w:hAnsi="Times New Roman" w:cs="Times New Roman"/>
          <w:kern w:val="1"/>
          <w:sz w:val="24"/>
          <w:szCs w:val="24"/>
          <w:lang w:eastAsia="ar-SA"/>
        </w:rPr>
      </w:pPr>
    </w:p>
    <w:p w14:paraId="1FC228C2" w14:textId="5803C5A9" w:rsidR="00B976D4" w:rsidRPr="00CF0E64" w:rsidRDefault="00B976D4"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32 - § 19 ods. 2</w:t>
      </w:r>
    </w:p>
    <w:p w14:paraId="494E7BB7" w14:textId="32BA8B68" w:rsidR="00B976D4" w:rsidRPr="00CF0E64" w:rsidRDefault="00B976D4"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Do účelu spracovania informácií sa dopĺňa aj účel poskytnutia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členskému štátu EÚ daňovej rezidencie používateľa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a zmluvnému štátu daňovej rezidencie používateľa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nadväzne na rozšírenie predmetu zákona o automatickú výmenu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w:t>
      </w:r>
    </w:p>
    <w:p w14:paraId="3982F152" w14:textId="77777777" w:rsidR="008C1A6E" w:rsidRPr="00CF0E64" w:rsidRDefault="008C1A6E" w:rsidP="003B68A9">
      <w:pPr>
        <w:spacing w:after="0" w:line="252" w:lineRule="auto"/>
        <w:jc w:val="both"/>
        <w:rPr>
          <w:rFonts w:ascii="Times New Roman" w:eastAsia="Arial Unicode MS" w:hAnsi="Times New Roman" w:cs="Times New Roman"/>
          <w:kern w:val="1"/>
          <w:sz w:val="24"/>
          <w:szCs w:val="24"/>
          <w:lang w:eastAsia="ar-SA"/>
        </w:rPr>
      </w:pPr>
    </w:p>
    <w:p w14:paraId="4EAFC9F1" w14:textId="140B36AE" w:rsidR="00B976D4" w:rsidRPr="00CF0E64" w:rsidRDefault="00B976D4"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 xml:space="preserve">K bodu 33 - § 19 ods. </w:t>
      </w:r>
      <w:r w:rsidR="00F800C7" w:rsidRPr="00CF0E64">
        <w:rPr>
          <w:rFonts w:ascii="Times New Roman" w:eastAsia="Arial Unicode MS" w:hAnsi="Times New Roman" w:cs="Times New Roman"/>
          <w:b/>
          <w:kern w:val="1"/>
          <w:sz w:val="24"/>
          <w:szCs w:val="24"/>
          <w:u w:val="single"/>
          <w:lang w:eastAsia="ar-SA"/>
        </w:rPr>
        <w:t>3</w:t>
      </w:r>
    </w:p>
    <w:p w14:paraId="5DF5321B" w14:textId="6F7096C6" w:rsidR="003B4661" w:rsidRPr="00CF0E64" w:rsidRDefault="003B4661"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Do rozsahu spracúvaných osobných údajov sa dopĺňa aj § 15g, ktorý upravuje rozsah pre oblasť automatickej výmeny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w:t>
      </w:r>
    </w:p>
    <w:p w14:paraId="4D552EC7" w14:textId="77777777" w:rsidR="008C1A6E" w:rsidRPr="00CF0E64" w:rsidRDefault="008C1A6E" w:rsidP="003B68A9">
      <w:pPr>
        <w:spacing w:after="0" w:line="252" w:lineRule="auto"/>
        <w:jc w:val="both"/>
        <w:rPr>
          <w:rFonts w:ascii="Times New Roman" w:eastAsia="Arial Unicode MS" w:hAnsi="Times New Roman" w:cs="Times New Roman"/>
          <w:kern w:val="1"/>
          <w:sz w:val="24"/>
          <w:szCs w:val="24"/>
          <w:lang w:eastAsia="ar-SA"/>
        </w:rPr>
      </w:pPr>
    </w:p>
    <w:p w14:paraId="0EBFA80E" w14:textId="07ED9907" w:rsidR="003B4661" w:rsidRPr="00CF0E64" w:rsidRDefault="003B4661"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34 - § 19 ods. 4 a 5</w:t>
      </w:r>
    </w:p>
    <w:p w14:paraId="2A81CB02" w14:textId="00CD4EBA" w:rsidR="003B4661" w:rsidRPr="00CF0E64" w:rsidRDefault="00794EA2"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V súlade so smernicou (EÚ) 2023/2226 sa v</w:t>
      </w:r>
      <w:r w:rsidR="003B4661" w:rsidRPr="00CF0E64">
        <w:rPr>
          <w:rFonts w:ascii="Times New Roman" w:eastAsia="Arial Unicode MS" w:hAnsi="Times New Roman" w:cs="Times New Roman"/>
          <w:kern w:val="1"/>
          <w:sz w:val="24"/>
          <w:szCs w:val="24"/>
          <w:lang w:eastAsia="ar-SA"/>
        </w:rPr>
        <w:t xml:space="preserve"> odseku 4 stanovuje minimálna a maximálna lehota, počas ktorej oznamujúci poskytovateľ služieb </w:t>
      </w:r>
      <w:proofErr w:type="spellStart"/>
      <w:r w:rsidR="003B4661" w:rsidRPr="00CF0E64">
        <w:rPr>
          <w:rFonts w:ascii="Times New Roman" w:eastAsia="Arial Unicode MS" w:hAnsi="Times New Roman" w:cs="Times New Roman"/>
          <w:kern w:val="1"/>
          <w:sz w:val="24"/>
          <w:szCs w:val="24"/>
          <w:lang w:eastAsia="ar-SA"/>
        </w:rPr>
        <w:t>kryptoaktív</w:t>
      </w:r>
      <w:proofErr w:type="spellEnd"/>
      <w:r w:rsidR="003B4661" w:rsidRPr="00CF0E64">
        <w:rPr>
          <w:rFonts w:ascii="Times New Roman" w:eastAsia="Arial Unicode MS" w:hAnsi="Times New Roman" w:cs="Times New Roman"/>
          <w:kern w:val="1"/>
          <w:sz w:val="24"/>
          <w:szCs w:val="24"/>
          <w:lang w:eastAsia="ar-SA"/>
        </w:rPr>
        <w:t xml:space="preserve"> spracúva informácie pre účely automatickej výmeny informácií o </w:t>
      </w:r>
      <w:proofErr w:type="spellStart"/>
      <w:r w:rsidR="003B4661" w:rsidRPr="00CF0E64">
        <w:rPr>
          <w:rFonts w:ascii="Times New Roman" w:eastAsia="Arial Unicode MS" w:hAnsi="Times New Roman" w:cs="Times New Roman"/>
          <w:kern w:val="1"/>
          <w:sz w:val="24"/>
          <w:szCs w:val="24"/>
          <w:lang w:eastAsia="ar-SA"/>
        </w:rPr>
        <w:t>kryptoaktívach</w:t>
      </w:r>
      <w:proofErr w:type="spellEnd"/>
      <w:r w:rsidR="003B4661" w:rsidRPr="00CF0E64">
        <w:rPr>
          <w:rFonts w:ascii="Times New Roman" w:eastAsia="Arial Unicode MS" w:hAnsi="Times New Roman" w:cs="Times New Roman"/>
          <w:kern w:val="1"/>
          <w:sz w:val="24"/>
          <w:szCs w:val="24"/>
          <w:lang w:eastAsia="ar-SA"/>
        </w:rPr>
        <w:t xml:space="preserve">. </w:t>
      </w:r>
      <w:r w:rsidR="001D3FDA" w:rsidRPr="00CF0E64">
        <w:rPr>
          <w:rFonts w:ascii="Times New Roman" w:eastAsia="Arial Unicode MS" w:hAnsi="Times New Roman" w:cs="Times New Roman"/>
          <w:kern w:val="1"/>
          <w:sz w:val="24"/>
          <w:szCs w:val="24"/>
          <w:lang w:eastAsia="ar-SA"/>
        </w:rPr>
        <w:t xml:space="preserve">Záznamy u oznamujúceho poskytovateľa služieb </w:t>
      </w:r>
      <w:proofErr w:type="spellStart"/>
      <w:r w:rsidR="001D3FDA" w:rsidRPr="00CF0E64">
        <w:rPr>
          <w:rFonts w:ascii="Times New Roman" w:eastAsia="Arial Unicode MS" w:hAnsi="Times New Roman" w:cs="Times New Roman"/>
          <w:kern w:val="1"/>
          <w:sz w:val="24"/>
          <w:szCs w:val="24"/>
          <w:lang w:eastAsia="ar-SA"/>
        </w:rPr>
        <w:t>kryptoaktív</w:t>
      </w:r>
      <w:proofErr w:type="spellEnd"/>
      <w:r w:rsidR="001D3FDA" w:rsidRPr="00CF0E64">
        <w:rPr>
          <w:rFonts w:ascii="Times New Roman" w:eastAsia="Arial Unicode MS" w:hAnsi="Times New Roman" w:cs="Times New Roman"/>
          <w:kern w:val="1"/>
          <w:sz w:val="24"/>
          <w:szCs w:val="24"/>
          <w:lang w:eastAsia="ar-SA"/>
        </w:rPr>
        <w:t xml:space="preserve"> majú byť k dispozícii dostatočne dlhý čas, v každom prípade najmenej 5 rokov, ale nie dlhšie ako 10 rokov po skončení obdobia, v rámci ktorého sa od neho vyžaduje, aby informácie oznamoval. </w:t>
      </w:r>
    </w:p>
    <w:p w14:paraId="2F0043BE" w14:textId="57F06414" w:rsidR="00DC72B2" w:rsidRPr="00CF0E64" w:rsidRDefault="001D3FDA" w:rsidP="003B68A9">
      <w:pPr>
        <w:spacing w:after="0" w:line="252" w:lineRule="auto"/>
        <w:jc w:val="both"/>
        <w:rPr>
          <w:rFonts w:ascii="Times New Roman" w:eastAsia="ArialNarrow" w:hAnsi="Times New Roman" w:cs="ArialNarrow"/>
          <w:kern w:val="1"/>
          <w:sz w:val="24"/>
          <w:szCs w:val="24"/>
          <w:lang w:eastAsia="ar-SA"/>
        </w:rPr>
      </w:pPr>
      <w:r w:rsidRPr="00CF0E64">
        <w:rPr>
          <w:rFonts w:ascii="Times New Roman" w:eastAsia="Arial Unicode MS" w:hAnsi="Times New Roman" w:cs="Times New Roman"/>
          <w:kern w:val="1"/>
          <w:sz w:val="24"/>
          <w:szCs w:val="24"/>
          <w:lang w:eastAsia="ar-SA"/>
        </w:rPr>
        <w:t xml:space="preserve">V odseku 5 sa v zmysle smernice (EÚ) 2023/2226 upravuje povinnosť pre oznamujúcu finančnú inštitúciu, slovenskú oznamujúcu inštitúciu a oznamujúceho poskytovateľa služieb </w:t>
      </w:r>
      <w:proofErr w:type="spellStart"/>
      <w:r w:rsidRPr="00CF0E64">
        <w:rPr>
          <w:rFonts w:ascii="Times New Roman" w:eastAsia="Arial Unicode MS" w:hAnsi="Times New Roman" w:cs="Times New Roman"/>
          <w:kern w:val="1"/>
          <w:sz w:val="24"/>
          <w:szCs w:val="24"/>
          <w:lang w:eastAsia="ar-SA"/>
        </w:rPr>
        <w:t>kryptovaktív</w:t>
      </w:r>
      <w:proofErr w:type="spellEnd"/>
      <w:r w:rsidRPr="00CF0E64">
        <w:rPr>
          <w:rFonts w:ascii="Times New Roman" w:eastAsia="Arial Unicode MS" w:hAnsi="Times New Roman" w:cs="Times New Roman"/>
          <w:kern w:val="1"/>
          <w:sz w:val="24"/>
          <w:szCs w:val="24"/>
          <w:lang w:eastAsia="ar-SA"/>
        </w:rPr>
        <w:t xml:space="preserve"> informovať každú dotknutú osobu, že informácie, ktoré sa jej týkajú, sa budú </w:t>
      </w:r>
      <w:r w:rsidRPr="00CF0E64">
        <w:rPr>
          <w:rFonts w:ascii="Times New Roman" w:eastAsia="Arial Unicode MS" w:hAnsi="Times New Roman" w:cs="Times New Roman"/>
          <w:kern w:val="1"/>
          <w:sz w:val="24"/>
          <w:szCs w:val="24"/>
          <w:lang w:eastAsia="ar-SA"/>
        </w:rPr>
        <w:lastRenderedPageBreak/>
        <w:t>získavať a zasielať na účely automatickej výmeny informácií o finančných účtoch, na účely dohody FATCA alebo na účely automatickej výmeny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Zároveň majú </w:t>
      </w:r>
      <w:r w:rsidR="00DC72B2" w:rsidRPr="00CF0E64">
        <w:rPr>
          <w:rFonts w:ascii="Times New Roman" w:eastAsia="Arial Unicode MS" w:hAnsi="Times New Roman" w:cs="Times New Roman"/>
          <w:kern w:val="1"/>
          <w:sz w:val="24"/>
          <w:szCs w:val="24"/>
          <w:lang w:eastAsia="ar-SA"/>
        </w:rPr>
        <w:t xml:space="preserve">dotknutej fyzickej osobe </w:t>
      </w:r>
      <w:r w:rsidR="00DC72B2" w:rsidRPr="00CF0E64">
        <w:rPr>
          <w:rFonts w:ascii="Times New Roman" w:eastAsia="ArialNarrow" w:hAnsi="Times New Roman" w:cs="ArialNarrow"/>
          <w:kern w:val="1"/>
          <w:sz w:val="24"/>
          <w:szCs w:val="24"/>
          <w:lang w:eastAsia="ar-SA"/>
        </w:rPr>
        <w:t xml:space="preserve">poskytnúť všetky informácie tak, aby mohla uplatniť svoje práva na ochranu osobných údajov v zmysle nariadenia </w:t>
      </w:r>
      <w:r w:rsidR="00DC72B2" w:rsidRPr="00CF0E64">
        <w:rPr>
          <w:rFonts w:ascii="Times New Roman" w:eastAsia="Arial Unicode MS" w:hAnsi="Times New Roman" w:cs="Times New Roman"/>
          <w:kern w:val="1"/>
          <w:sz w:val="24"/>
          <w:szCs w:val="24"/>
          <w:lang w:eastAsia="ar-SA"/>
        </w:rPr>
        <w:t xml:space="preserve">(EÚ) 2016/679 </w:t>
      </w:r>
      <w:r w:rsidR="00DC72B2" w:rsidRPr="00CF0E64">
        <w:rPr>
          <w:rFonts w:ascii="Times New Roman" w:eastAsia="ArialNarrow" w:hAnsi="Times New Roman" w:cs="ArialNarrow"/>
          <w:kern w:val="1"/>
          <w:sz w:val="24"/>
          <w:szCs w:val="24"/>
          <w:lang w:eastAsia="ar-SA"/>
        </w:rPr>
        <w:t xml:space="preserve">pred zaslaním informácií. </w:t>
      </w:r>
    </w:p>
    <w:p w14:paraId="3C3C40A9" w14:textId="77777777" w:rsidR="008C1A6E" w:rsidRPr="00CF0E64" w:rsidRDefault="008C1A6E" w:rsidP="003B68A9">
      <w:pPr>
        <w:spacing w:after="0" w:line="252" w:lineRule="auto"/>
        <w:jc w:val="both"/>
        <w:rPr>
          <w:rFonts w:ascii="Times New Roman" w:eastAsia="ArialNarrow" w:hAnsi="Times New Roman" w:cs="ArialNarrow"/>
          <w:kern w:val="1"/>
          <w:sz w:val="24"/>
          <w:szCs w:val="24"/>
          <w:lang w:eastAsia="ar-SA"/>
        </w:rPr>
      </w:pPr>
    </w:p>
    <w:p w14:paraId="6F8E2856" w14:textId="591044C0" w:rsidR="00E756F7" w:rsidRPr="00CF0E64" w:rsidRDefault="00AE0020"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35 - § 20a</w:t>
      </w:r>
    </w:p>
    <w:p w14:paraId="602A5F80" w14:textId="6E8974B9" w:rsidR="00AE0020" w:rsidRPr="00CF0E64" w:rsidRDefault="00AE0020"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Ustanovuje sa povinnosť pre príslušný orgán Slovenskej republiky zaslať elektronicky informácie, ktoré oznámili oznamujúci poskytovatelia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do 30. septembra kalendárneho roka nasledujúceho po kalendárnom roku, za ktorý sa plní oznamovacia povinnosť. Lehota pre automatickú výmenu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je zosúladená s lehotou pre automatickú výmenu informácií o finančných účtoch. </w:t>
      </w:r>
    </w:p>
    <w:p w14:paraId="2A4FDB8A" w14:textId="77777777" w:rsidR="008C1A6E" w:rsidRPr="00CF0E64" w:rsidRDefault="008C1A6E" w:rsidP="003B68A9">
      <w:pPr>
        <w:spacing w:after="0" w:line="252" w:lineRule="auto"/>
        <w:jc w:val="both"/>
        <w:rPr>
          <w:rFonts w:ascii="Times New Roman" w:eastAsia="Arial Unicode MS" w:hAnsi="Times New Roman" w:cs="Times New Roman"/>
          <w:kern w:val="1"/>
          <w:sz w:val="24"/>
          <w:szCs w:val="24"/>
          <w:lang w:eastAsia="ar-SA"/>
        </w:rPr>
      </w:pPr>
    </w:p>
    <w:p w14:paraId="259F783C" w14:textId="0B1F22CC" w:rsidR="00AE0020" w:rsidRPr="00CF0E64" w:rsidRDefault="00B47285"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36 - § 21a</w:t>
      </w:r>
    </w:p>
    <w:p w14:paraId="4486A402" w14:textId="54A5FA33" w:rsidR="00B47285" w:rsidRPr="00CF0E64" w:rsidRDefault="0023668A"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V §21a sa ustanovuje povinnosť pre príslušný orgán Slovenskej republiky prijať informácie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ktoré mu zašlú príslušné orgány členských štátov a príslušné orgány zmluvných štátov. </w:t>
      </w:r>
    </w:p>
    <w:p w14:paraId="7E7C51C9" w14:textId="2CEC6780" w:rsidR="008C1A6E" w:rsidRPr="00CF0E64" w:rsidRDefault="008C1A6E" w:rsidP="003B68A9">
      <w:pPr>
        <w:spacing w:after="0" w:line="252" w:lineRule="auto"/>
        <w:jc w:val="both"/>
        <w:rPr>
          <w:rFonts w:ascii="Times New Roman" w:eastAsia="Arial Unicode MS" w:hAnsi="Times New Roman" w:cs="Times New Roman"/>
          <w:kern w:val="1"/>
          <w:sz w:val="24"/>
          <w:szCs w:val="24"/>
          <w:lang w:eastAsia="ar-SA"/>
        </w:rPr>
      </w:pPr>
    </w:p>
    <w:p w14:paraId="11E36B71" w14:textId="4287023E" w:rsidR="00B66DFE" w:rsidRPr="00CF0E64" w:rsidRDefault="00B66DFE" w:rsidP="003B68A9">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37 - § 22 ods. 1</w:t>
      </w:r>
    </w:p>
    <w:p w14:paraId="523633D5" w14:textId="025A955E" w:rsidR="00B66DFE" w:rsidRPr="00CF0E64" w:rsidRDefault="00B66DFE" w:rsidP="003B68A9">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Do ustanovenia § 22 ods. 1 sa dopĺňa, že ani oznamujúci poskytovatelia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a používatelia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 xml:space="preserve"> nesmú prijímať opatrenia a vykonávať postupy, ktorých účelom je vyhnúť sa plneniu povinností. </w:t>
      </w:r>
    </w:p>
    <w:p w14:paraId="5F1E3A58" w14:textId="301578CF" w:rsidR="008C1A6E" w:rsidRPr="00CF0E64" w:rsidRDefault="008C1A6E" w:rsidP="003B68A9">
      <w:pPr>
        <w:spacing w:after="0" w:line="252" w:lineRule="auto"/>
        <w:jc w:val="both"/>
        <w:rPr>
          <w:rFonts w:ascii="Times New Roman" w:eastAsia="Arial Unicode MS" w:hAnsi="Times New Roman" w:cs="Times New Roman"/>
          <w:kern w:val="1"/>
          <w:sz w:val="24"/>
          <w:szCs w:val="24"/>
          <w:lang w:eastAsia="ar-SA"/>
        </w:rPr>
      </w:pPr>
    </w:p>
    <w:p w14:paraId="5A4B17AA" w14:textId="0D3D66B7" w:rsidR="00B66DFE" w:rsidRPr="00CF0E64" w:rsidRDefault="00B66DFE"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38 - § 22 ods. 2 a</w:t>
      </w:r>
      <w:r w:rsidR="0032188A" w:rsidRPr="00CF0E64">
        <w:rPr>
          <w:rFonts w:ascii="Times New Roman" w:eastAsia="Arial Unicode MS" w:hAnsi="Times New Roman" w:cs="Times New Roman"/>
          <w:b/>
          <w:kern w:val="1"/>
          <w:sz w:val="24"/>
          <w:szCs w:val="24"/>
          <w:u w:val="single"/>
          <w:lang w:eastAsia="ar-SA"/>
        </w:rPr>
        <w:t xml:space="preserve"> ods. </w:t>
      </w:r>
      <w:r w:rsidRPr="00CF0E64">
        <w:rPr>
          <w:rFonts w:ascii="Times New Roman" w:eastAsia="Arial Unicode MS" w:hAnsi="Times New Roman" w:cs="Times New Roman"/>
          <w:b/>
          <w:kern w:val="1"/>
          <w:sz w:val="24"/>
          <w:szCs w:val="24"/>
          <w:u w:val="single"/>
          <w:lang w:eastAsia="ar-SA"/>
        </w:rPr>
        <w:t>3</w:t>
      </w:r>
    </w:p>
    <w:p w14:paraId="0335AB13" w14:textId="713AB3F5" w:rsidR="00B66DFE" w:rsidRPr="00CF0E64" w:rsidRDefault="00B66DFE" w:rsidP="00CF0E64">
      <w:pPr>
        <w:suppressAutoHyphens/>
        <w:autoSpaceDE w:val="0"/>
        <w:spacing w:after="0" w:line="240" w:lineRule="auto"/>
        <w:jc w:val="both"/>
        <w:rPr>
          <w:rFonts w:ascii="Times New Roman" w:eastAsia="ArialNarrow" w:hAnsi="Times New Roman" w:cs="ArialNarrow"/>
          <w:kern w:val="1"/>
          <w:sz w:val="24"/>
          <w:szCs w:val="24"/>
          <w:lang w:eastAsia="ar-SA"/>
        </w:rPr>
      </w:pPr>
      <w:r w:rsidRPr="00CF0E64">
        <w:rPr>
          <w:rFonts w:ascii="Times New Roman" w:eastAsia="Arial Unicode MS" w:hAnsi="Times New Roman" w:cs="Times New Roman"/>
          <w:kern w:val="1"/>
          <w:sz w:val="24"/>
          <w:szCs w:val="24"/>
          <w:lang w:eastAsia="ar-SA"/>
        </w:rPr>
        <w:t xml:space="preserve">V súlade so smernicou (EÚ) 2023/2226 sa upravuje minimálna a maximálna lehota uchovávania záznamov a písomných dôkazov na účely automatickej výmeny o finančných účtoch. </w:t>
      </w:r>
      <w:r w:rsidR="005649F9" w:rsidRPr="00CF0E64">
        <w:rPr>
          <w:rFonts w:ascii="Times New Roman" w:eastAsia="Arial Unicode MS" w:hAnsi="Times New Roman" w:cs="Times New Roman"/>
          <w:kern w:val="1"/>
          <w:sz w:val="24"/>
          <w:szCs w:val="24"/>
          <w:lang w:eastAsia="ar-SA"/>
        </w:rPr>
        <w:t xml:space="preserve">Lehota je stanovená na minimálne 5 rokov a nie dlhšie ako 10 rokov. </w:t>
      </w:r>
      <w:r w:rsidR="00F800C7" w:rsidRPr="00CF0E64">
        <w:rPr>
          <w:rFonts w:ascii="Times New Roman" w:eastAsia="ArialNarrow" w:hAnsi="Times New Roman" w:cs="ArialNarrow"/>
          <w:kern w:val="1"/>
          <w:sz w:val="24"/>
          <w:szCs w:val="24"/>
          <w:lang w:eastAsia="ar-SA"/>
        </w:rPr>
        <w:t xml:space="preserve">Lehota uchovávania údajov je stanovená na 10 rokov, ktorá je v súlade s daňovým poriadkom Slovenskej republiky a právom na vyrubenie dane pri uplatnení medzinárodných zmlúv. </w:t>
      </w:r>
      <w:r w:rsidRPr="00CF0E64">
        <w:rPr>
          <w:rFonts w:ascii="Times New Roman" w:eastAsia="Arial Unicode MS" w:hAnsi="Times New Roman" w:cs="Times New Roman"/>
          <w:kern w:val="1"/>
          <w:sz w:val="24"/>
          <w:szCs w:val="24"/>
          <w:lang w:eastAsia="ar-SA"/>
        </w:rPr>
        <w:t>Rovnaká lehota sa vzťahuje aj na uchovávanie záznamov a písomných dôkazov pre účely dohody FATCA.</w:t>
      </w:r>
    </w:p>
    <w:p w14:paraId="41E45283"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2ECC1427" w14:textId="079A221F" w:rsidR="00B66DFE" w:rsidRPr="00CF0E64" w:rsidRDefault="00E257C8"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 xml:space="preserve">K bodu </w:t>
      </w:r>
      <w:r w:rsidR="00584650" w:rsidRPr="00CF0E64">
        <w:rPr>
          <w:rFonts w:ascii="Times New Roman" w:eastAsia="Arial Unicode MS" w:hAnsi="Times New Roman" w:cs="Times New Roman"/>
          <w:b/>
          <w:kern w:val="1"/>
          <w:sz w:val="24"/>
          <w:szCs w:val="24"/>
          <w:u w:val="single"/>
          <w:lang w:eastAsia="ar-SA"/>
        </w:rPr>
        <w:t xml:space="preserve">39 </w:t>
      </w:r>
      <w:r w:rsidRPr="00CF0E64">
        <w:rPr>
          <w:rFonts w:ascii="Times New Roman" w:eastAsia="Arial Unicode MS" w:hAnsi="Times New Roman" w:cs="Times New Roman"/>
          <w:b/>
          <w:kern w:val="1"/>
          <w:sz w:val="24"/>
          <w:szCs w:val="24"/>
          <w:u w:val="single"/>
          <w:lang w:eastAsia="ar-SA"/>
        </w:rPr>
        <w:t>- § 22 ods. 4</w:t>
      </w:r>
    </w:p>
    <w:p w14:paraId="14016918" w14:textId="6F3E4D4B" w:rsidR="00E257C8" w:rsidRPr="00CF0E64" w:rsidRDefault="005649F9"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Do § 22 sa dopĺňa nový odsek 4, ktorý upravuje minimálnu a maximálnu lehotu uchovávania záznamov a písomných dôkazov pre účely automatickej výmeny informácií o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Táto lehota je nastavená rovnako ako v prípade automatickej výmeny informácií o finančných účtoch v bode 38. </w:t>
      </w:r>
    </w:p>
    <w:p w14:paraId="4428310E"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7FC297F4" w14:textId="3F1BB61C" w:rsidR="005649F9" w:rsidRPr="00CF0E64" w:rsidRDefault="009137AB"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4</w:t>
      </w:r>
      <w:r w:rsidR="00584650" w:rsidRPr="00CF0E64">
        <w:rPr>
          <w:rFonts w:ascii="Times New Roman" w:eastAsia="Arial Unicode MS" w:hAnsi="Times New Roman" w:cs="Times New Roman"/>
          <w:b/>
          <w:kern w:val="1"/>
          <w:sz w:val="24"/>
          <w:szCs w:val="24"/>
          <w:u w:val="single"/>
          <w:lang w:eastAsia="ar-SA"/>
        </w:rPr>
        <w:t>0</w:t>
      </w:r>
      <w:r w:rsidRPr="00CF0E64">
        <w:rPr>
          <w:rFonts w:ascii="Times New Roman" w:eastAsia="Arial Unicode MS" w:hAnsi="Times New Roman" w:cs="Times New Roman"/>
          <w:b/>
          <w:kern w:val="1"/>
          <w:sz w:val="24"/>
          <w:szCs w:val="24"/>
          <w:u w:val="single"/>
          <w:lang w:eastAsia="ar-SA"/>
        </w:rPr>
        <w:t xml:space="preserve"> – § 22 ods. 7</w:t>
      </w:r>
    </w:p>
    <w:p w14:paraId="74EB923E" w14:textId="54EEB4D6" w:rsidR="009137AB" w:rsidRPr="00CF0E64" w:rsidRDefault="007C3094"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Doplnenie sa do § 22 ods. 7 navrhuje na</w:t>
      </w:r>
      <w:r w:rsidR="009137AB" w:rsidRPr="00CF0E64">
        <w:rPr>
          <w:rFonts w:ascii="Times New Roman" w:eastAsia="Arial Unicode MS" w:hAnsi="Times New Roman" w:cs="Times New Roman"/>
          <w:kern w:val="1"/>
          <w:sz w:val="24"/>
          <w:szCs w:val="24"/>
          <w:lang w:eastAsia="ar-SA"/>
        </w:rPr>
        <w:t xml:space="preserve"> základe odporučenia Globálneho fóra pre transparentnosť a výmenu informácií z partnerského hodnotenia Slovenskej republiky pre účely automatickej výmeny informácií o finančných účtoch na základe spoločného štandardu oznamovani</w:t>
      </w:r>
      <w:r w:rsidRPr="00CF0E64">
        <w:rPr>
          <w:rFonts w:ascii="Times New Roman" w:eastAsia="Arial Unicode MS" w:hAnsi="Times New Roman" w:cs="Times New Roman"/>
          <w:kern w:val="1"/>
          <w:sz w:val="24"/>
          <w:szCs w:val="24"/>
          <w:lang w:eastAsia="ar-SA"/>
        </w:rPr>
        <w:t xml:space="preserve">a (CRS). S ohľadom na prepojenie automatickej výmeny informácií o finančných účtoch a problematiky boja proti legalizácii príjmov z trestnej činnosti a financovania terorizmu je žiaduce zdieľanie relevantných informácií medzi Finančným riaditeľstvom SR a Národnou bankou Slovenska ako </w:t>
      </w:r>
      <w:r w:rsidR="00407E5F" w:rsidRPr="00CF0E64">
        <w:rPr>
          <w:rFonts w:ascii="Times New Roman" w:eastAsia="Arial Unicode MS" w:hAnsi="Times New Roman" w:cs="Times New Roman"/>
          <w:kern w:val="1"/>
          <w:sz w:val="24"/>
          <w:szCs w:val="24"/>
          <w:lang w:eastAsia="ar-SA"/>
        </w:rPr>
        <w:t xml:space="preserve">orgánu, ktorý zabezpečuje dohľad nad finančným trhom. Oznámenie informácií zistených pri kontrole dodržiavania povinností a relevantných pre vykonávanie dohľadu nad finančným trhom sa nepovažuje za porušenie daňového tajomstva podľa </w:t>
      </w:r>
      <w:r w:rsidR="002118F4" w:rsidRPr="00CF0E64">
        <w:rPr>
          <w:rFonts w:ascii="Times New Roman" w:eastAsia="Arial Unicode MS" w:hAnsi="Times New Roman" w:cs="Times New Roman"/>
          <w:kern w:val="1"/>
          <w:sz w:val="24"/>
          <w:szCs w:val="24"/>
          <w:lang w:eastAsia="ar-SA"/>
        </w:rPr>
        <w:t>daňového poriadku.</w:t>
      </w:r>
    </w:p>
    <w:p w14:paraId="649C4BE8" w14:textId="30972334" w:rsidR="008C1A6E" w:rsidRDefault="008C1A6E" w:rsidP="008C1A6E">
      <w:pPr>
        <w:spacing w:after="0" w:line="252" w:lineRule="auto"/>
        <w:jc w:val="both"/>
        <w:rPr>
          <w:rFonts w:ascii="Times New Roman" w:eastAsia="Arial Unicode MS" w:hAnsi="Times New Roman" w:cs="Times New Roman"/>
          <w:kern w:val="1"/>
          <w:sz w:val="24"/>
          <w:szCs w:val="24"/>
          <w:lang w:eastAsia="ar-SA"/>
        </w:rPr>
      </w:pPr>
    </w:p>
    <w:p w14:paraId="312E57C2" w14:textId="77777777" w:rsidR="00E262F2" w:rsidRPr="00CF0E64" w:rsidRDefault="00E262F2" w:rsidP="008C1A6E">
      <w:pPr>
        <w:spacing w:after="0" w:line="252" w:lineRule="auto"/>
        <w:jc w:val="both"/>
        <w:rPr>
          <w:rFonts w:ascii="Times New Roman" w:eastAsia="Arial Unicode MS" w:hAnsi="Times New Roman" w:cs="Times New Roman"/>
          <w:kern w:val="1"/>
          <w:sz w:val="24"/>
          <w:szCs w:val="24"/>
          <w:lang w:eastAsia="ar-SA"/>
        </w:rPr>
      </w:pPr>
      <w:bookmarkStart w:id="0" w:name="_GoBack"/>
      <w:bookmarkEnd w:id="0"/>
    </w:p>
    <w:p w14:paraId="478BDCC4" w14:textId="25262884" w:rsidR="00AB317F" w:rsidRPr="00CF0E64" w:rsidRDefault="00AB317F"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4</w:t>
      </w:r>
      <w:r w:rsidR="00584650" w:rsidRPr="00CF0E64">
        <w:rPr>
          <w:rFonts w:ascii="Times New Roman" w:eastAsia="Arial Unicode MS" w:hAnsi="Times New Roman" w:cs="Times New Roman"/>
          <w:b/>
          <w:kern w:val="1"/>
          <w:sz w:val="24"/>
          <w:szCs w:val="24"/>
          <w:u w:val="single"/>
          <w:lang w:eastAsia="ar-SA"/>
        </w:rPr>
        <w:t>1</w:t>
      </w:r>
      <w:r w:rsidRPr="00CF0E64">
        <w:rPr>
          <w:rFonts w:ascii="Times New Roman" w:eastAsia="Arial Unicode MS" w:hAnsi="Times New Roman" w:cs="Times New Roman"/>
          <w:b/>
          <w:kern w:val="1"/>
          <w:sz w:val="24"/>
          <w:szCs w:val="24"/>
          <w:u w:val="single"/>
          <w:lang w:eastAsia="ar-SA"/>
        </w:rPr>
        <w:t xml:space="preserve"> – § 22 ods. 8 </w:t>
      </w:r>
    </w:p>
    <w:p w14:paraId="56BB42B5" w14:textId="5B18FF23" w:rsidR="00AB317F" w:rsidRPr="00CF0E64" w:rsidRDefault="00AB317F"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Splnenie postupov preverovania a oznamovania môžu oznamujúce finančné inštitúcie a oznamujúci poskytovatelia zabezpečiť prostredníctvom tretích strán, ktoré konajú v ich mene, avšak zodpovednosť za splnenie postupov zostáva na oznamujúcich finančných inštitúciách a oznamujúcich poskytovateľoch služieb </w:t>
      </w:r>
      <w:proofErr w:type="spellStart"/>
      <w:r w:rsidRPr="00CF0E64">
        <w:rPr>
          <w:rFonts w:ascii="Times New Roman" w:eastAsia="Arial Unicode MS" w:hAnsi="Times New Roman" w:cs="Times New Roman"/>
          <w:kern w:val="1"/>
          <w:sz w:val="24"/>
          <w:szCs w:val="24"/>
          <w:lang w:eastAsia="ar-SA"/>
        </w:rPr>
        <w:t>kryptoaktív</w:t>
      </w:r>
      <w:proofErr w:type="spellEnd"/>
      <w:r w:rsidRPr="00CF0E64">
        <w:rPr>
          <w:rFonts w:ascii="Times New Roman" w:eastAsia="Arial Unicode MS" w:hAnsi="Times New Roman" w:cs="Times New Roman"/>
          <w:kern w:val="1"/>
          <w:sz w:val="24"/>
          <w:szCs w:val="24"/>
          <w:lang w:eastAsia="ar-SA"/>
        </w:rPr>
        <w:t>.</w:t>
      </w:r>
    </w:p>
    <w:p w14:paraId="6900C538"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145CE9E0" w14:textId="43ED0959" w:rsidR="00AB317F" w:rsidRPr="00CF0E64" w:rsidRDefault="00AB317F"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4</w:t>
      </w:r>
      <w:r w:rsidR="00584650" w:rsidRPr="00CF0E64">
        <w:rPr>
          <w:rFonts w:ascii="Times New Roman" w:eastAsia="Arial Unicode MS" w:hAnsi="Times New Roman" w:cs="Times New Roman"/>
          <w:b/>
          <w:kern w:val="1"/>
          <w:sz w:val="24"/>
          <w:szCs w:val="24"/>
          <w:u w:val="single"/>
          <w:lang w:eastAsia="ar-SA"/>
        </w:rPr>
        <w:t>2</w:t>
      </w:r>
      <w:r w:rsidRPr="00CF0E64">
        <w:rPr>
          <w:rFonts w:ascii="Times New Roman" w:eastAsia="Arial Unicode MS" w:hAnsi="Times New Roman" w:cs="Times New Roman"/>
          <w:b/>
          <w:kern w:val="1"/>
          <w:sz w:val="24"/>
          <w:szCs w:val="24"/>
          <w:u w:val="single"/>
          <w:lang w:eastAsia="ar-SA"/>
        </w:rPr>
        <w:t xml:space="preserve"> - § 22 ods. 10</w:t>
      </w:r>
    </w:p>
    <w:p w14:paraId="0B98E78C" w14:textId="5D9AD793" w:rsidR="00AB317F" w:rsidRPr="00CF0E64" w:rsidRDefault="0032188A"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Úprava sa navrhuje n</w:t>
      </w:r>
      <w:r w:rsidR="0045483C" w:rsidRPr="00CF0E64">
        <w:rPr>
          <w:rFonts w:ascii="Times New Roman" w:eastAsia="Arial Unicode MS" w:hAnsi="Times New Roman" w:cs="Times New Roman"/>
          <w:kern w:val="1"/>
          <w:sz w:val="24"/>
          <w:szCs w:val="24"/>
          <w:lang w:eastAsia="ar-SA"/>
        </w:rPr>
        <w:t xml:space="preserve">adväzne na </w:t>
      </w:r>
      <w:r w:rsidRPr="00CF0E64">
        <w:rPr>
          <w:rFonts w:ascii="Times New Roman" w:eastAsia="Arial Unicode MS" w:hAnsi="Times New Roman" w:cs="Times New Roman"/>
          <w:kern w:val="1"/>
          <w:sz w:val="24"/>
          <w:szCs w:val="24"/>
          <w:lang w:eastAsia="ar-SA"/>
        </w:rPr>
        <w:t xml:space="preserve">zmenu </w:t>
      </w:r>
      <w:r w:rsidR="0045483C" w:rsidRPr="00CF0E64">
        <w:rPr>
          <w:rFonts w:ascii="Times New Roman" w:eastAsia="Arial Unicode MS" w:hAnsi="Times New Roman" w:cs="Times New Roman"/>
          <w:kern w:val="1"/>
          <w:sz w:val="24"/>
          <w:szCs w:val="24"/>
          <w:lang w:eastAsia="ar-SA"/>
        </w:rPr>
        <w:t xml:space="preserve">smernice (EÚ) 2023/2226 </w:t>
      </w:r>
      <w:r w:rsidRPr="00CF0E64">
        <w:rPr>
          <w:rFonts w:ascii="Times New Roman" w:eastAsia="Arial Unicode MS" w:hAnsi="Times New Roman" w:cs="Times New Roman"/>
          <w:kern w:val="1"/>
          <w:sz w:val="24"/>
          <w:szCs w:val="24"/>
          <w:lang w:eastAsia="ar-SA"/>
        </w:rPr>
        <w:t xml:space="preserve">v čl. 8 odseku 7a a opatrenia, ktoré sa od členských štátov vyžadujú s ohľadom na neoznamujúce finančné inštitúcie a vylúčené účty. Zoznam typov neoznamujúcich finančných inštitúcií a zoznam typov vylúčených účtov v súlade so spoločným štandardom oznamovania (CRS) bude Ministerstvo financií Slovenskej republiky zverejňovať na svojom webovom sídle. </w:t>
      </w:r>
    </w:p>
    <w:p w14:paraId="184D0144"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4F90778F" w14:textId="778C7A6A" w:rsidR="009137AB" w:rsidRPr="00CF0E64" w:rsidRDefault="003560CC"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4</w:t>
      </w:r>
      <w:r w:rsidR="00584650" w:rsidRPr="00CF0E64">
        <w:rPr>
          <w:rFonts w:ascii="Times New Roman" w:eastAsia="Arial Unicode MS" w:hAnsi="Times New Roman" w:cs="Times New Roman"/>
          <w:b/>
          <w:kern w:val="1"/>
          <w:sz w:val="24"/>
          <w:szCs w:val="24"/>
          <w:u w:val="single"/>
          <w:lang w:eastAsia="ar-SA"/>
        </w:rPr>
        <w:t>3</w:t>
      </w:r>
      <w:r w:rsidRPr="00CF0E64">
        <w:rPr>
          <w:rFonts w:ascii="Times New Roman" w:eastAsia="Arial Unicode MS" w:hAnsi="Times New Roman" w:cs="Times New Roman"/>
          <w:b/>
          <w:kern w:val="1"/>
          <w:sz w:val="24"/>
          <w:szCs w:val="24"/>
          <w:u w:val="single"/>
          <w:lang w:eastAsia="ar-SA"/>
        </w:rPr>
        <w:t xml:space="preserve"> - § 22 ods. 11 až 18</w:t>
      </w:r>
    </w:p>
    <w:p w14:paraId="683B5B02" w14:textId="068DADF3" w:rsidR="00C04EC2" w:rsidRPr="00CF0E64" w:rsidRDefault="00C04EC2"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Dopĺňajú sa ustanovenia zabezpečujúce účinné uplatňovanie zákona. </w:t>
      </w:r>
    </w:p>
    <w:p w14:paraId="31EDF5D0" w14:textId="07B676AD" w:rsidR="003560CC" w:rsidRPr="00CF0E64" w:rsidRDefault="00E32E51"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Úprava v odseku 11 </w:t>
      </w:r>
      <w:r w:rsidR="00517EA9" w:rsidRPr="00CF0E64">
        <w:rPr>
          <w:rFonts w:ascii="Times New Roman" w:eastAsia="Arial Unicode MS" w:hAnsi="Times New Roman" w:cs="Times New Roman"/>
          <w:kern w:val="1"/>
          <w:sz w:val="24"/>
          <w:szCs w:val="24"/>
          <w:lang w:eastAsia="ar-SA"/>
        </w:rPr>
        <w:t>rovnako ako úprava v odseku 10</w:t>
      </w:r>
      <w:r w:rsidRPr="00CF0E64">
        <w:rPr>
          <w:rFonts w:ascii="Times New Roman" w:eastAsia="Arial Unicode MS" w:hAnsi="Times New Roman" w:cs="Times New Roman"/>
          <w:kern w:val="1"/>
          <w:sz w:val="24"/>
          <w:szCs w:val="24"/>
          <w:lang w:eastAsia="ar-SA"/>
        </w:rPr>
        <w:t xml:space="preserve"> vyplýva z čl. 8 odseku 7a smernice (EÚ) 2023/2226. V rámci opatrení v Slovenskej republike Finančné riaditeľstvo Slovenskej republiky každý rok (do 30. apríla) preverí, či neoznamujúce finančné inštitúcie a vylúčené účty spĺňajú príslušné požiadavky podľa zákona. Ak sa pri preverení zistí, že tieto požiadavky nie sú splnené, Finančné riaditeľstvo Slovenskej republiky oznámi túto skutočnosť Ministerstvu financií Slovenskej republiky, ktoré nadväzne upraví zoznam zverejňovaný podľa § 22 ods. 10. </w:t>
      </w:r>
    </w:p>
    <w:p w14:paraId="578C4585" w14:textId="5183799B" w:rsidR="00E32E51" w:rsidRPr="00CF0E64" w:rsidRDefault="00E32E51"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V odseku 12 sa </w:t>
      </w:r>
      <w:r w:rsidR="00D1312F">
        <w:rPr>
          <w:rFonts w:ascii="Times New Roman" w:eastAsia="Arial Unicode MS" w:hAnsi="Times New Roman" w:cs="Times New Roman"/>
          <w:kern w:val="1"/>
          <w:sz w:val="24"/>
          <w:szCs w:val="24"/>
          <w:lang w:eastAsia="ar-SA"/>
        </w:rPr>
        <w:t>stanovuje</w:t>
      </w:r>
      <w:r w:rsidR="00D1312F" w:rsidRPr="00CF0E64">
        <w:rPr>
          <w:rFonts w:ascii="Times New Roman" w:eastAsia="Arial Unicode MS" w:hAnsi="Times New Roman" w:cs="Times New Roman"/>
          <w:kern w:val="1"/>
          <w:sz w:val="24"/>
          <w:szCs w:val="24"/>
          <w:lang w:eastAsia="ar-SA"/>
        </w:rPr>
        <w:t xml:space="preserve"> </w:t>
      </w:r>
      <w:r w:rsidRPr="00CF0E64">
        <w:rPr>
          <w:rFonts w:ascii="Times New Roman" w:eastAsia="Arial Unicode MS" w:hAnsi="Times New Roman" w:cs="Times New Roman"/>
          <w:kern w:val="1"/>
          <w:sz w:val="24"/>
          <w:szCs w:val="24"/>
          <w:lang w:eastAsia="ar-SA"/>
        </w:rPr>
        <w:t xml:space="preserve">povinnosť pre Finančné riaditeľstvo Slovenskej republiky </w:t>
      </w:r>
      <w:r w:rsidR="00DB05ED" w:rsidRPr="00CF0E64">
        <w:rPr>
          <w:rFonts w:ascii="Times New Roman" w:eastAsia="Arial Unicode MS" w:hAnsi="Times New Roman" w:cs="Times New Roman"/>
          <w:kern w:val="1"/>
          <w:sz w:val="24"/>
          <w:szCs w:val="24"/>
          <w:lang w:eastAsia="ar-SA"/>
        </w:rPr>
        <w:t xml:space="preserve">v súlade so smernicou (EÚ) 2023/2226 zaviesť </w:t>
      </w:r>
      <w:r w:rsidR="00D1312F">
        <w:rPr>
          <w:rFonts w:ascii="Times New Roman" w:eastAsia="Arial Unicode MS" w:hAnsi="Times New Roman" w:cs="Times New Roman"/>
          <w:kern w:val="1"/>
          <w:sz w:val="24"/>
          <w:szCs w:val="24"/>
          <w:lang w:eastAsia="ar-SA"/>
        </w:rPr>
        <w:t xml:space="preserve">účinný </w:t>
      </w:r>
      <w:r w:rsidR="00DB05ED" w:rsidRPr="00CF0E64">
        <w:rPr>
          <w:rFonts w:ascii="Times New Roman" w:eastAsia="Arial Unicode MS" w:hAnsi="Times New Roman" w:cs="Times New Roman"/>
          <w:kern w:val="1"/>
          <w:sz w:val="24"/>
          <w:szCs w:val="24"/>
          <w:lang w:eastAsia="ar-SA"/>
        </w:rPr>
        <w:t xml:space="preserve">mechanizmus na zabezpečenie </w:t>
      </w:r>
      <w:r w:rsidR="00D1312F">
        <w:rPr>
          <w:rFonts w:ascii="Times New Roman" w:eastAsia="Arial Unicode MS" w:hAnsi="Times New Roman" w:cs="Times New Roman"/>
          <w:kern w:val="1"/>
          <w:sz w:val="24"/>
          <w:szCs w:val="24"/>
          <w:lang w:eastAsia="ar-SA"/>
        </w:rPr>
        <w:t>vy</w:t>
      </w:r>
      <w:r w:rsidR="00D1312F" w:rsidRPr="00CF0E64">
        <w:rPr>
          <w:rFonts w:ascii="Times New Roman" w:eastAsia="Arial Unicode MS" w:hAnsi="Times New Roman" w:cs="Times New Roman"/>
          <w:kern w:val="1"/>
          <w:sz w:val="24"/>
          <w:szCs w:val="24"/>
          <w:lang w:eastAsia="ar-SA"/>
        </w:rPr>
        <w:t xml:space="preserve">užívania </w:t>
      </w:r>
      <w:r w:rsidR="00DB05ED" w:rsidRPr="00CF0E64">
        <w:rPr>
          <w:rFonts w:ascii="Times New Roman" w:eastAsia="Arial Unicode MS" w:hAnsi="Times New Roman" w:cs="Times New Roman"/>
          <w:kern w:val="1"/>
          <w:sz w:val="24"/>
          <w:szCs w:val="24"/>
          <w:lang w:eastAsia="ar-SA"/>
        </w:rPr>
        <w:t>informácií získaných z automatickej výmeny informácií o finančných účtoch ako aj z automatickej výmeny o </w:t>
      </w:r>
      <w:proofErr w:type="spellStart"/>
      <w:r w:rsidR="00DB05ED" w:rsidRPr="00CF0E64">
        <w:rPr>
          <w:rFonts w:ascii="Times New Roman" w:eastAsia="Arial Unicode MS" w:hAnsi="Times New Roman" w:cs="Times New Roman"/>
          <w:kern w:val="1"/>
          <w:sz w:val="24"/>
          <w:szCs w:val="24"/>
          <w:lang w:eastAsia="ar-SA"/>
        </w:rPr>
        <w:t>kryptoaktívach</w:t>
      </w:r>
      <w:proofErr w:type="spellEnd"/>
      <w:r w:rsidR="00DB05ED" w:rsidRPr="00CF0E64">
        <w:rPr>
          <w:rFonts w:ascii="Times New Roman" w:eastAsia="Arial Unicode MS" w:hAnsi="Times New Roman" w:cs="Times New Roman"/>
          <w:kern w:val="1"/>
          <w:sz w:val="24"/>
          <w:szCs w:val="24"/>
          <w:lang w:eastAsia="ar-SA"/>
        </w:rPr>
        <w:t>.</w:t>
      </w:r>
      <w:r w:rsidR="00D1312F">
        <w:rPr>
          <w:rFonts w:ascii="Times New Roman" w:eastAsia="Arial Unicode MS" w:hAnsi="Times New Roman" w:cs="Times New Roman"/>
          <w:kern w:val="1"/>
          <w:sz w:val="24"/>
          <w:szCs w:val="24"/>
          <w:lang w:eastAsia="ar-SA"/>
        </w:rPr>
        <w:t xml:space="preserve"> Takéto informácie sa budú využívať na účely správy daní s cieľom určenia správnej výšky daní. Mechanizmus využívania informácií </w:t>
      </w:r>
      <w:r w:rsidR="00AB5B92">
        <w:rPr>
          <w:rFonts w:ascii="Times New Roman" w:eastAsia="Arial Unicode MS" w:hAnsi="Times New Roman" w:cs="Times New Roman"/>
          <w:kern w:val="1"/>
          <w:sz w:val="24"/>
          <w:szCs w:val="24"/>
          <w:lang w:eastAsia="ar-SA"/>
        </w:rPr>
        <w:t xml:space="preserve">si vyžiada úpravu v interných riadiacich aktoch a prepojenie informačných systémov (nových modulov s existujúcimi informačnými systémami), ktoré umožní v súlade s ustanoveniami daňového poriadku stotožnenie daňovníka a kontrolu riadneho plnenia daňových povinností. </w:t>
      </w:r>
    </w:p>
    <w:p w14:paraId="4C0A69F2" w14:textId="3B027098" w:rsidR="00DB05ED" w:rsidRPr="00CF0E64" w:rsidRDefault="00812321"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V rámci ustanovení na účinné uplatňovanie zákona sa v odseku 13 dopĺňa ustanovenie, ktoré spresňuje, že informácie o finančných účtoch a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prijaté od členských štátov a zmluvných štátov v rámci automatických výmen o finančných účtoch a </w:t>
      </w:r>
      <w:proofErr w:type="spellStart"/>
      <w:r w:rsidRPr="00CF0E64">
        <w:rPr>
          <w:rFonts w:ascii="Times New Roman" w:eastAsia="Arial Unicode MS" w:hAnsi="Times New Roman" w:cs="Times New Roman"/>
          <w:kern w:val="1"/>
          <w:sz w:val="24"/>
          <w:szCs w:val="24"/>
          <w:lang w:eastAsia="ar-SA"/>
        </w:rPr>
        <w:t>kryptoaktívach</w:t>
      </w:r>
      <w:proofErr w:type="spellEnd"/>
      <w:r w:rsidRPr="00CF0E64">
        <w:rPr>
          <w:rFonts w:ascii="Times New Roman" w:eastAsia="Arial Unicode MS" w:hAnsi="Times New Roman" w:cs="Times New Roman"/>
          <w:kern w:val="1"/>
          <w:sz w:val="24"/>
          <w:szCs w:val="24"/>
          <w:lang w:eastAsia="ar-SA"/>
        </w:rPr>
        <w:t xml:space="preserve"> môžu byť sprístupnené na účely, ktoré sú uvedené v čl. 14 ods. 1 zákona č. 442/2012 Z. z.. </w:t>
      </w:r>
    </w:p>
    <w:p w14:paraId="7B0EF834" w14:textId="693FCB56" w:rsidR="00CA6B2F" w:rsidRPr="00CF0E64" w:rsidRDefault="00CA6B2F"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V odseku 14 sa objasňuje, že informácie získané o používateľoch podliehajúcich oznamovaniu a ovládajúcich osobách, ktoré sú osobami podliehajúcimi oznamovaniu, ktorí sú daňovými rezidentmi Slovenskej republiky, budú využívané na účely správy daní v súlade s daňovým poriadkom</w:t>
      </w:r>
      <w:r w:rsidR="003F2FEC">
        <w:rPr>
          <w:rFonts w:ascii="Times New Roman" w:hAnsi="Times New Roman" w:cs="Times New Roman"/>
          <w:sz w:val="24"/>
          <w:szCs w:val="24"/>
        </w:rPr>
        <w:t>, ktorý obsahuje oprávnenia na z</w:t>
      </w:r>
      <w:r w:rsidR="003F2FEC" w:rsidRPr="003F2FEC">
        <w:rPr>
          <w:rFonts w:ascii="Times New Roman" w:hAnsi="Times New Roman" w:cs="Times New Roman"/>
          <w:sz w:val="24"/>
          <w:szCs w:val="24"/>
        </w:rPr>
        <w:t>hromažďova</w:t>
      </w:r>
      <w:r w:rsidR="003F2FEC">
        <w:rPr>
          <w:rFonts w:ascii="Times New Roman" w:hAnsi="Times New Roman" w:cs="Times New Roman"/>
          <w:sz w:val="24"/>
          <w:szCs w:val="24"/>
        </w:rPr>
        <w:t>nie</w:t>
      </w:r>
      <w:r w:rsidR="003F2FEC" w:rsidRPr="003F2FEC">
        <w:rPr>
          <w:rFonts w:ascii="Times New Roman" w:hAnsi="Times New Roman" w:cs="Times New Roman"/>
          <w:sz w:val="24"/>
          <w:szCs w:val="24"/>
        </w:rPr>
        <w:t xml:space="preserve"> informáci</w:t>
      </w:r>
      <w:r w:rsidR="003F2FEC">
        <w:rPr>
          <w:rFonts w:ascii="Times New Roman" w:hAnsi="Times New Roman" w:cs="Times New Roman"/>
          <w:sz w:val="24"/>
          <w:szCs w:val="24"/>
        </w:rPr>
        <w:t>í</w:t>
      </w:r>
      <w:r w:rsidR="003F2FEC" w:rsidRPr="003F2FEC">
        <w:rPr>
          <w:rFonts w:ascii="Times New Roman" w:hAnsi="Times New Roman" w:cs="Times New Roman"/>
          <w:sz w:val="24"/>
          <w:szCs w:val="24"/>
        </w:rPr>
        <w:t xml:space="preserve"> o daňových subjektoch, vyhľadáva</w:t>
      </w:r>
      <w:r w:rsidR="003F2FEC">
        <w:rPr>
          <w:rFonts w:ascii="Times New Roman" w:hAnsi="Times New Roman" w:cs="Times New Roman"/>
          <w:sz w:val="24"/>
          <w:szCs w:val="24"/>
        </w:rPr>
        <w:t>nie</w:t>
      </w:r>
      <w:r w:rsidR="003F2FEC" w:rsidRPr="003F2FEC">
        <w:rPr>
          <w:rFonts w:ascii="Times New Roman" w:hAnsi="Times New Roman" w:cs="Times New Roman"/>
          <w:sz w:val="24"/>
          <w:szCs w:val="24"/>
        </w:rPr>
        <w:t xml:space="preserve"> neprihlásen</w:t>
      </w:r>
      <w:r w:rsidR="003F2FEC">
        <w:rPr>
          <w:rFonts w:ascii="Times New Roman" w:hAnsi="Times New Roman" w:cs="Times New Roman"/>
          <w:sz w:val="24"/>
          <w:szCs w:val="24"/>
        </w:rPr>
        <w:t>ých</w:t>
      </w:r>
      <w:r w:rsidR="003F2FEC" w:rsidRPr="003F2FEC">
        <w:rPr>
          <w:rFonts w:ascii="Times New Roman" w:hAnsi="Times New Roman" w:cs="Times New Roman"/>
          <w:sz w:val="24"/>
          <w:szCs w:val="24"/>
        </w:rPr>
        <w:t xml:space="preserve"> alebo neregistrovan</w:t>
      </w:r>
      <w:r w:rsidR="003F2FEC">
        <w:rPr>
          <w:rFonts w:ascii="Times New Roman" w:hAnsi="Times New Roman" w:cs="Times New Roman"/>
          <w:sz w:val="24"/>
          <w:szCs w:val="24"/>
        </w:rPr>
        <w:t>ých</w:t>
      </w:r>
      <w:r w:rsidR="003F2FEC" w:rsidRPr="003F2FEC">
        <w:rPr>
          <w:rFonts w:ascii="Times New Roman" w:hAnsi="Times New Roman" w:cs="Times New Roman"/>
          <w:sz w:val="24"/>
          <w:szCs w:val="24"/>
        </w:rPr>
        <w:t xml:space="preserve"> daňov</w:t>
      </w:r>
      <w:r w:rsidR="003F2FEC">
        <w:rPr>
          <w:rFonts w:ascii="Times New Roman" w:hAnsi="Times New Roman" w:cs="Times New Roman"/>
          <w:sz w:val="24"/>
          <w:szCs w:val="24"/>
        </w:rPr>
        <w:t>ých</w:t>
      </w:r>
      <w:r w:rsidR="003F2FEC" w:rsidRPr="003F2FEC">
        <w:rPr>
          <w:rFonts w:ascii="Times New Roman" w:hAnsi="Times New Roman" w:cs="Times New Roman"/>
          <w:sz w:val="24"/>
          <w:szCs w:val="24"/>
        </w:rPr>
        <w:t xml:space="preserve"> subjekt</w:t>
      </w:r>
      <w:r w:rsidR="003F2FEC">
        <w:rPr>
          <w:rFonts w:ascii="Times New Roman" w:hAnsi="Times New Roman" w:cs="Times New Roman"/>
          <w:sz w:val="24"/>
          <w:szCs w:val="24"/>
        </w:rPr>
        <w:t>ov</w:t>
      </w:r>
      <w:r w:rsidR="003F2FEC" w:rsidRPr="003F2FEC">
        <w:rPr>
          <w:rFonts w:ascii="Times New Roman" w:hAnsi="Times New Roman" w:cs="Times New Roman"/>
          <w:sz w:val="24"/>
          <w:szCs w:val="24"/>
        </w:rPr>
        <w:t>, overova</w:t>
      </w:r>
      <w:r w:rsidR="003F2FEC">
        <w:rPr>
          <w:rFonts w:ascii="Times New Roman" w:hAnsi="Times New Roman" w:cs="Times New Roman"/>
          <w:sz w:val="24"/>
          <w:szCs w:val="24"/>
        </w:rPr>
        <w:t>nie</w:t>
      </w:r>
      <w:r w:rsidR="003F2FEC" w:rsidRPr="003F2FEC">
        <w:rPr>
          <w:rFonts w:ascii="Times New Roman" w:hAnsi="Times New Roman" w:cs="Times New Roman"/>
          <w:sz w:val="24"/>
          <w:szCs w:val="24"/>
        </w:rPr>
        <w:t xml:space="preserve"> úplnos</w:t>
      </w:r>
      <w:r w:rsidR="003F2FEC">
        <w:rPr>
          <w:rFonts w:ascii="Times New Roman" w:hAnsi="Times New Roman" w:cs="Times New Roman"/>
          <w:sz w:val="24"/>
          <w:szCs w:val="24"/>
        </w:rPr>
        <w:t>ti</w:t>
      </w:r>
      <w:r w:rsidR="003F2FEC" w:rsidRPr="003F2FEC">
        <w:rPr>
          <w:rFonts w:ascii="Times New Roman" w:hAnsi="Times New Roman" w:cs="Times New Roman"/>
          <w:sz w:val="24"/>
          <w:szCs w:val="24"/>
        </w:rPr>
        <w:t xml:space="preserve"> a správnos</w:t>
      </w:r>
      <w:r w:rsidR="003F2FEC">
        <w:rPr>
          <w:rFonts w:ascii="Times New Roman" w:hAnsi="Times New Roman" w:cs="Times New Roman"/>
          <w:sz w:val="24"/>
          <w:szCs w:val="24"/>
        </w:rPr>
        <w:t>ti</w:t>
      </w:r>
      <w:r w:rsidR="003F2FEC" w:rsidRPr="003F2FEC">
        <w:rPr>
          <w:rFonts w:ascii="Times New Roman" w:hAnsi="Times New Roman" w:cs="Times New Roman"/>
          <w:sz w:val="24"/>
          <w:szCs w:val="24"/>
        </w:rPr>
        <w:t xml:space="preserve"> evidencie alebo registrácie daňových subjektov a zisťova</w:t>
      </w:r>
      <w:r w:rsidR="003F2FEC">
        <w:rPr>
          <w:rFonts w:ascii="Times New Roman" w:hAnsi="Times New Roman" w:cs="Times New Roman"/>
          <w:sz w:val="24"/>
          <w:szCs w:val="24"/>
        </w:rPr>
        <w:t>nie</w:t>
      </w:r>
      <w:r w:rsidR="003F2FEC" w:rsidRPr="003F2FEC">
        <w:rPr>
          <w:rFonts w:ascii="Times New Roman" w:hAnsi="Times New Roman" w:cs="Times New Roman"/>
          <w:sz w:val="24"/>
          <w:szCs w:val="24"/>
        </w:rPr>
        <w:t xml:space="preserve"> ďalš</w:t>
      </w:r>
      <w:r w:rsidR="003F2FEC">
        <w:rPr>
          <w:rFonts w:ascii="Times New Roman" w:hAnsi="Times New Roman" w:cs="Times New Roman"/>
          <w:sz w:val="24"/>
          <w:szCs w:val="24"/>
        </w:rPr>
        <w:t>ích</w:t>
      </w:r>
      <w:r w:rsidR="003F2FEC" w:rsidRPr="003F2FEC">
        <w:rPr>
          <w:rFonts w:ascii="Times New Roman" w:hAnsi="Times New Roman" w:cs="Times New Roman"/>
          <w:sz w:val="24"/>
          <w:szCs w:val="24"/>
        </w:rPr>
        <w:t xml:space="preserve"> skutočnost</w:t>
      </w:r>
      <w:r w:rsidR="003F2FEC">
        <w:rPr>
          <w:rFonts w:ascii="Times New Roman" w:hAnsi="Times New Roman" w:cs="Times New Roman"/>
          <w:sz w:val="24"/>
          <w:szCs w:val="24"/>
        </w:rPr>
        <w:t>í</w:t>
      </w:r>
      <w:r w:rsidR="003F2FEC" w:rsidRPr="003F2FEC">
        <w:rPr>
          <w:rFonts w:ascii="Times New Roman" w:hAnsi="Times New Roman" w:cs="Times New Roman"/>
          <w:sz w:val="24"/>
          <w:szCs w:val="24"/>
        </w:rPr>
        <w:t xml:space="preserve"> rozhodujúc</w:t>
      </w:r>
      <w:r w:rsidR="003F2FEC">
        <w:rPr>
          <w:rFonts w:ascii="Times New Roman" w:hAnsi="Times New Roman" w:cs="Times New Roman"/>
          <w:sz w:val="24"/>
          <w:szCs w:val="24"/>
        </w:rPr>
        <w:t>ich</w:t>
      </w:r>
      <w:r w:rsidR="003F2FEC" w:rsidRPr="003F2FEC">
        <w:rPr>
          <w:rFonts w:ascii="Times New Roman" w:hAnsi="Times New Roman" w:cs="Times New Roman"/>
          <w:sz w:val="24"/>
          <w:szCs w:val="24"/>
        </w:rPr>
        <w:t xml:space="preserve"> pre správne vyrubenie dane, zabezpečenie jej úhrady a vymáhanie daňového nedoplatku</w:t>
      </w:r>
      <w:r w:rsidRPr="00CF0E64">
        <w:rPr>
          <w:rFonts w:ascii="Times New Roman" w:hAnsi="Times New Roman" w:cs="Times New Roman"/>
          <w:sz w:val="24"/>
          <w:szCs w:val="24"/>
        </w:rPr>
        <w:t xml:space="preserve">. </w:t>
      </w:r>
      <w:r w:rsidR="00353954" w:rsidRPr="00CF0E64">
        <w:rPr>
          <w:rFonts w:ascii="Times New Roman" w:hAnsi="Times New Roman" w:cs="Times New Roman"/>
          <w:sz w:val="24"/>
          <w:szCs w:val="24"/>
        </w:rPr>
        <w:t xml:space="preserve">Ustanovenie je v súlade s cieľmi smernice, ktoré predpokladajú využívanie informácií aj na domáce účely. </w:t>
      </w:r>
    </w:p>
    <w:p w14:paraId="6DD7CA74" w14:textId="0B90AAB8" w:rsidR="00353954" w:rsidRPr="00CF0E64" w:rsidRDefault="00FD4C3F"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Nadväzne na požiadavky doplneného spoločného štandardu oznamovania (CRS) a smernice (EÚ) 2023/2226 sa v odseku 15 upravuje postup ohľadom vynaloženia primeraného úsilia, ak nie je známe daňové identifikačné číslo a dátum narodenia. Stanovuje sa, že oznamujúca finančná inštitúcia je povinná vynaložiť primerané úsilie na to, aby do konca </w:t>
      </w:r>
      <w:r w:rsidR="00584650" w:rsidRPr="00CF0E64">
        <w:rPr>
          <w:rFonts w:ascii="Times New Roman" w:hAnsi="Times New Roman" w:cs="Times New Roman"/>
          <w:sz w:val="24"/>
          <w:szCs w:val="24"/>
        </w:rPr>
        <w:t xml:space="preserve">druhého </w:t>
      </w:r>
      <w:r w:rsidRPr="00CF0E64">
        <w:rPr>
          <w:rFonts w:ascii="Times New Roman" w:hAnsi="Times New Roman" w:cs="Times New Roman"/>
          <w:sz w:val="24"/>
          <w:szCs w:val="24"/>
        </w:rPr>
        <w:lastRenderedPageBreak/>
        <w:t xml:space="preserve">kalendárneho roka nasledujúceho po roku, v ktorom sa takéto účty identifikovali ako účty podliehajúce oznamovaniu, tieto údaje získala a vždy, keď sa vyžaduje aktualizácia informácií týkajúcich sa existujúceho účtu podľa postupov v oblasti boja proti praniu špinavých peňazí a financovaniu terorizmu. </w:t>
      </w:r>
    </w:p>
    <w:p w14:paraId="1889B65C" w14:textId="60616B44" w:rsidR="00FD4C3F" w:rsidRPr="00CF0E64" w:rsidRDefault="00FD4C3F"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V odseku 16</w:t>
      </w:r>
      <w:r w:rsidR="00C04EC2" w:rsidRPr="00CF0E64">
        <w:rPr>
          <w:rFonts w:ascii="Times New Roman" w:hAnsi="Times New Roman" w:cs="Times New Roman"/>
          <w:sz w:val="24"/>
          <w:szCs w:val="24"/>
        </w:rPr>
        <w:t xml:space="preserve"> sa ustanovuje sankčný postup v prípade, ak používateľ </w:t>
      </w:r>
      <w:proofErr w:type="spellStart"/>
      <w:r w:rsidR="00C04EC2" w:rsidRPr="00CF0E64">
        <w:rPr>
          <w:rFonts w:ascii="Times New Roman" w:hAnsi="Times New Roman" w:cs="Times New Roman"/>
          <w:sz w:val="24"/>
          <w:szCs w:val="24"/>
        </w:rPr>
        <w:t>kryptoaktív</w:t>
      </w:r>
      <w:proofErr w:type="spellEnd"/>
      <w:r w:rsidR="00C04EC2" w:rsidRPr="00CF0E64">
        <w:rPr>
          <w:rFonts w:ascii="Times New Roman" w:hAnsi="Times New Roman" w:cs="Times New Roman"/>
          <w:sz w:val="24"/>
          <w:szCs w:val="24"/>
        </w:rPr>
        <w:t xml:space="preserve"> neposkytne informácie o </w:t>
      </w:r>
      <w:proofErr w:type="spellStart"/>
      <w:r w:rsidR="00C04EC2" w:rsidRPr="00CF0E64">
        <w:rPr>
          <w:rFonts w:ascii="Times New Roman" w:hAnsi="Times New Roman" w:cs="Times New Roman"/>
          <w:sz w:val="24"/>
          <w:szCs w:val="24"/>
        </w:rPr>
        <w:t>kryptoaktívach</w:t>
      </w:r>
      <w:proofErr w:type="spellEnd"/>
      <w:r w:rsidR="00C04EC2" w:rsidRPr="00CF0E64">
        <w:rPr>
          <w:rFonts w:ascii="Times New Roman" w:hAnsi="Times New Roman" w:cs="Times New Roman"/>
          <w:sz w:val="24"/>
          <w:szCs w:val="24"/>
        </w:rPr>
        <w:t xml:space="preserve"> ani po dvoch výzvach, ktoré nasledujú po prvej žiadosti oznamujúceho poskytovateľa služieb </w:t>
      </w:r>
      <w:proofErr w:type="spellStart"/>
      <w:r w:rsidR="00C04EC2" w:rsidRPr="00CF0E64">
        <w:rPr>
          <w:rFonts w:ascii="Times New Roman" w:hAnsi="Times New Roman" w:cs="Times New Roman"/>
          <w:sz w:val="24"/>
          <w:szCs w:val="24"/>
        </w:rPr>
        <w:t>kryptoaktív</w:t>
      </w:r>
      <w:proofErr w:type="spellEnd"/>
      <w:r w:rsidR="00C04EC2" w:rsidRPr="00CF0E64">
        <w:rPr>
          <w:rFonts w:ascii="Times New Roman" w:hAnsi="Times New Roman" w:cs="Times New Roman"/>
          <w:sz w:val="24"/>
          <w:szCs w:val="24"/>
        </w:rPr>
        <w:t xml:space="preserve"> (nie však skôr ako uplynie 60 dní). V takomto prípade má oznamujúci poskytovateľ služieb </w:t>
      </w:r>
      <w:proofErr w:type="spellStart"/>
      <w:r w:rsidR="00C04EC2" w:rsidRPr="00CF0E64">
        <w:rPr>
          <w:rFonts w:ascii="Times New Roman" w:hAnsi="Times New Roman" w:cs="Times New Roman"/>
          <w:sz w:val="24"/>
          <w:szCs w:val="24"/>
        </w:rPr>
        <w:t>kryptoaktív</w:t>
      </w:r>
      <w:proofErr w:type="spellEnd"/>
      <w:r w:rsidR="00C04EC2" w:rsidRPr="00CF0E64">
        <w:rPr>
          <w:rFonts w:ascii="Times New Roman" w:hAnsi="Times New Roman" w:cs="Times New Roman"/>
          <w:sz w:val="24"/>
          <w:szCs w:val="24"/>
        </w:rPr>
        <w:t xml:space="preserve"> povinnosť zabrániť nespolupracujúcemu používateľovi </w:t>
      </w:r>
      <w:proofErr w:type="spellStart"/>
      <w:r w:rsidR="00C04EC2" w:rsidRPr="00CF0E64">
        <w:rPr>
          <w:rFonts w:ascii="Times New Roman" w:hAnsi="Times New Roman" w:cs="Times New Roman"/>
          <w:sz w:val="24"/>
          <w:szCs w:val="24"/>
        </w:rPr>
        <w:t>kryptoaktív</w:t>
      </w:r>
      <w:proofErr w:type="spellEnd"/>
      <w:r w:rsidR="00C04EC2" w:rsidRPr="00CF0E64">
        <w:rPr>
          <w:rFonts w:ascii="Times New Roman" w:hAnsi="Times New Roman" w:cs="Times New Roman"/>
          <w:sz w:val="24"/>
          <w:szCs w:val="24"/>
        </w:rPr>
        <w:t xml:space="preserve"> vo vykonávaní transakcií. </w:t>
      </w:r>
    </w:p>
    <w:p w14:paraId="145CEF8A" w14:textId="67A6461E" w:rsidR="00C04EC2" w:rsidRPr="00CF0E64" w:rsidRDefault="00C04EC2"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Odsek 17 upravuje situáciu, ak príslušný orgán Slovenskej republiky zistí, že oznámené informácie sú neúplné alebo </w:t>
      </w:r>
      <w:r w:rsidR="00A23794">
        <w:rPr>
          <w:rFonts w:ascii="Times New Roman" w:hAnsi="Times New Roman" w:cs="Times New Roman"/>
          <w:sz w:val="24"/>
          <w:szCs w:val="24"/>
        </w:rPr>
        <w:t>chybné</w:t>
      </w:r>
      <w:r w:rsidRPr="00CF0E64">
        <w:rPr>
          <w:rFonts w:ascii="Times New Roman" w:hAnsi="Times New Roman" w:cs="Times New Roman"/>
          <w:sz w:val="24"/>
          <w:szCs w:val="24"/>
        </w:rPr>
        <w:t xml:space="preserve">. Príslušný správca dane v takomto prípade vyzve oznamujúceho poskytovateľa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na ich opravu alebo doplnenie. Procesne sa postupuje primerane podľa daňového poriadku. </w:t>
      </w:r>
    </w:p>
    <w:p w14:paraId="363BAACD" w14:textId="5D363F87" w:rsidR="00C04EC2" w:rsidRPr="00CF0E64" w:rsidRDefault="003805AB"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zmysle požiadavky smernice v oddiele V Prílohy IV sa v odseku 18 ustanovuje, že Národná banka Slovenska ako príslušný orgán Slovenskej republiky pre udelenie povolenia podľa nariadenia (EÚ) 2023/1114 bude každoročne, vždy do 31. decembra príslušného kalendárneho roka, zasielať Finančnému riaditeľstvu Slovenskej republiky zoznam všetkých poskytovateľov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ktorým vydala povolenie alebo ktorí môžu poskytovať služby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na základe oznámenia podľa predmetného nariadenia EÚ.</w:t>
      </w:r>
    </w:p>
    <w:p w14:paraId="0530163B" w14:textId="77777777" w:rsidR="008C1A6E" w:rsidRPr="00CF0E64" w:rsidRDefault="008C1A6E" w:rsidP="008C1A6E">
      <w:pPr>
        <w:spacing w:after="0" w:line="252" w:lineRule="auto"/>
        <w:jc w:val="both"/>
        <w:rPr>
          <w:rFonts w:ascii="Times New Roman" w:hAnsi="Times New Roman" w:cs="Times New Roman"/>
          <w:sz w:val="24"/>
          <w:szCs w:val="24"/>
        </w:rPr>
      </w:pPr>
    </w:p>
    <w:p w14:paraId="64DFDF46" w14:textId="6341219A" w:rsidR="009614FF" w:rsidRPr="00CF0E64" w:rsidRDefault="00010834" w:rsidP="008C1A6E">
      <w:pPr>
        <w:spacing w:after="0" w:line="252" w:lineRule="auto"/>
        <w:jc w:val="both"/>
        <w:rPr>
          <w:rFonts w:ascii="Times New Roman" w:hAnsi="Times New Roman" w:cs="Times New Roman"/>
          <w:b/>
          <w:sz w:val="24"/>
          <w:szCs w:val="24"/>
          <w:u w:val="single"/>
        </w:rPr>
      </w:pPr>
      <w:r w:rsidRPr="00CF0E64">
        <w:rPr>
          <w:rFonts w:ascii="Times New Roman" w:hAnsi="Times New Roman" w:cs="Times New Roman"/>
          <w:b/>
          <w:sz w:val="24"/>
          <w:szCs w:val="24"/>
          <w:u w:val="single"/>
        </w:rPr>
        <w:t>K bodu 4</w:t>
      </w:r>
      <w:r w:rsidR="00A450E6" w:rsidRPr="00CF0E64">
        <w:rPr>
          <w:rFonts w:ascii="Times New Roman" w:hAnsi="Times New Roman" w:cs="Times New Roman"/>
          <w:b/>
          <w:sz w:val="24"/>
          <w:szCs w:val="24"/>
          <w:u w:val="single"/>
        </w:rPr>
        <w:t>4</w:t>
      </w:r>
      <w:r w:rsidRPr="00CF0E64">
        <w:rPr>
          <w:rFonts w:ascii="Times New Roman" w:hAnsi="Times New Roman" w:cs="Times New Roman"/>
          <w:b/>
          <w:sz w:val="24"/>
          <w:szCs w:val="24"/>
          <w:u w:val="single"/>
        </w:rPr>
        <w:t xml:space="preserve"> - § 23 ods. 1</w:t>
      </w:r>
    </w:p>
    <w:p w14:paraId="2272068A" w14:textId="2FE832FF" w:rsidR="00010834" w:rsidRPr="00CF0E64" w:rsidRDefault="00010834"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Na základe poznatkov z aplikačnej praxe sa upravujú pokuty osobitne pre oznamujúce a neoznamujúce finančné inštitúcie s ohľadom na relevantnosť konkrétnych povinností, ktoré sa ich týkajú. </w:t>
      </w:r>
      <w:r w:rsidR="00EB4B35">
        <w:rPr>
          <w:rFonts w:ascii="Times New Roman" w:hAnsi="Times New Roman" w:cs="Times New Roman"/>
          <w:sz w:val="24"/>
          <w:szCs w:val="24"/>
        </w:rPr>
        <w:t>Z dôv</w:t>
      </w:r>
      <w:r w:rsidR="00A76E48" w:rsidRPr="00A76E48">
        <w:rPr>
          <w:rFonts w:ascii="Times New Roman" w:hAnsi="Times New Roman" w:cs="Times New Roman"/>
          <w:sz w:val="24"/>
          <w:szCs w:val="24"/>
        </w:rPr>
        <w:t>odu zmeny úrovne cien od roku 2015</w:t>
      </w:r>
      <w:r w:rsidR="00EB4B35">
        <w:rPr>
          <w:rFonts w:ascii="Times New Roman" w:hAnsi="Times New Roman" w:cs="Times New Roman"/>
          <w:sz w:val="24"/>
          <w:szCs w:val="24"/>
        </w:rPr>
        <w:t xml:space="preserve"> sa zároveň upravuje výška pokút na 15 000 eur (vychádzajúc z inflačnej kalkulačky INEKO).  </w:t>
      </w:r>
      <w:r w:rsidR="00A76E48" w:rsidRPr="00A76E48">
        <w:rPr>
          <w:rFonts w:ascii="Times New Roman" w:hAnsi="Times New Roman" w:cs="Times New Roman"/>
          <w:sz w:val="24"/>
          <w:szCs w:val="24"/>
        </w:rPr>
        <w:t xml:space="preserve"> </w:t>
      </w:r>
    </w:p>
    <w:p w14:paraId="23838D0A" w14:textId="77777777" w:rsidR="008C1A6E" w:rsidRPr="00CF0E64" w:rsidRDefault="008C1A6E" w:rsidP="008C1A6E">
      <w:pPr>
        <w:spacing w:after="0" w:line="252" w:lineRule="auto"/>
        <w:jc w:val="both"/>
        <w:rPr>
          <w:rFonts w:ascii="Times New Roman" w:hAnsi="Times New Roman" w:cs="Times New Roman"/>
          <w:sz w:val="24"/>
          <w:szCs w:val="24"/>
        </w:rPr>
      </w:pPr>
    </w:p>
    <w:p w14:paraId="3F794D80" w14:textId="54B2FCC4" w:rsidR="00010834" w:rsidRPr="00CF0E64" w:rsidRDefault="00010834" w:rsidP="008C1A6E">
      <w:pPr>
        <w:spacing w:after="0" w:line="252" w:lineRule="auto"/>
        <w:jc w:val="both"/>
        <w:rPr>
          <w:rFonts w:ascii="Times New Roman" w:hAnsi="Times New Roman" w:cs="Times New Roman"/>
          <w:b/>
          <w:sz w:val="24"/>
          <w:szCs w:val="24"/>
          <w:u w:val="single"/>
        </w:rPr>
      </w:pPr>
      <w:r w:rsidRPr="00CF0E64">
        <w:rPr>
          <w:rFonts w:ascii="Times New Roman" w:hAnsi="Times New Roman" w:cs="Times New Roman"/>
          <w:b/>
          <w:sz w:val="24"/>
          <w:szCs w:val="24"/>
          <w:u w:val="single"/>
        </w:rPr>
        <w:t>K bodu 4</w:t>
      </w:r>
      <w:r w:rsidR="00A450E6" w:rsidRPr="00CF0E64">
        <w:rPr>
          <w:rFonts w:ascii="Times New Roman" w:hAnsi="Times New Roman" w:cs="Times New Roman"/>
          <w:b/>
          <w:sz w:val="24"/>
          <w:szCs w:val="24"/>
          <w:u w:val="single"/>
        </w:rPr>
        <w:t>5</w:t>
      </w:r>
      <w:r w:rsidRPr="00CF0E64">
        <w:rPr>
          <w:rFonts w:ascii="Times New Roman" w:hAnsi="Times New Roman" w:cs="Times New Roman"/>
          <w:b/>
          <w:sz w:val="24"/>
          <w:szCs w:val="24"/>
          <w:u w:val="single"/>
        </w:rPr>
        <w:t xml:space="preserve"> - § 23 ods. 2</w:t>
      </w:r>
    </w:p>
    <w:p w14:paraId="2ECA0554" w14:textId="08C68523" w:rsidR="00010834" w:rsidRPr="00CF0E64" w:rsidRDefault="00010834"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Doplnenie je potrebné s ohľadom na navrhované zmeny v § 17.</w:t>
      </w:r>
    </w:p>
    <w:p w14:paraId="42EE54A6" w14:textId="77777777" w:rsidR="008C1A6E" w:rsidRPr="00CF0E64" w:rsidRDefault="008C1A6E" w:rsidP="008C1A6E">
      <w:pPr>
        <w:spacing w:after="0" w:line="252" w:lineRule="auto"/>
        <w:jc w:val="both"/>
        <w:rPr>
          <w:rFonts w:ascii="Times New Roman" w:hAnsi="Times New Roman" w:cs="Times New Roman"/>
          <w:sz w:val="24"/>
          <w:szCs w:val="24"/>
        </w:rPr>
      </w:pPr>
    </w:p>
    <w:p w14:paraId="1704745D" w14:textId="7197D3A7" w:rsidR="00010834" w:rsidRPr="00CF0E64" w:rsidRDefault="00010834" w:rsidP="008C1A6E">
      <w:pPr>
        <w:spacing w:after="0" w:line="252" w:lineRule="auto"/>
        <w:jc w:val="both"/>
        <w:rPr>
          <w:rFonts w:ascii="Times New Roman" w:hAnsi="Times New Roman" w:cs="Times New Roman"/>
          <w:b/>
          <w:sz w:val="24"/>
          <w:szCs w:val="24"/>
          <w:u w:val="single"/>
        </w:rPr>
      </w:pPr>
      <w:r w:rsidRPr="00CF0E64">
        <w:rPr>
          <w:rFonts w:ascii="Times New Roman" w:hAnsi="Times New Roman" w:cs="Times New Roman"/>
          <w:b/>
          <w:sz w:val="24"/>
          <w:szCs w:val="24"/>
          <w:u w:val="single"/>
        </w:rPr>
        <w:t>K bodu 4</w:t>
      </w:r>
      <w:r w:rsidR="00A450E6" w:rsidRPr="00CF0E64">
        <w:rPr>
          <w:rFonts w:ascii="Times New Roman" w:hAnsi="Times New Roman" w:cs="Times New Roman"/>
          <w:b/>
          <w:sz w:val="24"/>
          <w:szCs w:val="24"/>
          <w:u w:val="single"/>
        </w:rPr>
        <w:t>6</w:t>
      </w:r>
      <w:r w:rsidRPr="00CF0E64">
        <w:rPr>
          <w:rFonts w:ascii="Times New Roman" w:hAnsi="Times New Roman" w:cs="Times New Roman"/>
          <w:b/>
          <w:sz w:val="24"/>
          <w:szCs w:val="24"/>
          <w:u w:val="single"/>
        </w:rPr>
        <w:t xml:space="preserve"> - § 23 ods. 3 až 7</w:t>
      </w:r>
    </w:p>
    <w:p w14:paraId="410A66CE" w14:textId="6F68ACD9" w:rsidR="00010834" w:rsidRPr="00CF0E64" w:rsidRDefault="006E738A"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Odsek 3 sa navrhuje na základe odporučenia Globálneho fóra OECD pre transparentnosť a výmenu informácií z partnerského hodnotenia pre účely automatickej výmeny informácií o finančných účtoch. </w:t>
      </w:r>
      <w:r w:rsidR="005B3327" w:rsidRPr="00CF0E64">
        <w:rPr>
          <w:rFonts w:ascii="Times New Roman" w:hAnsi="Times New Roman" w:cs="Times New Roman"/>
          <w:sz w:val="24"/>
          <w:szCs w:val="24"/>
        </w:rPr>
        <w:t xml:space="preserve">V rámci medzinárodného štandardu sa požaduje spresnenie, že v prípade právnych usporiadaní majetku alebo právnych usporiadaní osôb, ktoré nemajú právnu subjektivitu, sa pokuta uloží správcovi takéhoto usporiadania, a konkrétne v prípade zvereneckého fondu správcovi zvereneckého fondu. </w:t>
      </w:r>
    </w:p>
    <w:p w14:paraId="1DBBF9D8" w14:textId="1FF89F98" w:rsidR="005B3327" w:rsidRPr="00CF0E64" w:rsidRDefault="005B3327"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V odseku 4 sa ustanovujú pokuty v prípade nesplnenia konkrétnych povinností v oblasti automatickej výmeny informácií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 xml:space="preserve">. Pokuty sú rozdelené osobitne pre oznamujúceho poskytovateľa služieb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a prevádzkovateľa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ktorý má povinnosť registrácie. Výška pokút sa navrhuje s ohľadom na predmet automatickej výmeny</w:t>
      </w:r>
      <w:r w:rsidR="00EB4B35">
        <w:rPr>
          <w:rFonts w:ascii="Times New Roman" w:hAnsi="Times New Roman" w:cs="Times New Roman"/>
          <w:sz w:val="24"/>
          <w:szCs w:val="24"/>
        </w:rPr>
        <w:t>, jeho rizikovejší charakter v porovnaní s finančnými účtami</w:t>
      </w:r>
      <w:r w:rsidRPr="00CF0E64">
        <w:rPr>
          <w:rFonts w:ascii="Times New Roman" w:hAnsi="Times New Roman" w:cs="Times New Roman"/>
          <w:sz w:val="24"/>
          <w:szCs w:val="24"/>
        </w:rPr>
        <w:t xml:space="preserve"> a dotknuté oznamujúce subjekty. </w:t>
      </w:r>
    </w:p>
    <w:p w14:paraId="35188FE9" w14:textId="2DFF5B98" w:rsidR="005B3327" w:rsidRPr="00CF0E64" w:rsidRDefault="005B3327"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Nadväzne na </w:t>
      </w:r>
      <w:r w:rsidR="00E363D1" w:rsidRPr="00CF0E64">
        <w:rPr>
          <w:rFonts w:ascii="Times New Roman" w:hAnsi="Times New Roman" w:cs="Times New Roman"/>
          <w:sz w:val="24"/>
          <w:szCs w:val="24"/>
        </w:rPr>
        <w:t>prepojenosť a podobné požiadavky podľa medzinárodných štandardov pre automatickú výmenu informácií o finančných účtoch (CRS) a automatickú výmenu informácií o </w:t>
      </w:r>
      <w:proofErr w:type="spellStart"/>
      <w:r w:rsidR="00E363D1" w:rsidRPr="00CF0E64">
        <w:rPr>
          <w:rFonts w:ascii="Times New Roman" w:hAnsi="Times New Roman" w:cs="Times New Roman"/>
          <w:sz w:val="24"/>
          <w:szCs w:val="24"/>
        </w:rPr>
        <w:t>kryptoaktívach</w:t>
      </w:r>
      <w:proofErr w:type="spellEnd"/>
      <w:r w:rsidR="00E363D1" w:rsidRPr="00CF0E64">
        <w:rPr>
          <w:rFonts w:ascii="Times New Roman" w:hAnsi="Times New Roman" w:cs="Times New Roman"/>
          <w:sz w:val="24"/>
          <w:szCs w:val="24"/>
        </w:rPr>
        <w:t xml:space="preserve"> (CARF) sa v odseku 5 dopĺňa ustanovenie ohľadom uloženia pokuty v prípade právnych usporiadaní majetku a</w:t>
      </w:r>
      <w:r w:rsidR="00FA6606" w:rsidRPr="00CF0E64">
        <w:rPr>
          <w:rFonts w:ascii="Times New Roman" w:hAnsi="Times New Roman" w:cs="Times New Roman"/>
          <w:sz w:val="24"/>
          <w:szCs w:val="24"/>
        </w:rPr>
        <w:t>lebo</w:t>
      </w:r>
      <w:r w:rsidR="00E363D1" w:rsidRPr="00CF0E64">
        <w:rPr>
          <w:rFonts w:ascii="Times New Roman" w:hAnsi="Times New Roman" w:cs="Times New Roman"/>
          <w:sz w:val="24"/>
          <w:szCs w:val="24"/>
        </w:rPr>
        <w:t xml:space="preserve"> právnych usporiadaní osôb, ktoré nemajú právnu subjektivitu. </w:t>
      </w:r>
    </w:p>
    <w:p w14:paraId="1787B4AE" w14:textId="5CA14A47" w:rsidR="00E363D1" w:rsidRPr="00CF0E64" w:rsidRDefault="00E34E7B"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lastRenderedPageBreak/>
        <w:t xml:space="preserve">V odseku 6 sa ustanovuje pokuta pre používateľa </w:t>
      </w:r>
      <w:proofErr w:type="spellStart"/>
      <w:r w:rsidRPr="00CF0E64">
        <w:rPr>
          <w:rFonts w:ascii="Times New Roman" w:hAnsi="Times New Roman" w:cs="Times New Roman"/>
          <w:sz w:val="24"/>
          <w:szCs w:val="24"/>
        </w:rPr>
        <w:t>kryptoaktív</w:t>
      </w:r>
      <w:proofErr w:type="spellEnd"/>
      <w:r w:rsidRPr="00CF0E64">
        <w:rPr>
          <w:rFonts w:ascii="Times New Roman" w:hAnsi="Times New Roman" w:cs="Times New Roman"/>
          <w:sz w:val="24"/>
          <w:szCs w:val="24"/>
        </w:rPr>
        <w:t xml:space="preserve"> a ovládajúcu osobu v prípade, ak neposkytnú súčinnosť podľa § 17 ods. 2 uvedením nepravdivých informácií (najmä v súvislosti s čestným vyhlásením). </w:t>
      </w:r>
    </w:p>
    <w:p w14:paraId="32AB7E81" w14:textId="4C324257" w:rsidR="00E34E7B" w:rsidRPr="00CF0E64" w:rsidRDefault="00E34E7B"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V odseku 7 sa dopĺňa, že na konanie o správnom delikte a ukladanie pokút sa vzťahuje daňový poriadok. </w:t>
      </w:r>
    </w:p>
    <w:p w14:paraId="3F27DBDF" w14:textId="77777777" w:rsidR="008C1A6E" w:rsidRPr="00CF0E64" w:rsidRDefault="008C1A6E" w:rsidP="008C1A6E">
      <w:pPr>
        <w:spacing w:after="0" w:line="252" w:lineRule="auto"/>
        <w:jc w:val="both"/>
        <w:rPr>
          <w:rFonts w:ascii="Times New Roman" w:hAnsi="Times New Roman" w:cs="Times New Roman"/>
          <w:sz w:val="24"/>
          <w:szCs w:val="24"/>
        </w:rPr>
      </w:pPr>
    </w:p>
    <w:p w14:paraId="42280E7C" w14:textId="689F8F72" w:rsidR="00CA6B2F" w:rsidRPr="00CF0E64" w:rsidRDefault="002118F4"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4</w:t>
      </w:r>
      <w:r w:rsidR="00A450E6" w:rsidRPr="00CF0E64">
        <w:rPr>
          <w:rFonts w:ascii="Times New Roman" w:eastAsia="Arial Unicode MS" w:hAnsi="Times New Roman" w:cs="Times New Roman"/>
          <w:b/>
          <w:kern w:val="1"/>
          <w:sz w:val="24"/>
          <w:szCs w:val="24"/>
          <w:u w:val="single"/>
          <w:lang w:eastAsia="ar-SA"/>
        </w:rPr>
        <w:t>7</w:t>
      </w:r>
      <w:r w:rsidRPr="00CF0E64">
        <w:rPr>
          <w:rFonts w:ascii="Times New Roman" w:eastAsia="Arial Unicode MS" w:hAnsi="Times New Roman" w:cs="Times New Roman"/>
          <w:b/>
          <w:kern w:val="1"/>
          <w:sz w:val="24"/>
          <w:szCs w:val="24"/>
          <w:u w:val="single"/>
          <w:lang w:eastAsia="ar-SA"/>
        </w:rPr>
        <w:t xml:space="preserve"> - § 24b</w:t>
      </w:r>
    </w:p>
    <w:p w14:paraId="046194FD" w14:textId="33D24FD0" w:rsidR="002118F4" w:rsidRPr="00CF0E64" w:rsidRDefault="002118F4" w:rsidP="008C1A6E">
      <w:pPr>
        <w:spacing w:after="0" w:line="252" w:lineRule="auto"/>
        <w:jc w:val="both"/>
        <w:rPr>
          <w:rFonts w:ascii="Times New Roman" w:hAnsi="Times New Roman" w:cs="Times New Roman"/>
          <w:sz w:val="24"/>
          <w:szCs w:val="24"/>
        </w:rPr>
      </w:pPr>
      <w:r w:rsidRPr="00CF0E64">
        <w:rPr>
          <w:rFonts w:ascii="Times New Roman" w:eastAsia="Arial Unicode MS" w:hAnsi="Times New Roman" w:cs="Times New Roman"/>
          <w:kern w:val="1"/>
          <w:sz w:val="24"/>
          <w:szCs w:val="24"/>
          <w:lang w:eastAsia="ar-SA"/>
        </w:rPr>
        <w:t xml:space="preserve">V § 24b je upravené prechodné ustanovenie týkajúce sa oznamovania informácií o postavení, na základe ktorého je osoba podliehajúca oznamovaniu ovládajúcou osobou alebo držiteľom majetkového podielu subjektu. V súvislosti s účtom podliehajúcim oznamovaniu, ktorý vedie oznamujúca finančná inštitúcia k 31. decembru 2025 a za oznamovacie obdobia končiace sa druhým kalendárnym rokom po tomto dátume, oznamujúca finančná inštitúcia je povinná oznamovať informácie týkajúce sa postavenia, na </w:t>
      </w:r>
      <w:r w:rsidRPr="00CF0E64">
        <w:rPr>
          <w:rFonts w:ascii="Times New Roman" w:hAnsi="Times New Roman" w:cs="Times New Roman"/>
          <w:sz w:val="24"/>
          <w:szCs w:val="24"/>
        </w:rPr>
        <w:t>základe ktorého je jednotlivá osoba podliehajúca oznamovaniu ovládajúcou osobou alebo držiteľom majetkového podielu subjektu, len ak sú dostupné v údajoch uchovávaných oznamujúcou finančnou inštitúciou, ktoré možno elektronicky vyhľadávať.</w:t>
      </w:r>
    </w:p>
    <w:p w14:paraId="264CB6E8" w14:textId="4C4F0A44" w:rsidR="002118F4" w:rsidRPr="00CF0E64" w:rsidRDefault="00A3557E"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Prvé oznamovacie obdobie, za ktoré sa budú informácie v zmysle doplneného štandardu oznamovania (CRS) a informácie o </w:t>
      </w:r>
      <w:proofErr w:type="spellStart"/>
      <w:r w:rsidRPr="00CF0E64">
        <w:rPr>
          <w:rFonts w:ascii="Times New Roman" w:hAnsi="Times New Roman" w:cs="Times New Roman"/>
          <w:sz w:val="24"/>
          <w:szCs w:val="24"/>
        </w:rPr>
        <w:t>kryptoaktívach</w:t>
      </w:r>
      <w:proofErr w:type="spellEnd"/>
      <w:r w:rsidRPr="00CF0E64">
        <w:rPr>
          <w:rFonts w:ascii="Times New Roman" w:hAnsi="Times New Roman" w:cs="Times New Roman"/>
          <w:sz w:val="24"/>
          <w:szCs w:val="24"/>
        </w:rPr>
        <w:t xml:space="preserve"> oznamovať, je </w:t>
      </w:r>
      <w:r w:rsidR="00C6078B" w:rsidRPr="00CF0E64">
        <w:rPr>
          <w:rFonts w:ascii="Times New Roman" w:hAnsi="Times New Roman" w:cs="Times New Roman"/>
          <w:sz w:val="24"/>
          <w:szCs w:val="24"/>
        </w:rPr>
        <w:t>kalendárny rok alebo iné primerané oznamovacie obdobie od 1. januára 2026</w:t>
      </w:r>
      <w:r w:rsidRPr="00CF0E64">
        <w:rPr>
          <w:rFonts w:ascii="Times New Roman" w:hAnsi="Times New Roman" w:cs="Times New Roman"/>
          <w:sz w:val="24"/>
          <w:szCs w:val="24"/>
        </w:rPr>
        <w:t xml:space="preserve">. </w:t>
      </w:r>
    </w:p>
    <w:p w14:paraId="062A8523" w14:textId="77777777" w:rsidR="008C1A6E" w:rsidRPr="00CF0E64" w:rsidRDefault="008C1A6E" w:rsidP="008C1A6E">
      <w:pPr>
        <w:spacing w:after="0" w:line="252" w:lineRule="auto"/>
        <w:jc w:val="both"/>
        <w:rPr>
          <w:rFonts w:ascii="Times New Roman" w:hAnsi="Times New Roman" w:cs="Times New Roman"/>
          <w:sz w:val="24"/>
          <w:szCs w:val="24"/>
        </w:rPr>
      </w:pPr>
    </w:p>
    <w:p w14:paraId="1D119DD8" w14:textId="0F49A43A" w:rsidR="00A3557E" w:rsidRPr="00CF0E64" w:rsidRDefault="00A3557E" w:rsidP="008C1A6E">
      <w:pPr>
        <w:spacing w:after="0" w:line="252" w:lineRule="auto"/>
        <w:jc w:val="both"/>
        <w:rPr>
          <w:rFonts w:ascii="Times New Roman" w:hAnsi="Times New Roman" w:cs="Times New Roman"/>
          <w:b/>
          <w:sz w:val="24"/>
          <w:szCs w:val="24"/>
          <w:u w:val="single"/>
        </w:rPr>
      </w:pPr>
      <w:r w:rsidRPr="00CF0E64">
        <w:rPr>
          <w:rFonts w:ascii="Times New Roman" w:hAnsi="Times New Roman" w:cs="Times New Roman"/>
          <w:b/>
          <w:sz w:val="24"/>
          <w:szCs w:val="24"/>
          <w:u w:val="single"/>
        </w:rPr>
        <w:t>K bodu 4</w:t>
      </w:r>
      <w:r w:rsidR="00A450E6" w:rsidRPr="00CF0E64">
        <w:rPr>
          <w:rFonts w:ascii="Times New Roman" w:hAnsi="Times New Roman" w:cs="Times New Roman"/>
          <w:b/>
          <w:sz w:val="24"/>
          <w:szCs w:val="24"/>
          <w:u w:val="single"/>
        </w:rPr>
        <w:t>8</w:t>
      </w:r>
      <w:r w:rsidRPr="00CF0E64">
        <w:rPr>
          <w:rFonts w:ascii="Times New Roman" w:hAnsi="Times New Roman" w:cs="Times New Roman"/>
          <w:b/>
          <w:sz w:val="24"/>
          <w:szCs w:val="24"/>
          <w:u w:val="single"/>
        </w:rPr>
        <w:t xml:space="preserve"> – Príloha k zákonu</w:t>
      </w:r>
    </w:p>
    <w:p w14:paraId="2EF9595F" w14:textId="1E290453" w:rsidR="00A3557E" w:rsidRPr="00CF0E64" w:rsidRDefault="00A3557E"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Do zoznamu príloh sa dopĺňa smernica (EÚ) 2023/2226. </w:t>
      </w:r>
    </w:p>
    <w:p w14:paraId="1B48BBBE" w14:textId="6B4C2C0F" w:rsidR="008C1A6E" w:rsidRPr="00CF0E64" w:rsidRDefault="008C1A6E" w:rsidP="008C1A6E">
      <w:pPr>
        <w:suppressAutoHyphens/>
        <w:spacing w:after="0" w:line="252" w:lineRule="auto"/>
        <w:rPr>
          <w:rFonts w:ascii="Times New Roman" w:eastAsia="Arial Unicode MS" w:hAnsi="Times New Roman" w:cs="Times New Roman"/>
          <w:b/>
          <w:kern w:val="1"/>
          <w:sz w:val="24"/>
          <w:szCs w:val="24"/>
          <w:lang w:eastAsia="ar-SA"/>
        </w:rPr>
      </w:pPr>
    </w:p>
    <w:p w14:paraId="64431D14" w14:textId="79164105" w:rsidR="003A5C40" w:rsidRPr="00CF0E64" w:rsidRDefault="003A5C40" w:rsidP="008C1A6E">
      <w:pPr>
        <w:suppressAutoHyphens/>
        <w:spacing w:after="0" w:line="252" w:lineRule="auto"/>
        <w:rPr>
          <w:rFonts w:ascii="Times New Roman" w:eastAsia="Arial Unicode MS" w:hAnsi="Times New Roman" w:cs="Times New Roman"/>
          <w:b/>
          <w:kern w:val="1"/>
          <w:sz w:val="24"/>
          <w:szCs w:val="24"/>
          <w:lang w:eastAsia="ar-SA"/>
        </w:rPr>
      </w:pPr>
      <w:r w:rsidRPr="00CF0E64">
        <w:rPr>
          <w:rFonts w:ascii="Times New Roman" w:eastAsia="Arial Unicode MS" w:hAnsi="Times New Roman" w:cs="Times New Roman"/>
          <w:b/>
          <w:kern w:val="1"/>
          <w:sz w:val="24"/>
          <w:szCs w:val="24"/>
          <w:lang w:eastAsia="ar-SA"/>
        </w:rPr>
        <w:t>K Čl. II</w:t>
      </w:r>
    </w:p>
    <w:p w14:paraId="3A210AAF" w14:textId="77777777" w:rsidR="003A5C40" w:rsidRPr="00CF0E64" w:rsidRDefault="003A5C40" w:rsidP="008C1A6E">
      <w:pPr>
        <w:suppressAutoHyphens/>
        <w:spacing w:after="0" w:line="252" w:lineRule="auto"/>
        <w:rPr>
          <w:rFonts w:ascii="Times New Roman" w:eastAsia="Arial Unicode MS" w:hAnsi="Times New Roman" w:cs="Times New Roman"/>
          <w:b/>
          <w:kern w:val="1"/>
          <w:sz w:val="24"/>
          <w:szCs w:val="24"/>
          <w:lang w:eastAsia="ar-SA"/>
        </w:rPr>
      </w:pPr>
    </w:p>
    <w:p w14:paraId="71EFB89E" w14:textId="70DCD100" w:rsidR="003A5C40" w:rsidRPr="00CF0E64" w:rsidRDefault="003A5C40" w:rsidP="003A5C40">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1 - § 18 ods. 2</w:t>
      </w:r>
    </w:p>
    <w:p w14:paraId="20905E24" w14:textId="172E1087" w:rsidR="003A5C40" w:rsidRPr="00CF0E64" w:rsidRDefault="003A5C40" w:rsidP="003A5C40">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Úprava povinnosti zachovávať mlčanlivosť pri výkone činnosti daňového poradcu ako profesijnej činnosti reaguje na zmeny súvisiace s úpravou v článku III  bode 17 tejto novely </w:t>
      </w:r>
      <w:r w:rsidR="00A450E6" w:rsidRPr="00CF0E64">
        <w:rPr>
          <w:rFonts w:ascii="Times New Roman" w:eastAsia="Arial Unicode MS" w:hAnsi="Times New Roman" w:cs="Times New Roman"/>
          <w:kern w:val="1"/>
          <w:sz w:val="24"/>
          <w:szCs w:val="24"/>
          <w:lang w:eastAsia="ar-SA"/>
        </w:rPr>
        <w:t xml:space="preserve">     </w:t>
      </w:r>
      <w:r w:rsidRPr="00CF0E64">
        <w:rPr>
          <w:rFonts w:ascii="Times New Roman" w:eastAsia="Arial Unicode MS" w:hAnsi="Times New Roman" w:cs="Times New Roman"/>
          <w:kern w:val="1"/>
          <w:sz w:val="24"/>
          <w:szCs w:val="24"/>
          <w:lang w:eastAsia="ar-SA"/>
        </w:rPr>
        <w:t>(§</w:t>
      </w:r>
      <w:r w:rsidR="00A450E6" w:rsidRPr="00CF0E64">
        <w:rPr>
          <w:rFonts w:ascii="Times New Roman" w:eastAsia="Arial Unicode MS" w:hAnsi="Times New Roman" w:cs="Times New Roman"/>
          <w:kern w:val="1"/>
          <w:sz w:val="24"/>
          <w:szCs w:val="24"/>
          <w:lang w:eastAsia="ar-SA"/>
        </w:rPr>
        <w:t xml:space="preserve"> </w:t>
      </w:r>
      <w:r w:rsidRPr="00CF0E64">
        <w:rPr>
          <w:rFonts w:ascii="Times New Roman" w:eastAsia="Arial Unicode MS" w:hAnsi="Times New Roman" w:cs="Times New Roman"/>
          <w:kern w:val="1"/>
          <w:sz w:val="24"/>
          <w:szCs w:val="24"/>
          <w:lang w:eastAsia="ar-SA"/>
        </w:rPr>
        <w:t xml:space="preserve">8b ods. 2 zákon č. 359/2015 Z. z. o automatickej výmene informácií o finančných účtoch na účely správy daní a o zmene a doplnení niektorých zákonov v znení neskorších predpisov) a rovnako reaguje na rozsudok Súdneho dvora Európskej únie vo veci C-623/22 </w:t>
      </w:r>
      <w:proofErr w:type="spellStart"/>
      <w:r w:rsidRPr="00CF0E64">
        <w:rPr>
          <w:rFonts w:ascii="Times New Roman" w:eastAsia="Arial Unicode MS" w:hAnsi="Times New Roman" w:cs="Times New Roman"/>
          <w:kern w:val="1"/>
          <w:sz w:val="24"/>
          <w:szCs w:val="24"/>
          <w:lang w:eastAsia="ar-SA"/>
        </w:rPr>
        <w:t>Belgian</w:t>
      </w:r>
      <w:proofErr w:type="spellEnd"/>
      <w:r w:rsidRPr="00CF0E64">
        <w:rPr>
          <w:rFonts w:ascii="Times New Roman" w:eastAsia="Arial Unicode MS" w:hAnsi="Times New Roman" w:cs="Times New Roman"/>
          <w:kern w:val="1"/>
          <w:sz w:val="24"/>
          <w:szCs w:val="24"/>
          <w:lang w:eastAsia="ar-SA"/>
        </w:rPr>
        <w:t xml:space="preserve"> Association of </w:t>
      </w:r>
      <w:proofErr w:type="spellStart"/>
      <w:r w:rsidRPr="00CF0E64">
        <w:rPr>
          <w:rFonts w:ascii="Times New Roman" w:eastAsia="Arial Unicode MS" w:hAnsi="Times New Roman" w:cs="Times New Roman"/>
          <w:kern w:val="1"/>
          <w:sz w:val="24"/>
          <w:szCs w:val="24"/>
          <w:lang w:eastAsia="ar-SA"/>
        </w:rPr>
        <w:t>Tax</w:t>
      </w:r>
      <w:proofErr w:type="spellEnd"/>
      <w:r w:rsidRPr="00CF0E64">
        <w:rPr>
          <w:rFonts w:ascii="Times New Roman" w:eastAsia="Arial Unicode MS" w:hAnsi="Times New Roman" w:cs="Times New Roman"/>
          <w:kern w:val="1"/>
          <w:sz w:val="24"/>
          <w:szCs w:val="24"/>
          <w:lang w:eastAsia="ar-SA"/>
        </w:rPr>
        <w:t xml:space="preserve"> </w:t>
      </w:r>
      <w:proofErr w:type="spellStart"/>
      <w:r w:rsidRPr="00CF0E64">
        <w:rPr>
          <w:rFonts w:ascii="Times New Roman" w:eastAsia="Arial Unicode MS" w:hAnsi="Times New Roman" w:cs="Times New Roman"/>
          <w:kern w:val="1"/>
          <w:sz w:val="24"/>
          <w:szCs w:val="24"/>
          <w:lang w:eastAsia="ar-SA"/>
        </w:rPr>
        <w:t>Lawyers</w:t>
      </w:r>
      <w:proofErr w:type="spellEnd"/>
      <w:r w:rsidRPr="00CF0E64">
        <w:rPr>
          <w:rFonts w:ascii="Times New Roman" w:eastAsia="Arial Unicode MS" w:hAnsi="Times New Roman" w:cs="Times New Roman"/>
          <w:kern w:val="1"/>
          <w:sz w:val="24"/>
          <w:szCs w:val="24"/>
          <w:lang w:eastAsia="ar-SA"/>
        </w:rPr>
        <w:t xml:space="preserve"> a i. v. </w:t>
      </w:r>
      <w:proofErr w:type="spellStart"/>
      <w:r w:rsidRPr="00CF0E64">
        <w:rPr>
          <w:rFonts w:ascii="Times New Roman" w:eastAsia="Arial Unicode MS" w:hAnsi="Times New Roman" w:cs="Times New Roman"/>
          <w:kern w:val="1"/>
          <w:sz w:val="24"/>
          <w:szCs w:val="24"/>
          <w:lang w:eastAsia="ar-SA"/>
        </w:rPr>
        <w:t>Premier</w:t>
      </w:r>
      <w:proofErr w:type="spellEnd"/>
      <w:r w:rsidRPr="00CF0E64">
        <w:rPr>
          <w:rFonts w:ascii="Times New Roman" w:eastAsia="Arial Unicode MS" w:hAnsi="Times New Roman" w:cs="Times New Roman"/>
          <w:kern w:val="1"/>
          <w:sz w:val="24"/>
          <w:szCs w:val="24"/>
          <w:lang w:eastAsia="ar-SA"/>
        </w:rPr>
        <w:t xml:space="preserve"> </w:t>
      </w:r>
      <w:proofErr w:type="spellStart"/>
      <w:r w:rsidRPr="00CF0E64">
        <w:rPr>
          <w:rFonts w:ascii="Times New Roman" w:eastAsia="Arial Unicode MS" w:hAnsi="Times New Roman" w:cs="Times New Roman"/>
          <w:kern w:val="1"/>
          <w:sz w:val="24"/>
          <w:szCs w:val="24"/>
          <w:lang w:eastAsia="ar-SA"/>
        </w:rPr>
        <w:t>ministre</w:t>
      </w:r>
      <w:proofErr w:type="spellEnd"/>
      <w:r w:rsidRPr="00CF0E64">
        <w:rPr>
          <w:rFonts w:ascii="Times New Roman" w:eastAsia="Arial Unicode MS" w:hAnsi="Times New Roman" w:cs="Times New Roman"/>
          <w:kern w:val="1"/>
          <w:sz w:val="24"/>
          <w:szCs w:val="24"/>
          <w:lang w:eastAsia="ar-SA"/>
        </w:rPr>
        <w:t>/</w:t>
      </w:r>
      <w:proofErr w:type="spellStart"/>
      <w:r w:rsidRPr="00CF0E64">
        <w:rPr>
          <w:rFonts w:ascii="Times New Roman" w:eastAsia="Arial Unicode MS" w:hAnsi="Times New Roman" w:cs="Times New Roman"/>
          <w:kern w:val="1"/>
          <w:sz w:val="24"/>
          <w:szCs w:val="24"/>
          <w:lang w:eastAsia="ar-SA"/>
        </w:rPr>
        <w:t>Eerste</w:t>
      </w:r>
      <w:proofErr w:type="spellEnd"/>
      <w:r w:rsidRPr="00CF0E64">
        <w:rPr>
          <w:rFonts w:ascii="Times New Roman" w:eastAsia="Arial Unicode MS" w:hAnsi="Times New Roman" w:cs="Times New Roman"/>
          <w:kern w:val="1"/>
          <w:sz w:val="24"/>
          <w:szCs w:val="24"/>
          <w:lang w:eastAsia="ar-SA"/>
        </w:rPr>
        <w:t xml:space="preserve"> Minister. </w:t>
      </w:r>
    </w:p>
    <w:p w14:paraId="5D7850C3" w14:textId="624AE09D" w:rsidR="003A5C40" w:rsidRPr="00CF0E64" w:rsidRDefault="003A5C40" w:rsidP="003A5C40">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Súdny dvor v predmetnom konaní vyjadril názor, že výnimka z podávania informácií sa vzťahuje len na osoby, ktoré vykonávajú svoju profesijnú činnosť pod niektorým z profesijných titulov uvedených v článku 1 ods. 2 písm. a) smernice Európskeho parlamentu a Rady 98/5/ES zo 16. februára 1998 o uľahčení trvalého výkonu právnického povolania v inom členskom štáte ako v tom, kde bola získaná kvalifikácia. Rovnako sa tak v predmetnom konaní vyjadrila aj Rada Európskej únie, ktorá uviedla, že pokiaľ ide o povinnosť zachovávať mlčanlivosť, nie je odôvodnené priznať sprostredkovateľom, ktorí nie sú advokátmi, rovnakú ochranu ako advokátom.</w:t>
      </w:r>
    </w:p>
    <w:p w14:paraId="6BBF1FD4" w14:textId="79A39EB8" w:rsidR="003A5C40" w:rsidRPr="00CF0E64" w:rsidRDefault="003A5C40" w:rsidP="003A5C40">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Preto je za účelom zabezpečenia plnenia úloh vyplývajúcich zo smernice Rady (EÚ) 2018/822 z 25. mája 2018, ktorou sa mení smernica 2011/16/EÚ, pokiaľ ide o povinnú automatickú výmenu informácií v oblasti daní v súvislosti s cezhraničnými opatreniami podliehajúcimi oznamovaniu</w:t>
      </w:r>
      <w:r w:rsidR="007C4047">
        <w:rPr>
          <w:rFonts w:ascii="Times New Roman" w:eastAsia="Arial Unicode MS" w:hAnsi="Times New Roman" w:cs="Times New Roman"/>
          <w:kern w:val="1"/>
          <w:sz w:val="24"/>
          <w:szCs w:val="24"/>
          <w:lang w:eastAsia="ar-SA"/>
        </w:rPr>
        <w:t xml:space="preserve"> (ďalej len „smernica 2018/822“)</w:t>
      </w:r>
      <w:r w:rsidRPr="00CF0E64">
        <w:rPr>
          <w:rFonts w:ascii="Times New Roman" w:eastAsia="Arial Unicode MS" w:hAnsi="Times New Roman" w:cs="Times New Roman"/>
          <w:kern w:val="1"/>
          <w:sz w:val="24"/>
          <w:szCs w:val="24"/>
          <w:lang w:eastAsia="ar-SA"/>
        </w:rPr>
        <w:t xml:space="preserve">, potrebné upraviť aj povinnosť zachovávať mlčanlivosť pri profesijnej činnosti daňového poradcu. </w:t>
      </w:r>
    </w:p>
    <w:p w14:paraId="1E3503CD" w14:textId="5BBCDD0E" w:rsidR="003A5C40" w:rsidRPr="00CF0E64" w:rsidRDefault="003A5C40" w:rsidP="003A5C40">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Úprava sa vykonáva so zreteľom na vyššie uvedené skutočnosti a tiež vzhľadom na odporúčania OECD vyplývajúce z partnerského hodnotenia (</w:t>
      </w:r>
      <w:proofErr w:type="spellStart"/>
      <w:r w:rsidRPr="00CF0E64">
        <w:rPr>
          <w:rFonts w:ascii="Times New Roman" w:eastAsia="Arial Unicode MS" w:hAnsi="Times New Roman" w:cs="Times New Roman"/>
          <w:kern w:val="1"/>
          <w:sz w:val="24"/>
          <w:szCs w:val="24"/>
          <w:lang w:eastAsia="ar-SA"/>
        </w:rPr>
        <w:t>peer</w:t>
      </w:r>
      <w:proofErr w:type="spellEnd"/>
      <w:r w:rsidRPr="00CF0E64">
        <w:rPr>
          <w:rFonts w:ascii="Times New Roman" w:eastAsia="Arial Unicode MS" w:hAnsi="Times New Roman" w:cs="Times New Roman"/>
          <w:kern w:val="1"/>
          <w:sz w:val="24"/>
          <w:szCs w:val="24"/>
          <w:lang w:eastAsia="ar-SA"/>
        </w:rPr>
        <w:t xml:space="preserve"> </w:t>
      </w:r>
      <w:proofErr w:type="spellStart"/>
      <w:r w:rsidRPr="00CF0E64">
        <w:rPr>
          <w:rFonts w:ascii="Times New Roman" w:eastAsia="Arial Unicode MS" w:hAnsi="Times New Roman" w:cs="Times New Roman"/>
          <w:kern w:val="1"/>
          <w:sz w:val="24"/>
          <w:szCs w:val="24"/>
          <w:lang w:eastAsia="ar-SA"/>
        </w:rPr>
        <w:t>review</w:t>
      </w:r>
      <w:proofErr w:type="spellEnd"/>
      <w:r w:rsidRPr="00CF0E64">
        <w:rPr>
          <w:rFonts w:ascii="Times New Roman" w:eastAsia="Arial Unicode MS" w:hAnsi="Times New Roman" w:cs="Times New Roman"/>
          <w:kern w:val="1"/>
          <w:sz w:val="24"/>
          <w:szCs w:val="24"/>
          <w:lang w:eastAsia="ar-SA"/>
        </w:rPr>
        <w:t xml:space="preserve">) Globálneho fóra pre daňovú transparentnosť a výmenu informácií, podľa ktorého je potrebné, aby Slovenská </w:t>
      </w:r>
      <w:r w:rsidRPr="00CF0E64">
        <w:rPr>
          <w:rFonts w:ascii="Times New Roman" w:eastAsia="Arial Unicode MS" w:hAnsi="Times New Roman" w:cs="Times New Roman"/>
          <w:kern w:val="1"/>
          <w:sz w:val="24"/>
          <w:szCs w:val="24"/>
          <w:lang w:eastAsia="ar-SA"/>
        </w:rPr>
        <w:lastRenderedPageBreak/>
        <w:t xml:space="preserve">republika vo svojich domácich vnútroštátnych právnych predpisoch ďalej obmedzila rozsah ochrany pod pojmom „služobné (profesijné) tajomstvo“ tak, aby bola v súlade so štandardom na účely dohôd o výmene informácií. </w:t>
      </w:r>
    </w:p>
    <w:p w14:paraId="21B285DB" w14:textId="77777777" w:rsidR="00E73472" w:rsidRDefault="00E73472" w:rsidP="00E73472">
      <w:pPr>
        <w:spacing w:after="0" w:line="252" w:lineRule="auto"/>
        <w:jc w:val="both"/>
        <w:rPr>
          <w:rFonts w:ascii="Times New Roman" w:eastAsia="Arial Unicode MS" w:hAnsi="Times New Roman" w:cs="Times New Roman"/>
          <w:kern w:val="1"/>
          <w:sz w:val="24"/>
          <w:szCs w:val="24"/>
          <w:lang w:eastAsia="ar-SA"/>
        </w:rPr>
      </w:pPr>
      <w:r w:rsidRPr="005D5CA0">
        <w:rPr>
          <w:rFonts w:ascii="Times New Roman" w:eastAsia="Arial Unicode MS" w:hAnsi="Times New Roman" w:cs="Times New Roman"/>
          <w:kern w:val="1"/>
          <w:sz w:val="24"/>
          <w:szCs w:val="24"/>
          <w:lang w:eastAsia="ar-SA"/>
        </w:rPr>
        <w:t>Daňový poradca už nebude povinný zachovávať mlčanlivosť</w:t>
      </w:r>
      <w:r>
        <w:rPr>
          <w:rFonts w:ascii="Times New Roman" w:eastAsia="Arial Unicode MS" w:hAnsi="Times New Roman" w:cs="Times New Roman"/>
          <w:kern w:val="1"/>
          <w:sz w:val="24"/>
          <w:szCs w:val="24"/>
          <w:lang w:eastAsia="ar-SA"/>
        </w:rPr>
        <w:t xml:space="preserve"> </w:t>
      </w:r>
      <w:r w:rsidRPr="005D5CA0">
        <w:rPr>
          <w:rFonts w:ascii="Times New Roman" w:eastAsia="Arial Unicode MS" w:hAnsi="Times New Roman" w:cs="Times New Roman"/>
          <w:kern w:val="1"/>
          <w:sz w:val="24"/>
          <w:szCs w:val="24"/>
          <w:lang w:eastAsia="ar-SA"/>
        </w:rPr>
        <w:t>na účely poskytovania medzinárodnej</w:t>
      </w:r>
      <w:r>
        <w:rPr>
          <w:rFonts w:ascii="Times New Roman" w:eastAsia="Arial Unicode MS" w:hAnsi="Times New Roman" w:cs="Times New Roman"/>
          <w:kern w:val="1"/>
          <w:sz w:val="24"/>
          <w:szCs w:val="24"/>
          <w:lang w:eastAsia="ar-SA"/>
        </w:rPr>
        <w:t xml:space="preserve"> pomoci pri</w:t>
      </w:r>
      <w:r w:rsidRPr="005D5CA0">
        <w:rPr>
          <w:rFonts w:ascii="Times New Roman" w:eastAsia="Arial Unicode MS" w:hAnsi="Times New Roman" w:cs="Times New Roman"/>
          <w:kern w:val="1"/>
          <w:sz w:val="24"/>
          <w:szCs w:val="24"/>
          <w:lang w:eastAsia="ar-SA"/>
        </w:rPr>
        <w:t xml:space="preserve"> správe daní v súvislosti s plnením povinností vyplývajúcich s osobitných predpisov ako napríklad zákon č. 442/2012 Z. z. o medzinárodnej pomoci a spolupráci pri správe daní v znení neskorších predpisov v spojení s Daňovým poriadkom, a musí byť súčinný s príslušným orgánom finančnej správy</w:t>
      </w:r>
      <w:r>
        <w:rPr>
          <w:rFonts w:ascii="Times New Roman" w:eastAsia="Arial Unicode MS" w:hAnsi="Times New Roman" w:cs="Times New Roman"/>
          <w:kern w:val="1"/>
          <w:sz w:val="24"/>
          <w:szCs w:val="24"/>
          <w:lang w:eastAsia="ar-SA"/>
        </w:rPr>
        <w:t xml:space="preserve"> </w:t>
      </w:r>
      <w:r w:rsidRPr="005D5CA0">
        <w:rPr>
          <w:rFonts w:ascii="Times New Roman" w:eastAsia="Arial Unicode MS" w:hAnsi="Times New Roman" w:cs="Times New Roman"/>
          <w:kern w:val="1"/>
          <w:sz w:val="24"/>
          <w:szCs w:val="24"/>
          <w:lang w:eastAsia="ar-SA"/>
        </w:rPr>
        <w:t>na účely poskytovania medzinárodnej</w:t>
      </w:r>
      <w:r>
        <w:rPr>
          <w:rFonts w:ascii="Times New Roman" w:eastAsia="Arial Unicode MS" w:hAnsi="Times New Roman" w:cs="Times New Roman"/>
          <w:kern w:val="1"/>
          <w:sz w:val="24"/>
          <w:szCs w:val="24"/>
          <w:lang w:eastAsia="ar-SA"/>
        </w:rPr>
        <w:t xml:space="preserve"> pomoci pri</w:t>
      </w:r>
      <w:r w:rsidRPr="005D5CA0">
        <w:rPr>
          <w:rFonts w:ascii="Times New Roman" w:eastAsia="Arial Unicode MS" w:hAnsi="Times New Roman" w:cs="Times New Roman"/>
          <w:kern w:val="1"/>
          <w:sz w:val="24"/>
          <w:szCs w:val="24"/>
          <w:lang w:eastAsia="ar-SA"/>
        </w:rPr>
        <w:t xml:space="preserve"> správe daní. </w:t>
      </w:r>
      <w:r>
        <w:rPr>
          <w:rFonts w:ascii="Times New Roman" w:eastAsia="Arial Unicode MS" w:hAnsi="Times New Roman" w:cs="Times New Roman"/>
          <w:kern w:val="1"/>
          <w:sz w:val="24"/>
          <w:szCs w:val="24"/>
          <w:lang w:eastAsia="ar-SA"/>
        </w:rPr>
        <w:t xml:space="preserve">Navrhovanou zmenou nevzniká daňovému poradcovi nová povinnosť súčinnosti. Takáto súčinnosť je potrebná napríklad v situácii, keď príslušný orgán Slovenskej republiky dostane žiadosť v rámci výmeny informácií na požiadanie (§ 6 zákona č. 442/2012 Z. z.) a požadované informácie alebo dokumenty sú k dispozícii u daňového poradcu. Daňový poradca musí v tomto prípade požadované informácie poskytnúť a nemôže ju odmietnuť s odvolaním sa na povinnosť mlčanlivosti. </w:t>
      </w:r>
      <w:r w:rsidRPr="005D5CA0">
        <w:rPr>
          <w:rFonts w:ascii="Times New Roman" w:eastAsia="Arial Unicode MS" w:hAnsi="Times New Roman" w:cs="Times New Roman"/>
          <w:kern w:val="1"/>
          <w:sz w:val="24"/>
          <w:szCs w:val="24"/>
          <w:lang w:eastAsia="ar-SA"/>
        </w:rPr>
        <w:t>Navrhovaná zmena sleduje zvýšenie efektivity pri cezhraničnej výmene informácií, ako aj v boji proti nežiadúcemu správaniu</w:t>
      </w:r>
      <w:r>
        <w:rPr>
          <w:rFonts w:ascii="Times New Roman" w:eastAsia="Arial Unicode MS" w:hAnsi="Times New Roman" w:cs="Times New Roman"/>
          <w:kern w:val="1"/>
          <w:sz w:val="24"/>
          <w:szCs w:val="24"/>
          <w:lang w:eastAsia="ar-SA"/>
        </w:rPr>
        <w:t xml:space="preserve"> subjektov v daňovej oblasti.</w:t>
      </w:r>
    </w:p>
    <w:p w14:paraId="0416F14C" w14:textId="77777777" w:rsidR="003A5C40" w:rsidRPr="00CF0E64" w:rsidRDefault="003A5C40" w:rsidP="003A5C40">
      <w:pPr>
        <w:spacing w:after="0" w:line="252" w:lineRule="auto"/>
        <w:jc w:val="both"/>
        <w:rPr>
          <w:rFonts w:ascii="Times New Roman" w:eastAsia="Arial Unicode MS" w:hAnsi="Times New Roman" w:cs="Times New Roman"/>
          <w:kern w:val="1"/>
          <w:sz w:val="24"/>
          <w:szCs w:val="24"/>
          <w:lang w:eastAsia="ar-SA"/>
        </w:rPr>
      </w:pPr>
    </w:p>
    <w:p w14:paraId="7F33A8E1" w14:textId="77777777" w:rsidR="003A5C40" w:rsidRPr="00CF0E64" w:rsidRDefault="003A5C40" w:rsidP="003A5C40">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2 - § 28 sa ods. 6</w:t>
      </w:r>
    </w:p>
    <w:p w14:paraId="7BE2A962" w14:textId="77777777" w:rsidR="003A5C40" w:rsidRPr="00CF0E64" w:rsidRDefault="003A5C40" w:rsidP="003A5C40">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Za účelom „uvoľnenia“ možnosti vykonávať profesijnú činnosť daňového poradcu sa navrhuje úprava podmienky bezúhonnosti pre výkon tejto profesie. Navrhuje sa, aby daňovým poradcom mohla byť osoba, ktorá spáchala určitý trestný čin napríklad dvojmanželstvo alebo neoprávnené uskutočňovanie stavby. Spáchanie takýchto trestných činov, aj keď spoločensky neprípustné, nemá priamo nič spoločné s charakterom činnosti daňového poradcu a takáto osoba, aj keď odsúdená, by nemala byť automaticky považovaná za nevhodnú pre výkon takejto profesie. Naopak naďalej nebude umožnené vykonávať činnosť daňového poradcu osobám, ktoré boli odsúdené za trestné činy proti majetku, hospodárske, republike a proti verejným veciam. Tak isto nebude môcť vykonávať činnosť daňového poradcu osoba, ktorá spáchala trestný čin, ktorý sa podľa Trestného zákona považuje za obzvlášť závažný zločin.</w:t>
      </w:r>
    </w:p>
    <w:p w14:paraId="6427510C" w14:textId="46E1E54C" w:rsidR="003A5C40" w:rsidRPr="00CF0E64" w:rsidRDefault="003A5C40" w:rsidP="008C1A6E">
      <w:pPr>
        <w:suppressAutoHyphens/>
        <w:spacing w:after="0" w:line="252" w:lineRule="auto"/>
        <w:rPr>
          <w:rFonts w:ascii="Times New Roman" w:eastAsia="Arial Unicode MS" w:hAnsi="Times New Roman" w:cs="Times New Roman"/>
          <w:b/>
          <w:kern w:val="1"/>
          <w:sz w:val="24"/>
          <w:szCs w:val="24"/>
          <w:lang w:eastAsia="ar-SA"/>
        </w:rPr>
      </w:pPr>
    </w:p>
    <w:p w14:paraId="63266215" w14:textId="77777777" w:rsidR="00A450E6" w:rsidRPr="00CF0E64" w:rsidRDefault="00A450E6" w:rsidP="008C1A6E">
      <w:pPr>
        <w:suppressAutoHyphens/>
        <w:spacing w:after="0" w:line="252" w:lineRule="auto"/>
        <w:rPr>
          <w:rFonts w:ascii="Times New Roman" w:eastAsia="Arial Unicode MS" w:hAnsi="Times New Roman" w:cs="Times New Roman"/>
          <w:b/>
          <w:kern w:val="1"/>
          <w:sz w:val="24"/>
          <w:szCs w:val="24"/>
          <w:lang w:eastAsia="ar-SA"/>
        </w:rPr>
      </w:pPr>
    </w:p>
    <w:p w14:paraId="1A29FA1B" w14:textId="1C499EB3" w:rsidR="0011006D" w:rsidRPr="00CF0E64" w:rsidRDefault="00A3557E" w:rsidP="008C1A6E">
      <w:pPr>
        <w:suppressAutoHyphens/>
        <w:spacing w:after="0" w:line="252" w:lineRule="auto"/>
        <w:rPr>
          <w:rFonts w:ascii="Times New Roman" w:eastAsia="Arial Unicode MS" w:hAnsi="Times New Roman" w:cs="Times New Roman"/>
          <w:b/>
          <w:kern w:val="1"/>
          <w:sz w:val="24"/>
          <w:szCs w:val="24"/>
          <w:lang w:eastAsia="ar-SA"/>
        </w:rPr>
      </w:pPr>
      <w:r w:rsidRPr="00CF0E64">
        <w:rPr>
          <w:rFonts w:ascii="Times New Roman" w:eastAsia="Arial Unicode MS" w:hAnsi="Times New Roman" w:cs="Times New Roman"/>
          <w:b/>
          <w:kern w:val="1"/>
          <w:sz w:val="24"/>
          <w:szCs w:val="24"/>
          <w:lang w:eastAsia="ar-SA"/>
        </w:rPr>
        <w:t>K Čl. II</w:t>
      </w:r>
      <w:r w:rsidR="003A5C40" w:rsidRPr="00CF0E64">
        <w:rPr>
          <w:rFonts w:ascii="Times New Roman" w:eastAsia="Arial Unicode MS" w:hAnsi="Times New Roman" w:cs="Times New Roman"/>
          <w:b/>
          <w:kern w:val="1"/>
          <w:sz w:val="24"/>
          <w:szCs w:val="24"/>
          <w:lang w:eastAsia="ar-SA"/>
        </w:rPr>
        <w:t>I</w:t>
      </w:r>
    </w:p>
    <w:p w14:paraId="27626391" w14:textId="6CC741CD" w:rsidR="00A3557E" w:rsidRPr="00CF0E64" w:rsidRDefault="00A3557E" w:rsidP="008C1A6E">
      <w:pPr>
        <w:suppressAutoHyphens/>
        <w:spacing w:before="120" w:after="0" w:line="252" w:lineRule="auto"/>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 xml:space="preserve">K bodu </w:t>
      </w:r>
      <w:r w:rsidR="0011006D" w:rsidRPr="00CF0E64">
        <w:rPr>
          <w:rFonts w:ascii="Times New Roman" w:eastAsia="Arial Unicode MS" w:hAnsi="Times New Roman" w:cs="Times New Roman"/>
          <w:b/>
          <w:kern w:val="1"/>
          <w:sz w:val="24"/>
          <w:szCs w:val="24"/>
          <w:u w:val="single"/>
          <w:lang w:eastAsia="ar-SA"/>
        </w:rPr>
        <w:t>1</w:t>
      </w:r>
      <w:r w:rsidRPr="00CF0E64">
        <w:rPr>
          <w:rFonts w:ascii="Times New Roman" w:eastAsia="Arial Unicode MS" w:hAnsi="Times New Roman" w:cs="Times New Roman"/>
          <w:b/>
          <w:kern w:val="1"/>
          <w:sz w:val="24"/>
          <w:szCs w:val="24"/>
          <w:u w:val="single"/>
          <w:lang w:eastAsia="ar-SA"/>
        </w:rPr>
        <w:t xml:space="preserve"> - § 2 písm. k)</w:t>
      </w:r>
      <w:r w:rsidR="0011006D" w:rsidRPr="00CF0E64">
        <w:rPr>
          <w:rFonts w:ascii="Times New Roman" w:eastAsia="Arial Unicode MS" w:hAnsi="Times New Roman" w:cs="Times New Roman"/>
          <w:b/>
          <w:kern w:val="1"/>
          <w:sz w:val="24"/>
          <w:szCs w:val="24"/>
          <w:u w:val="single"/>
          <w:lang w:eastAsia="ar-SA"/>
        </w:rPr>
        <w:t xml:space="preserve"> prvý bod</w:t>
      </w:r>
    </w:p>
    <w:p w14:paraId="4A4E19A4" w14:textId="212A8400" w:rsidR="00A3557E" w:rsidRPr="00CF0E64" w:rsidRDefault="0011006D" w:rsidP="008C1A6E">
      <w:pPr>
        <w:suppressAutoHyphens/>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 2 písm. k) sa v prvom bode dopĺňa na základe rozšírenia rozsahu automatickej výmeny o cezhraničných záväzných stanoviskách aj na záväzné stanoviská vydané fyzickým osobám, v ktorých sa posudzuje otázka, či je fyzická osoba rezidentom na daňové účely v Slovenskej republike. </w:t>
      </w:r>
    </w:p>
    <w:p w14:paraId="7716AFCA" w14:textId="04518C0B" w:rsidR="008C1A6E" w:rsidRPr="00CF0E64" w:rsidRDefault="008C1A6E" w:rsidP="008C1A6E">
      <w:pPr>
        <w:suppressAutoHyphens/>
        <w:spacing w:after="0" w:line="252" w:lineRule="auto"/>
        <w:jc w:val="both"/>
        <w:rPr>
          <w:rFonts w:ascii="Times New Roman" w:eastAsia="Arial Unicode MS" w:hAnsi="Times New Roman" w:cs="Times New Roman"/>
          <w:kern w:val="1"/>
          <w:sz w:val="24"/>
          <w:szCs w:val="24"/>
          <w:lang w:eastAsia="ar-SA"/>
        </w:rPr>
      </w:pPr>
    </w:p>
    <w:p w14:paraId="54EE6C76" w14:textId="5935000C" w:rsidR="0011006D" w:rsidRPr="00CF0E64" w:rsidRDefault="0011006D" w:rsidP="008C1A6E">
      <w:pPr>
        <w:suppressAutoHyphens/>
        <w:spacing w:after="0" w:line="252" w:lineRule="auto"/>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2 - § 2 písm. o)</w:t>
      </w:r>
    </w:p>
    <w:p w14:paraId="3EDF58B7" w14:textId="736190F0" w:rsidR="00900BE1" w:rsidRDefault="0011006D" w:rsidP="00900BE1">
      <w:pPr>
        <w:suppressAutoHyphens/>
        <w:spacing w:after="0" w:line="100" w:lineRule="atLeast"/>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Úprava sa navrhuje s ohľadom na pripomi</w:t>
      </w:r>
      <w:r w:rsidR="0061100F" w:rsidRPr="00CF0E64">
        <w:rPr>
          <w:rFonts w:ascii="Times New Roman" w:eastAsia="Arial Unicode MS" w:hAnsi="Times New Roman" w:cs="Times New Roman"/>
          <w:kern w:val="1"/>
          <w:sz w:val="24"/>
          <w:szCs w:val="24"/>
          <w:lang w:eastAsia="ar-SA"/>
        </w:rPr>
        <w:t>enku</w:t>
      </w:r>
      <w:r w:rsidRPr="00CF0E64">
        <w:rPr>
          <w:rFonts w:ascii="Times New Roman" w:eastAsia="Arial Unicode MS" w:hAnsi="Times New Roman" w:cs="Times New Roman"/>
          <w:kern w:val="1"/>
          <w:sz w:val="24"/>
          <w:szCs w:val="24"/>
          <w:lang w:eastAsia="ar-SA"/>
        </w:rPr>
        <w:t xml:space="preserve"> Európskej komisie k implementácii smernice </w:t>
      </w:r>
      <w:r w:rsidR="0061100F" w:rsidRPr="00CF0E64">
        <w:rPr>
          <w:rFonts w:ascii="Times New Roman" w:eastAsia="Arial Unicode MS" w:hAnsi="Times New Roman" w:cs="Times New Roman"/>
          <w:kern w:val="1"/>
          <w:sz w:val="24"/>
          <w:szCs w:val="24"/>
          <w:lang w:eastAsia="ar-SA"/>
        </w:rPr>
        <w:t xml:space="preserve">2021/514/EÚ (tzv. DAC7) v Slovenskej republike, že definíciu týkajúcu sa porušenia ochrany údajov je potrebné vnímať širšie a nezužovať </w:t>
      </w:r>
      <w:r w:rsidR="00D0152D" w:rsidRPr="00CF0E64">
        <w:rPr>
          <w:rFonts w:ascii="Times New Roman" w:eastAsia="Arial Unicode MS" w:hAnsi="Times New Roman" w:cs="Times New Roman"/>
          <w:kern w:val="1"/>
          <w:sz w:val="24"/>
          <w:szCs w:val="24"/>
          <w:lang w:eastAsia="ar-SA"/>
        </w:rPr>
        <w:t>ju len</w:t>
      </w:r>
      <w:r w:rsidR="00611981">
        <w:rPr>
          <w:rFonts w:ascii="Times New Roman" w:eastAsia="Arial Unicode MS" w:hAnsi="Times New Roman" w:cs="Times New Roman"/>
          <w:kern w:val="1"/>
          <w:sz w:val="24"/>
          <w:szCs w:val="24"/>
          <w:lang w:eastAsia="ar-SA"/>
        </w:rPr>
        <w:t xml:space="preserve"> na </w:t>
      </w:r>
      <w:r w:rsidR="00D0152D" w:rsidRPr="00CF0E64">
        <w:rPr>
          <w:rFonts w:ascii="Times New Roman" w:eastAsia="Arial Unicode MS" w:hAnsi="Times New Roman" w:cs="Times New Roman"/>
          <w:kern w:val="1"/>
          <w:sz w:val="24"/>
          <w:szCs w:val="24"/>
          <w:lang w:eastAsia="ar-SA"/>
        </w:rPr>
        <w:t xml:space="preserve">ochranu osobných údajov, keďže informácie </w:t>
      </w:r>
      <w:r w:rsidR="00FF3B88" w:rsidRPr="00CF0E64">
        <w:rPr>
          <w:rFonts w:ascii="Times New Roman" w:eastAsia="Arial Unicode MS" w:hAnsi="Times New Roman" w:cs="Times New Roman"/>
          <w:kern w:val="1"/>
          <w:sz w:val="24"/>
          <w:szCs w:val="24"/>
          <w:lang w:eastAsia="ar-SA"/>
        </w:rPr>
        <w:t xml:space="preserve">vymieňané podľa smernice 2011/16/EÚ o administratívnej spolupráci v oblasti daní </w:t>
      </w:r>
      <w:r w:rsidR="00802DF8" w:rsidRPr="00CF0E64">
        <w:rPr>
          <w:rFonts w:ascii="Times New Roman" w:eastAsia="Arial Unicode MS" w:hAnsi="Times New Roman" w:cs="Times New Roman"/>
          <w:kern w:val="1"/>
          <w:sz w:val="24"/>
          <w:szCs w:val="24"/>
          <w:lang w:eastAsia="ar-SA"/>
        </w:rPr>
        <w:t xml:space="preserve">(ďalej len „smernica (EÚ) 2011/16“) </w:t>
      </w:r>
      <w:r w:rsidR="00FF3B88" w:rsidRPr="00CF0E64">
        <w:rPr>
          <w:rFonts w:ascii="Times New Roman" w:eastAsia="Arial Unicode MS" w:hAnsi="Times New Roman" w:cs="Times New Roman"/>
          <w:kern w:val="1"/>
          <w:sz w:val="24"/>
          <w:szCs w:val="24"/>
          <w:lang w:eastAsia="ar-SA"/>
        </w:rPr>
        <w:t xml:space="preserve">nie sú obmedzené len na údaje o fyzických osobách </w:t>
      </w:r>
      <w:r w:rsidR="00FF3B88" w:rsidRPr="00CF0E64">
        <w:rPr>
          <w:rFonts w:ascii="Times New Roman" w:eastAsia="Arial Unicode MS" w:hAnsi="Times New Roman" w:cs="Times New Roman"/>
          <w:kern w:val="1"/>
          <w:sz w:val="24"/>
          <w:szCs w:val="24"/>
          <w:lang w:eastAsia="ar-SA"/>
        </w:rPr>
        <w:lastRenderedPageBreak/>
        <w:t xml:space="preserve">a prípadné porušenie iných ako osobných údajov môže mať rovnako poškodzujúci dopad. </w:t>
      </w:r>
      <w:r w:rsidR="00900BE1">
        <w:rPr>
          <w:rFonts w:ascii="Times New Roman" w:eastAsia="Arial Unicode MS" w:hAnsi="Times New Roman" w:cs="Times New Roman"/>
          <w:kern w:val="1"/>
          <w:sz w:val="24"/>
          <w:szCs w:val="24"/>
          <w:lang w:eastAsia="ar-SA"/>
        </w:rPr>
        <w:t xml:space="preserve">Porušenie sa </w:t>
      </w:r>
      <w:r w:rsidR="00900BE1">
        <w:rPr>
          <w:rFonts w:ascii="Times New Roman" w:eastAsia="Times New Roman" w:hAnsi="Times New Roman" w:cs="Times New Roman"/>
          <w:color w:val="000000"/>
          <w:sz w:val="24"/>
          <w:szCs w:val="24"/>
          <w:lang w:eastAsia="sk-SK"/>
        </w:rPr>
        <w:t>m</w:t>
      </w:r>
      <w:r w:rsidR="00900BE1" w:rsidRPr="00394E83">
        <w:rPr>
          <w:rFonts w:ascii="Times New Roman" w:eastAsia="Times New Roman" w:hAnsi="Times New Roman" w:cs="Times New Roman"/>
          <w:color w:val="000000"/>
          <w:sz w:val="24"/>
          <w:szCs w:val="24"/>
          <w:lang w:eastAsia="sk-SK"/>
        </w:rPr>
        <w:t>ôže týkať dôvernosti, dostupnosti a integrity údajov</w:t>
      </w:r>
      <w:r w:rsidR="00900BE1">
        <w:rPr>
          <w:rFonts w:ascii="Times New Roman" w:eastAsia="Times New Roman" w:hAnsi="Times New Roman" w:cs="Times New Roman"/>
          <w:color w:val="000000"/>
          <w:sz w:val="24"/>
          <w:szCs w:val="24"/>
          <w:lang w:eastAsia="sk-SK"/>
        </w:rPr>
        <w:t xml:space="preserve">. </w:t>
      </w:r>
    </w:p>
    <w:p w14:paraId="36D1079A" w14:textId="77777777" w:rsidR="008C1A6E" w:rsidRPr="00CF0E64" w:rsidRDefault="008C1A6E" w:rsidP="008C1A6E">
      <w:pPr>
        <w:suppressAutoHyphens/>
        <w:spacing w:after="0" w:line="252" w:lineRule="auto"/>
        <w:jc w:val="both"/>
        <w:rPr>
          <w:rFonts w:ascii="Times New Roman" w:eastAsia="Arial Unicode MS" w:hAnsi="Times New Roman" w:cs="Times New Roman"/>
          <w:kern w:val="1"/>
          <w:sz w:val="24"/>
          <w:szCs w:val="24"/>
          <w:lang w:eastAsia="ar-SA"/>
        </w:rPr>
      </w:pPr>
    </w:p>
    <w:p w14:paraId="7B415F48" w14:textId="01024598" w:rsidR="00CA6B2F" w:rsidRPr="00CF0E64" w:rsidRDefault="00802DF8"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3 - § 2 písm. p) a </w:t>
      </w:r>
      <w:r w:rsidR="00A23794">
        <w:rPr>
          <w:rFonts w:ascii="Times New Roman" w:eastAsia="Arial Unicode MS" w:hAnsi="Times New Roman" w:cs="Times New Roman"/>
          <w:b/>
          <w:kern w:val="1"/>
          <w:sz w:val="24"/>
          <w:szCs w:val="24"/>
          <w:u w:val="single"/>
          <w:lang w:eastAsia="ar-SA"/>
        </w:rPr>
        <w:t>q</w:t>
      </w:r>
      <w:r w:rsidRPr="00CF0E64">
        <w:rPr>
          <w:rFonts w:ascii="Times New Roman" w:eastAsia="Arial Unicode MS" w:hAnsi="Times New Roman" w:cs="Times New Roman"/>
          <w:b/>
          <w:kern w:val="1"/>
          <w:sz w:val="24"/>
          <w:szCs w:val="24"/>
          <w:u w:val="single"/>
          <w:lang w:eastAsia="ar-SA"/>
        </w:rPr>
        <w:t>)</w:t>
      </w:r>
    </w:p>
    <w:p w14:paraId="4A207406" w14:textId="044026A9" w:rsidR="00802DF8" w:rsidRPr="00CF0E64" w:rsidRDefault="00802DF8"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Do § 2 sa dopĺňajú nové definície nadväzne na rozšírenie automatickej výmeny informácií o ďalšie kategórie príjmov podľa smernice (EÚ) 2011/16. </w:t>
      </w:r>
    </w:p>
    <w:p w14:paraId="2C17E01C" w14:textId="3652ACD7" w:rsidR="00802DF8" w:rsidRPr="00CF0E64" w:rsidRDefault="00802DF8"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V písmene p) sa zavádza definícia pojmu „príjem z dividendy, ktorý je vyplatený na iný ako správcovský účet“. Takýmto príjmom sa rozumie dividenda alebo iný príjem, ktorý sa v členskom štáte platiteľa považuje za dividendu, a ktorý sa vypláca alebo pripisuje na iný ako správcovský účet. Správcovským účtom sa rozumie správcovský účet podľa § 5 ods. 2 písm. b) zákona č. 359/2015 Z. z.. Predmetom výmeny podľa písmena p) majú byť príjmy z dividend, ktoré nie sú pokryté v rámci automatickej výmeny informácií podľa smernice 2014/107/EÚ (tzv. DAC2).</w:t>
      </w:r>
    </w:p>
    <w:p w14:paraId="1CBD7E23" w14:textId="305860E3" w:rsidR="00802DF8" w:rsidRPr="00CF0E64" w:rsidRDefault="00802DF8"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V písmene </w:t>
      </w:r>
      <w:r w:rsidR="00A23794">
        <w:rPr>
          <w:rFonts w:ascii="Times New Roman" w:eastAsia="Arial Unicode MS" w:hAnsi="Times New Roman" w:cs="Times New Roman"/>
          <w:kern w:val="1"/>
          <w:sz w:val="24"/>
          <w:szCs w:val="24"/>
          <w:lang w:eastAsia="ar-SA"/>
        </w:rPr>
        <w:t>q</w:t>
      </w:r>
      <w:r w:rsidRPr="00CF0E64">
        <w:rPr>
          <w:rFonts w:ascii="Times New Roman" w:eastAsia="Arial Unicode MS" w:hAnsi="Times New Roman" w:cs="Times New Roman"/>
          <w:kern w:val="1"/>
          <w:sz w:val="24"/>
          <w:szCs w:val="24"/>
          <w:lang w:eastAsia="ar-SA"/>
        </w:rPr>
        <w:t>) sa zavádza definícia pojmu „produkt životného poistenia, na ktorý sa nevzťahuje automatická výmena in</w:t>
      </w:r>
      <w:r w:rsidR="007B71C8" w:rsidRPr="00CF0E64">
        <w:rPr>
          <w:rFonts w:ascii="Times New Roman" w:eastAsia="Arial Unicode MS" w:hAnsi="Times New Roman" w:cs="Times New Roman"/>
          <w:kern w:val="1"/>
          <w:sz w:val="24"/>
          <w:szCs w:val="24"/>
          <w:lang w:eastAsia="ar-SA"/>
        </w:rPr>
        <w:t>formácií podľa osobitného predpisu ani podobné opatrenia“. Takýmto produktom je poistná zmluva, ktorá je iná ako poistná zmluva s </w:t>
      </w:r>
      <w:proofErr w:type="spellStart"/>
      <w:r w:rsidR="007B71C8" w:rsidRPr="00CF0E64">
        <w:rPr>
          <w:rFonts w:ascii="Times New Roman" w:eastAsia="Arial Unicode MS" w:hAnsi="Times New Roman" w:cs="Times New Roman"/>
          <w:kern w:val="1"/>
          <w:sz w:val="24"/>
          <w:szCs w:val="24"/>
          <w:lang w:eastAsia="ar-SA"/>
        </w:rPr>
        <w:t>odkupnou</w:t>
      </w:r>
      <w:proofErr w:type="spellEnd"/>
      <w:r w:rsidR="007B71C8" w:rsidRPr="00CF0E64">
        <w:rPr>
          <w:rFonts w:ascii="Times New Roman" w:eastAsia="Arial Unicode MS" w:hAnsi="Times New Roman" w:cs="Times New Roman"/>
          <w:kern w:val="1"/>
          <w:sz w:val="24"/>
          <w:szCs w:val="24"/>
          <w:lang w:eastAsia="ar-SA"/>
        </w:rPr>
        <w:t xml:space="preserve"> hodnotou, ktorá je predmetom automatickej výmeny informácií podľa § 5 ods. 2 písm. f) zákona č. 359/2015 Z. z., pri ktorej sú dávky vyplývajúce zo zmluvy splatné v prípade smrti poistníka. Predmetom výmeny podľa písmena </w:t>
      </w:r>
      <w:r w:rsidR="00A23794">
        <w:rPr>
          <w:rFonts w:ascii="Times New Roman" w:eastAsia="Arial Unicode MS" w:hAnsi="Times New Roman" w:cs="Times New Roman"/>
          <w:kern w:val="1"/>
          <w:sz w:val="24"/>
          <w:szCs w:val="24"/>
          <w:lang w:eastAsia="ar-SA"/>
        </w:rPr>
        <w:t>q</w:t>
      </w:r>
      <w:r w:rsidR="007B71C8" w:rsidRPr="00CF0E64">
        <w:rPr>
          <w:rFonts w:ascii="Times New Roman" w:eastAsia="Arial Unicode MS" w:hAnsi="Times New Roman" w:cs="Times New Roman"/>
          <w:kern w:val="1"/>
          <w:sz w:val="24"/>
          <w:szCs w:val="24"/>
          <w:lang w:eastAsia="ar-SA"/>
        </w:rPr>
        <w:t>) majú byť poistné zmluvy s </w:t>
      </w:r>
      <w:proofErr w:type="spellStart"/>
      <w:r w:rsidR="007B71C8" w:rsidRPr="00CF0E64">
        <w:rPr>
          <w:rFonts w:ascii="Times New Roman" w:eastAsia="Arial Unicode MS" w:hAnsi="Times New Roman" w:cs="Times New Roman"/>
          <w:kern w:val="1"/>
          <w:sz w:val="24"/>
          <w:szCs w:val="24"/>
          <w:lang w:eastAsia="ar-SA"/>
        </w:rPr>
        <w:t>odkupnou</w:t>
      </w:r>
      <w:proofErr w:type="spellEnd"/>
      <w:r w:rsidR="007B71C8" w:rsidRPr="00CF0E64">
        <w:rPr>
          <w:rFonts w:ascii="Times New Roman" w:eastAsia="Arial Unicode MS" w:hAnsi="Times New Roman" w:cs="Times New Roman"/>
          <w:kern w:val="1"/>
          <w:sz w:val="24"/>
          <w:szCs w:val="24"/>
          <w:lang w:eastAsia="ar-SA"/>
        </w:rPr>
        <w:t xml:space="preserve"> hodnotou, ktoré nie sú pokryté v rámci automatickej výmeny informácií podľa smernice 2014/107/EÚ (tzv. DAC2). </w:t>
      </w:r>
    </w:p>
    <w:p w14:paraId="6178EB26"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3BE815E9" w14:textId="320F5542" w:rsidR="007B71C8" w:rsidRPr="00CF0E64" w:rsidRDefault="007B71C8"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4 - § 4 ods. 2</w:t>
      </w:r>
    </w:p>
    <w:p w14:paraId="5FF17B2E" w14:textId="76E1EBC4" w:rsidR="00B66DFE" w:rsidRPr="00CF0E64" w:rsidRDefault="007B71C8"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Legislatívno-technická úprava súvisiaca s doplnením zákona o automatickú výmenu informácií oznamovaných prevádzkovateľmi platforiem (§ 22h až § 22p).</w:t>
      </w:r>
    </w:p>
    <w:p w14:paraId="541EABAC"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37CEAEF6" w14:textId="4EF795E3" w:rsidR="007B71C8" w:rsidRPr="00CF0E64" w:rsidRDefault="007B71C8"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5 – § 7 ods. 1</w:t>
      </w:r>
    </w:p>
    <w:p w14:paraId="0B3E02FB" w14:textId="37ACCDDC" w:rsidR="007B71C8" w:rsidRPr="00CF0E64" w:rsidRDefault="007B71C8"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Spresnenie na základe skúseností z aplikačnej praxe a doposiaľ uskutočnených automatických výmen s členskými štátmi EÚ.</w:t>
      </w:r>
    </w:p>
    <w:p w14:paraId="7B624BBB"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3741D9F8" w14:textId="5E35B556" w:rsidR="007B71C8" w:rsidRPr="00CF0E64" w:rsidRDefault="007B71C8"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6 - § 7 ods. 1 písm. c)</w:t>
      </w:r>
    </w:p>
    <w:p w14:paraId="4D7A8D84" w14:textId="05004AD6" w:rsidR="007B71C8" w:rsidRPr="00CF0E64" w:rsidRDefault="007B71C8"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Úprava nadväzne na zavedenú definíciu v § 2 písm. r).</w:t>
      </w:r>
    </w:p>
    <w:p w14:paraId="774397A1"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5A86E55F" w14:textId="2E34AF76" w:rsidR="007B71C8" w:rsidRPr="00CF0E64" w:rsidRDefault="007B71C8"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7 - § 7 písm. g)</w:t>
      </w:r>
    </w:p>
    <w:p w14:paraId="363BFABD" w14:textId="771CFBEA" w:rsidR="007B71C8" w:rsidRPr="00CF0E64" w:rsidRDefault="007B71C8"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Kategórie príjmov, ktoré sú predmetom automatickej výmeny informácií podľa smernice (EÚ) 2011/16, sa rozširujú o novú kategóriu príjmov z dividend, ktoré sú vyplatené na iný ako správcovský účet. V rámci spresnenia rozsahu sa špecifikuje, že predmetom výmeny sú príjmy z dividend, ktoré nie sú pokryté smernicou (EÚ) 2014/107 a taktiež tie príjmy z dividend, ktoré sú oslobodené do dane z príjmov právnických osôb podľa § 3 ods. 1 písm. e) zákona č. 595/2003 Z. z. o dani z príjmov (smernica v tomto kontexte uvádza články 4, 5 a 6 smernice 2011/96/EÚ o spoločnom systéme zdaňovania uplatňovanom v prípade materských a dcérskych spoločností v rozličných členských štátoch). </w:t>
      </w:r>
    </w:p>
    <w:p w14:paraId="2DF926BC" w14:textId="0DA0F4AB" w:rsidR="008C1A6E" w:rsidRDefault="008C1A6E" w:rsidP="008C1A6E">
      <w:pPr>
        <w:spacing w:after="0" w:line="252" w:lineRule="auto"/>
        <w:jc w:val="both"/>
        <w:rPr>
          <w:rFonts w:ascii="Times New Roman" w:eastAsia="Arial Unicode MS" w:hAnsi="Times New Roman" w:cs="Times New Roman"/>
          <w:kern w:val="1"/>
          <w:sz w:val="24"/>
          <w:szCs w:val="24"/>
          <w:lang w:eastAsia="ar-SA"/>
        </w:rPr>
      </w:pPr>
    </w:p>
    <w:p w14:paraId="72D6FF16" w14:textId="77777777" w:rsidR="006B38EC" w:rsidRPr="00CF0E64" w:rsidRDefault="006B38EC" w:rsidP="008C1A6E">
      <w:pPr>
        <w:spacing w:after="0" w:line="252" w:lineRule="auto"/>
        <w:jc w:val="both"/>
        <w:rPr>
          <w:rFonts w:ascii="Times New Roman" w:eastAsia="Arial Unicode MS" w:hAnsi="Times New Roman" w:cs="Times New Roman"/>
          <w:kern w:val="1"/>
          <w:sz w:val="24"/>
          <w:szCs w:val="24"/>
          <w:lang w:eastAsia="ar-SA"/>
        </w:rPr>
      </w:pPr>
    </w:p>
    <w:p w14:paraId="056C52B2" w14:textId="58FEC8A2" w:rsidR="00B66DFE" w:rsidRPr="00CF0E64" w:rsidRDefault="00EB07DE"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8 - § 7 ods. 4</w:t>
      </w:r>
    </w:p>
    <w:p w14:paraId="4163C518" w14:textId="04C0BD32" w:rsidR="00EB07DE" w:rsidRPr="00CF0E64" w:rsidRDefault="00EB07DE"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V súlade s cieľmi smernice (EÚ) 2023/2226 a podporou výmeny daňových identifikačných čísel medzi príslušnými orgánmi členských štátov sa zavádza ustanovenie, ktorým sa ukladá príslušnému orgánu Slovenskej republiky oznamovať daňové identifikačné čísla (identifikačné čísla používané na daňové účely) </w:t>
      </w:r>
      <w:r w:rsidR="00AF5895" w:rsidRPr="00CF0E64">
        <w:rPr>
          <w:rFonts w:ascii="Times New Roman" w:eastAsia="Arial Unicode MS" w:hAnsi="Times New Roman" w:cs="Times New Roman"/>
          <w:kern w:val="1"/>
          <w:sz w:val="24"/>
          <w:szCs w:val="24"/>
          <w:lang w:eastAsia="ar-SA"/>
        </w:rPr>
        <w:t xml:space="preserve">pri automatickej výmene informácií pri týchto druhoch </w:t>
      </w:r>
      <w:r w:rsidR="00AF5895" w:rsidRPr="00CF0E64">
        <w:rPr>
          <w:rFonts w:ascii="Times New Roman" w:eastAsia="Arial Unicode MS" w:hAnsi="Times New Roman" w:cs="Times New Roman"/>
          <w:kern w:val="1"/>
          <w:sz w:val="24"/>
          <w:szCs w:val="24"/>
          <w:lang w:eastAsia="ar-SA"/>
        </w:rPr>
        <w:lastRenderedPageBreak/>
        <w:t xml:space="preserve">príjmov: príjmy zo závislej činnosti, tantiémy a dôchodky, ak tieto druhy informácií patria medzi druhy informácií, ktoré príslušný orgán Slovenskej republiky oznámi Európskej komisii ako vymieňané druhy informácií. Pri ostatných druhoch informácií uvedených v § 7 ods. 1 sa bude poskytovať daňové identifikačné číslo (identifikačné číslo používané na daňové účely), ak bolo pridelené v štáte rezidencie. </w:t>
      </w:r>
      <w:r w:rsidR="00CD204E" w:rsidRPr="00CF0E64">
        <w:rPr>
          <w:rFonts w:ascii="Times New Roman" w:eastAsia="Arial Unicode MS" w:hAnsi="Times New Roman" w:cs="Times New Roman"/>
          <w:kern w:val="1"/>
          <w:sz w:val="24"/>
          <w:szCs w:val="24"/>
          <w:lang w:eastAsia="ar-SA"/>
        </w:rPr>
        <w:t xml:space="preserve">Predmetná povinnosť sa má vzťahovať na zdaňovacie obdobia po 1. januári 2030. </w:t>
      </w:r>
    </w:p>
    <w:p w14:paraId="7126DBD6" w14:textId="1F5317F9" w:rsidR="00CD204E" w:rsidRPr="00CF0E64" w:rsidRDefault="00CD204E"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Daňové identifikačné číslo je kľúčový identifikátor pre jednoznačné určenie osoby, ku ktorej sa vymieňané informácie vzťahujú, a tým umožňuje vyššiu využiteľnosť zasielaných informácií. </w:t>
      </w:r>
      <w:r w:rsidR="00FB5A6A" w:rsidRPr="00CF0E64">
        <w:rPr>
          <w:rFonts w:ascii="Times New Roman" w:eastAsia="Arial Unicode MS" w:hAnsi="Times New Roman" w:cs="Times New Roman"/>
          <w:kern w:val="1"/>
          <w:sz w:val="24"/>
          <w:szCs w:val="24"/>
          <w:lang w:eastAsia="ar-SA"/>
        </w:rPr>
        <w:t>Alternatívou k</w:t>
      </w:r>
      <w:r w:rsidR="001954CA">
        <w:rPr>
          <w:rFonts w:ascii="Times New Roman" w:eastAsia="Arial Unicode MS" w:hAnsi="Times New Roman" w:cs="Times New Roman"/>
          <w:kern w:val="1"/>
          <w:sz w:val="24"/>
          <w:szCs w:val="24"/>
          <w:lang w:eastAsia="ar-SA"/>
        </w:rPr>
        <w:t> </w:t>
      </w:r>
      <w:r w:rsidR="00FB5A6A" w:rsidRPr="00CF0E64">
        <w:rPr>
          <w:rFonts w:ascii="Times New Roman" w:eastAsia="Arial Unicode MS" w:hAnsi="Times New Roman" w:cs="Times New Roman"/>
          <w:kern w:val="1"/>
          <w:sz w:val="24"/>
          <w:szCs w:val="24"/>
          <w:lang w:eastAsia="ar-SA"/>
        </w:rPr>
        <w:t>daňovému</w:t>
      </w:r>
      <w:r w:rsidR="001954CA">
        <w:rPr>
          <w:rFonts w:ascii="Times New Roman" w:eastAsia="Arial Unicode MS" w:hAnsi="Times New Roman" w:cs="Times New Roman"/>
          <w:kern w:val="1"/>
          <w:sz w:val="24"/>
          <w:szCs w:val="24"/>
          <w:lang w:eastAsia="ar-SA"/>
        </w:rPr>
        <w:t xml:space="preserve"> identifikačnému</w:t>
      </w:r>
      <w:r w:rsidR="00FB5A6A" w:rsidRPr="00CF0E64">
        <w:rPr>
          <w:rFonts w:ascii="Times New Roman" w:eastAsia="Arial Unicode MS" w:hAnsi="Times New Roman" w:cs="Times New Roman"/>
          <w:kern w:val="1"/>
          <w:sz w:val="24"/>
          <w:szCs w:val="24"/>
          <w:lang w:eastAsia="ar-SA"/>
        </w:rPr>
        <w:t xml:space="preserve"> číslu môže byť obdobné číslo používané v štáte rezidencie na daňové účely, napr. rodné číslo, pokiaľ má v tomto štáte funkciu daňového identifikačného čísla a umožňuje jednoznačnú identifikáciu daňovníka, alebo môže ísť o číslo sociálneho zabezpečenia alebo iné podobné číslo využívané v štáte rezidencie na identifikáciu daňovníka. </w:t>
      </w:r>
    </w:p>
    <w:p w14:paraId="73B81251"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4C50D2C5" w14:textId="1337D7FC" w:rsidR="00AF5895" w:rsidRPr="00CF0E64" w:rsidRDefault="00AF5895"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9 - § 8 ods. 1</w:t>
      </w:r>
    </w:p>
    <w:p w14:paraId="6065A667" w14:textId="77A3919A" w:rsidR="00AF5895" w:rsidRPr="00CF0E64" w:rsidRDefault="00AF5895"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Legislatívno-technická úprava súvisiaca s vložením nového odseku 2 do § 8.</w:t>
      </w:r>
    </w:p>
    <w:p w14:paraId="5915BB9A"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34D5FD79" w14:textId="137808B7" w:rsidR="0097481A" w:rsidRPr="00CF0E64" w:rsidRDefault="00AF5895"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10 - § 8 o</w:t>
      </w:r>
      <w:r w:rsidR="0097481A" w:rsidRPr="00CF0E64">
        <w:rPr>
          <w:rFonts w:ascii="Times New Roman" w:eastAsia="Arial Unicode MS" w:hAnsi="Times New Roman" w:cs="Times New Roman"/>
          <w:b/>
          <w:kern w:val="1"/>
          <w:sz w:val="24"/>
          <w:szCs w:val="24"/>
          <w:u w:val="single"/>
          <w:lang w:eastAsia="ar-SA"/>
        </w:rPr>
        <w:t>ds. 2</w:t>
      </w:r>
    </w:p>
    <w:p w14:paraId="597190FC" w14:textId="1299EE0D" w:rsidR="00AF5895" w:rsidRPr="00CF0E64" w:rsidRDefault="00673F9E"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Doposiaľ boli predmetom automatickej výmeny informácií podľa smernice (EÚ) 2015/2376/EÚ (tzv. DAC3) len cezhraničné záväzné stanoviská týkajúce sa právnických osôb. </w:t>
      </w:r>
      <w:r w:rsidR="0097481A" w:rsidRPr="00CF0E64">
        <w:rPr>
          <w:rFonts w:ascii="Times New Roman" w:eastAsia="Arial Unicode MS" w:hAnsi="Times New Roman" w:cs="Times New Roman"/>
          <w:kern w:val="1"/>
          <w:sz w:val="24"/>
          <w:szCs w:val="24"/>
          <w:lang w:eastAsia="ar-SA"/>
        </w:rPr>
        <w:t xml:space="preserve">Nadväzne na rozšírenie rozsahu automatickej výmeny informácií o cezhraničných záväzných stanoviskách </w:t>
      </w:r>
      <w:r w:rsidRPr="00CF0E64">
        <w:rPr>
          <w:rFonts w:ascii="Times New Roman" w:eastAsia="Arial Unicode MS" w:hAnsi="Times New Roman" w:cs="Times New Roman"/>
          <w:kern w:val="1"/>
          <w:sz w:val="24"/>
          <w:szCs w:val="24"/>
          <w:lang w:eastAsia="ar-SA"/>
        </w:rPr>
        <w:t xml:space="preserve">v zmysle smernice (EÚ) 2023/2226 </w:t>
      </w:r>
      <w:r w:rsidR="0097481A" w:rsidRPr="00CF0E64">
        <w:rPr>
          <w:rFonts w:ascii="Times New Roman" w:eastAsia="Arial Unicode MS" w:hAnsi="Times New Roman" w:cs="Times New Roman"/>
          <w:kern w:val="1"/>
          <w:sz w:val="24"/>
          <w:szCs w:val="24"/>
          <w:lang w:eastAsia="ar-SA"/>
        </w:rPr>
        <w:t xml:space="preserve">o presne špecifikované záväzné stanoviská týkajúce sa fyzických osôb sa do § 8 vkladá nový odsek 2. </w:t>
      </w:r>
      <w:r w:rsidRPr="00CF0E64">
        <w:rPr>
          <w:rFonts w:ascii="Times New Roman" w:eastAsia="Arial Unicode MS" w:hAnsi="Times New Roman" w:cs="Times New Roman"/>
          <w:kern w:val="1"/>
          <w:sz w:val="24"/>
          <w:szCs w:val="24"/>
          <w:lang w:eastAsia="ar-SA"/>
        </w:rPr>
        <w:t>Predmetom automatickej výmeny budú aj cezhraničné záväzné stanoviská týkajúce sa fyzických osôb spĺňajúce tieto charakteristiky:</w:t>
      </w:r>
    </w:p>
    <w:p w14:paraId="4B3E01A2" w14:textId="7B29749C" w:rsidR="00673F9E" w:rsidRPr="00CF0E64" w:rsidRDefault="00673F9E" w:rsidP="008C1A6E">
      <w:pPr>
        <w:pStyle w:val="Odsekzoznamu"/>
        <w:numPr>
          <w:ilvl w:val="0"/>
          <w:numId w:val="1"/>
        </w:numPr>
        <w:spacing w:after="0" w:line="252" w:lineRule="auto"/>
        <w:jc w:val="both"/>
        <w:rPr>
          <w:rFonts w:ascii="Times New Roman" w:eastAsia="Times New Roman" w:hAnsi="Times New Roman" w:cs="Times New Roman"/>
          <w:sz w:val="24"/>
          <w:szCs w:val="24"/>
          <w:lang w:eastAsia="sk-SK"/>
        </w:rPr>
      </w:pPr>
      <w:r w:rsidRPr="00CF0E64">
        <w:rPr>
          <w:rFonts w:ascii="Times New Roman" w:eastAsia="Arial Unicode MS" w:hAnsi="Times New Roman" w:cs="Times New Roman"/>
          <w:kern w:val="1"/>
          <w:sz w:val="24"/>
          <w:szCs w:val="24"/>
          <w:lang w:eastAsia="ar-SA"/>
        </w:rPr>
        <w:t xml:space="preserve">suma transakcie </w:t>
      </w:r>
      <w:r w:rsidRPr="00CF0E64">
        <w:rPr>
          <w:rFonts w:ascii="Times New Roman" w:eastAsia="Times New Roman" w:hAnsi="Times New Roman" w:cs="Times New Roman"/>
          <w:sz w:val="24"/>
          <w:szCs w:val="24"/>
          <w:lang w:eastAsia="sk-SK"/>
        </w:rPr>
        <w:t>alebo súboru transakcií, na ktoré sa vzťahuje cezhraničné záväzné stanovisko, presahuje 1 500 000 eur alebo ekvivalentnú sumu v inej mene, ak je takáto suma uvedená v záväznom stanovisku, alebo</w:t>
      </w:r>
    </w:p>
    <w:p w14:paraId="364E238B" w14:textId="31CAEA1F" w:rsidR="00673F9E" w:rsidRPr="00CF0E64" w:rsidRDefault="00673F9E" w:rsidP="008C1A6E">
      <w:pPr>
        <w:pStyle w:val="Odsekzoznamu"/>
        <w:numPr>
          <w:ilvl w:val="0"/>
          <w:numId w:val="1"/>
        </w:num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Times New Roman" w:hAnsi="Times New Roman" w:cs="Times New Roman"/>
          <w:sz w:val="24"/>
          <w:szCs w:val="24"/>
          <w:lang w:eastAsia="sk-SK"/>
        </w:rPr>
        <w:t>sa v cezhraničnom záväznom stanovisku určuje, či osoba je alebo nie je rezidentom na daňové účely v Slovenskej republike, okrem záväzných stanovísk týkajúcich sa zdanenia v štáte zdroja, ak ide o príjmy zo závislej činnosti, tantiémy alebo dôchodky nerezidentov na daňové účely.</w:t>
      </w:r>
    </w:p>
    <w:p w14:paraId="508485AC" w14:textId="77777777" w:rsidR="008C1A6E" w:rsidRPr="00CF0E64" w:rsidRDefault="008C1A6E" w:rsidP="008C1A6E">
      <w:pPr>
        <w:pStyle w:val="Odsekzoznamu"/>
        <w:spacing w:after="0" w:line="252" w:lineRule="auto"/>
        <w:jc w:val="both"/>
        <w:rPr>
          <w:rFonts w:ascii="Times New Roman" w:eastAsia="Arial Unicode MS" w:hAnsi="Times New Roman" w:cs="Times New Roman"/>
          <w:kern w:val="1"/>
          <w:sz w:val="24"/>
          <w:szCs w:val="24"/>
          <w:lang w:eastAsia="ar-SA"/>
        </w:rPr>
      </w:pPr>
    </w:p>
    <w:p w14:paraId="771FF5A6" w14:textId="717F79AF" w:rsidR="00673F9E" w:rsidRPr="00CF0E64" w:rsidRDefault="00557ED2"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 xml:space="preserve">K bodom 11 a 14 - § 8 ods. 3 a ods. 4 až 6 </w:t>
      </w:r>
    </w:p>
    <w:p w14:paraId="4A116605" w14:textId="0708EC3B" w:rsidR="00557ED2" w:rsidRPr="00CF0E64" w:rsidRDefault="00557ED2"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Legislatívno-technická úprava nadväzne na vloženie nového odseku 2 do § 8.</w:t>
      </w:r>
    </w:p>
    <w:p w14:paraId="7C5B579D"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6BEDB216" w14:textId="7D9BF55C" w:rsidR="00557ED2" w:rsidRPr="00CF0E64" w:rsidRDefault="00557ED2"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w:t>
      </w:r>
      <w:r w:rsidR="002F45A2" w:rsidRPr="00CF0E64">
        <w:rPr>
          <w:rFonts w:ascii="Times New Roman" w:eastAsia="Arial Unicode MS" w:hAnsi="Times New Roman" w:cs="Times New Roman"/>
          <w:b/>
          <w:kern w:val="1"/>
          <w:sz w:val="24"/>
          <w:szCs w:val="24"/>
          <w:u w:val="single"/>
          <w:lang w:eastAsia="ar-SA"/>
        </w:rPr>
        <w:t>om</w:t>
      </w:r>
      <w:r w:rsidRPr="00CF0E64">
        <w:rPr>
          <w:rFonts w:ascii="Times New Roman" w:eastAsia="Arial Unicode MS" w:hAnsi="Times New Roman" w:cs="Times New Roman"/>
          <w:b/>
          <w:kern w:val="1"/>
          <w:sz w:val="24"/>
          <w:szCs w:val="24"/>
          <w:u w:val="single"/>
          <w:lang w:eastAsia="ar-SA"/>
        </w:rPr>
        <w:t xml:space="preserve"> 12</w:t>
      </w:r>
      <w:r w:rsidR="002F45A2" w:rsidRPr="00CF0E64">
        <w:rPr>
          <w:rFonts w:ascii="Times New Roman" w:eastAsia="Arial Unicode MS" w:hAnsi="Times New Roman" w:cs="Times New Roman"/>
          <w:b/>
          <w:kern w:val="1"/>
          <w:sz w:val="24"/>
          <w:szCs w:val="24"/>
          <w:u w:val="single"/>
          <w:lang w:eastAsia="ar-SA"/>
        </w:rPr>
        <w:t xml:space="preserve"> a 13</w:t>
      </w:r>
      <w:r w:rsidRPr="00CF0E64">
        <w:rPr>
          <w:rFonts w:ascii="Times New Roman" w:eastAsia="Arial Unicode MS" w:hAnsi="Times New Roman" w:cs="Times New Roman"/>
          <w:b/>
          <w:kern w:val="1"/>
          <w:sz w:val="24"/>
          <w:szCs w:val="24"/>
          <w:u w:val="single"/>
          <w:lang w:eastAsia="ar-SA"/>
        </w:rPr>
        <w:t xml:space="preserve"> - § 8 ods. 3 písm. a)</w:t>
      </w:r>
      <w:r w:rsidR="002F45A2" w:rsidRPr="00CF0E64">
        <w:rPr>
          <w:rFonts w:ascii="Times New Roman" w:eastAsia="Arial Unicode MS" w:hAnsi="Times New Roman" w:cs="Times New Roman"/>
          <w:b/>
          <w:kern w:val="1"/>
          <w:sz w:val="24"/>
          <w:szCs w:val="24"/>
          <w:u w:val="single"/>
          <w:lang w:eastAsia="ar-SA"/>
        </w:rPr>
        <w:t xml:space="preserve"> a § 8 ods. 3 písm. k)</w:t>
      </w:r>
    </w:p>
    <w:p w14:paraId="37F7042B" w14:textId="573D2D7A" w:rsidR="00557ED2" w:rsidRPr="00CF0E64" w:rsidRDefault="00557ED2"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Úprava ustanovenia vzhľadom na rozšírenie automatickej výmeny informácií o cezhraničných stanoviskách aj na </w:t>
      </w:r>
      <w:r w:rsidR="002F45A2" w:rsidRPr="00CF0E64">
        <w:rPr>
          <w:rFonts w:ascii="Times New Roman" w:eastAsia="Arial Unicode MS" w:hAnsi="Times New Roman" w:cs="Times New Roman"/>
          <w:kern w:val="1"/>
          <w:sz w:val="24"/>
          <w:szCs w:val="24"/>
          <w:lang w:eastAsia="ar-SA"/>
        </w:rPr>
        <w:t>špecifické cezhraničné záväzné stanoviská týkajúce sa fyzických osôb.</w:t>
      </w:r>
    </w:p>
    <w:p w14:paraId="61067C82"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3E6DABFD" w14:textId="2B008C84" w:rsidR="002F45A2" w:rsidRPr="00CF0E64" w:rsidRDefault="00921289"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15 - § 8 ods. 8 a 9</w:t>
      </w:r>
    </w:p>
    <w:p w14:paraId="7766703D" w14:textId="6D1CC0BC" w:rsidR="00921289" w:rsidRPr="00CF0E64" w:rsidRDefault="00921289"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Do § 8 sa dopĺňa odsek 8 objasňujúci hodnotu záväzného stanoviska pri súbore transakcií týkajúcich sa rôzneho tovaru, služieb alebo majetku. Táto hodnota zahrňuje celkovú hodnotu všetkých transakcií, a ak sú tie isté tovary, služby alebo majetok predmetom viacerých transakcií, sumy sa nespočítavajú.</w:t>
      </w:r>
    </w:p>
    <w:p w14:paraId="031AEEAD" w14:textId="412621E3" w:rsidR="00921289" w:rsidRPr="00CF0E64" w:rsidRDefault="00921289"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V odseku 9 sa spresňuje, že identifikačným údajom pre účely automatickej výmeny informácií o cezhraničných záväzných stanoviskách je aj daňové identifikačné číslo (identifikačné číslo </w:t>
      </w:r>
      <w:r w:rsidRPr="00CF0E64">
        <w:rPr>
          <w:rFonts w:ascii="Times New Roman" w:eastAsia="Arial Unicode MS" w:hAnsi="Times New Roman" w:cs="Times New Roman"/>
          <w:kern w:val="1"/>
          <w:sz w:val="24"/>
          <w:szCs w:val="24"/>
          <w:lang w:eastAsia="ar-SA"/>
        </w:rPr>
        <w:lastRenderedPageBreak/>
        <w:t xml:space="preserve">používané na daňové účely) vydané v štáte rezidencie. Toto daňové identifikačné číslo bude povinne súčasťou vymieňaných informácií od 1. januára 2028. </w:t>
      </w:r>
    </w:p>
    <w:p w14:paraId="6EEEEB30" w14:textId="77777777" w:rsidR="00C74C21" w:rsidRPr="00CF0E64" w:rsidRDefault="00C74C21" w:rsidP="008C1A6E">
      <w:pPr>
        <w:spacing w:after="0" w:line="252" w:lineRule="auto"/>
        <w:jc w:val="both"/>
        <w:rPr>
          <w:rFonts w:ascii="Times New Roman" w:eastAsia="Arial Unicode MS" w:hAnsi="Times New Roman" w:cs="Times New Roman"/>
          <w:kern w:val="1"/>
          <w:sz w:val="24"/>
          <w:szCs w:val="24"/>
          <w:lang w:eastAsia="ar-SA"/>
        </w:rPr>
      </w:pPr>
    </w:p>
    <w:p w14:paraId="1FA13579" w14:textId="45023119" w:rsidR="00F27A5D" w:rsidRPr="00CF0E64" w:rsidRDefault="00D009CF"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16 - § 8a písm. h)</w:t>
      </w:r>
    </w:p>
    <w:p w14:paraId="700E5B43" w14:textId="290DB3FC" w:rsidR="00D009CF" w:rsidRPr="00CF0E64" w:rsidRDefault="00D009CF" w:rsidP="008C1A6E">
      <w:pPr>
        <w:spacing w:after="0" w:line="252" w:lineRule="auto"/>
        <w:jc w:val="both"/>
        <w:rPr>
          <w:rFonts w:ascii="Times New Roman" w:hAnsi="Times New Roman" w:cs="Times New Roman"/>
          <w:sz w:val="24"/>
          <w:szCs w:val="24"/>
        </w:rPr>
      </w:pPr>
      <w:r w:rsidRPr="00CF0E64">
        <w:rPr>
          <w:rFonts w:ascii="Times New Roman" w:eastAsia="Arial Unicode MS" w:hAnsi="Times New Roman" w:cs="Times New Roman"/>
          <w:kern w:val="1"/>
          <w:sz w:val="24"/>
          <w:szCs w:val="24"/>
          <w:lang w:eastAsia="ar-SA"/>
        </w:rPr>
        <w:t xml:space="preserve">Do § 8a sa dopĺňa definícia pojmu „klient“ pre účely automatickej výmeny informácií o cezhraničných opatreniach podliehajúcich oznamovaniu podľa smernice 2018/822 (tzv. DAC6). Klientom je </w:t>
      </w:r>
      <w:r w:rsidRPr="00CF0E64">
        <w:rPr>
          <w:rFonts w:ascii="Times New Roman" w:hAnsi="Times New Roman" w:cs="Times New Roman"/>
          <w:sz w:val="24"/>
          <w:szCs w:val="24"/>
        </w:rPr>
        <w:t xml:space="preserve">sprostredkovateľ alebo používateľ, ktorý prijíma služby, pomoc, odporúčania, poradenstvo alebo usmernenia od sprostredkovateľa, na ktorého sa vzťahuje povinnosť zachovávať mlčanlivosť v súvislosti s cezhraničným opatrením podliehajúcim oznamovaniu. </w:t>
      </w:r>
    </w:p>
    <w:p w14:paraId="3E62F719" w14:textId="77777777" w:rsidR="008C1A6E" w:rsidRPr="00CF0E64" w:rsidRDefault="008C1A6E" w:rsidP="008C1A6E">
      <w:pPr>
        <w:spacing w:after="0" w:line="252" w:lineRule="auto"/>
        <w:jc w:val="both"/>
        <w:rPr>
          <w:rFonts w:ascii="Times New Roman" w:hAnsi="Times New Roman" w:cs="Times New Roman"/>
          <w:sz w:val="24"/>
          <w:szCs w:val="24"/>
        </w:rPr>
      </w:pPr>
    </w:p>
    <w:p w14:paraId="48AC4A6E" w14:textId="77777777" w:rsidR="00D009CF" w:rsidRPr="00CF0E64" w:rsidRDefault="00D009CF"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17 - § 8b ods. 2</w:t>
      </w:r>
    </w:p>
    <w:p w14:paraId="14B04C42" w14:textId="75AE4F0C" w:rsidR="00D009CF" w:rsidRPr="00CF0E64" w:rsidRDefault="00D009CF" w:rsidP="008C1A6E">
      <w:pPr>
        <w:spacing w:after="0" w:line="252" w:lineRule="auto"/>
        <w:jc w:val="both"/>
        <w:rPr>
          <w:rFonts w:ascii="Times New Roman" w:eastAsia="Arial Unicode MS" w:hAnsi="Times New Roman" w:cs="Times New Roman"/>
          <w:kern w:val="1"/>
          <w:sz w:val="24"/>
          <w:szCs w:val="24"/>
          <w:lang w:eastAsia="ar-SA"/>
        </w:rPr>
      </w:pPr>
      <w:r w:rsidRPr="00CF0E64">
        <w:rPr>
          <w:rFonts w:ascii="Times New Roman" w:eastAsia="Arial Unicode MS" w:hAnsi="Times New Roman" w:cs="Times New Roman"/>
          <w:kern w:val="1"/>
          <w:sz w:val="24"/>
          <w:szCs w:val="24"/>
          <w:lang w:eastAsia="ar-SA"/>
        </w:rPr>
        <w:t xml:space="preserve">Znenie odseku 2 sa spresňuje nadväzne na rozsudok Súdneho dvora Európskej únie vo veci        C-623/22 </w:t>
      </w:r>
      <w:proofErr w:type="spellStart"/>
      <w:r w:rsidRPr="00CF0E64">
        <w:rPr>
          <w:rFonts w:ascii="Times New Roman" w:eastAsia="Arial Unicode MS" w:hAnsi="Times New Roman" w:cs="Times New Roman"/>
          <w:kern w:val="1"/>
          <w:sz w:val="24"/>
          <w:szCs w:val="24"/>
          <w:lang w:eastAsia="ar-SA"/>
        </w:rPr>
        <w:t>Belgian</w:t>
      </w:r>
      <w:proofErr w:type="spellEnd"/>
      <w:r w:rsidRPr="00CF0E64">
        <w:rPr>
          <w:rFonts w:ascii="Times New Roman" w:eastAsia="Arial Unicode MS" w:hAnsi="Times New Roman" w:cs="Times New Roman"/>
          <w:kern w:val="1"/>
          <w:sz w:val="24"/>
          <w:szCs w:val="24"/>
          <w:lang w:eastAsia="ar-SA"/>
        </w:rPr>
        <w:t xml:space="preserve"> Association of </w:t>
      </w:r>
      <w:proofErr w:type="spellStart"/>
      <w:r w:rsidRPr="00CF0E64">
        <w:rPr>
          <w:rFonts w:ascii="Times New Roman" w:eastAsia="Arial Unicode MS" w:hAnsi="Times New Roman" w:cs="Times New Roman"/>
          <w:kern w:val="1"/>
          <w:sz w:val="24"/>
          <w:szCs w:val="24"/>
          <w:lang w:eastAsia="ar-SA"/>
        </w:rPr>
        <w:t>Tax</w:t>
      </w:r>
      <w:proofErr w:type="spellEnd"/>
      <w:r w:rsidRPr="00CF0E64">
        <w:rPr>
          <w:rFonts w:ascii="Times New Roman" w:eastAsia="Arial Unicode MS" w:hAnsi="Times New Roman" w:cs="Times New Roman"/>
          <w:kern w:val="1"/>
          <w:sz w:val="24"/>
          <w:szCs w:val="24"/>
          <w:lang w:eastAsia="ar-SA"/>
        </w:rPr>
        <w:t xml:space="preserve"> </w:t>
      </w:r>
      <w:proofErr w:type="spellStart"/>
      <w:r w:rsidRPr="00CF0E64">
        <w:rPr>
          <w:rFonts w:ascii="Times New Roman" w:eastAsia="Arial Unicode MS" w:hAnsi="Times New Roman" w:cs="Times New Roman"/>
          <w:kern w:val="1"/>
          <w:sz w:val="24"/>
          <w:szCs w:val="24"/>
          <w:lang w:eastAsia="ar-SA"/>
        </w:rPr>
        <w:t>Lawyers</w:t>
      </w:r>
      <w:proofErr w:type="spellEnd"/>
      <w:r w:rsidRPr="00CF0E64">
        <w:rPr>
          <w:rFonts w:ascii="Times New Roman" w:eastAsia="Arial Unicode MS" w:hAnsi="Times New Roman" w:cs="Times New Roman"/>
          <w:kern w:val="1"/>
          <w:sz w:val="24"/>
          <w:szCs w:val="24"/>
          <w:lang w:eastAsia="ar-SA"/>
        </w:rPr>
        <w:t xml:space="preserve"> a i. v. </w:t>
      </w:r>
      <w:proofErr w:type="spellStart"/>
      <w:r w:rsidRPr="00CF0E64">
        <w:rPr>
          <w:rFonts w:ascii="Times New Roman" w:eastAsia="Arial Unicode MS" w:hAnsi="Times New Roman" w:cs="Times New Roman"/>
          <w:kern w:val="1"/>
          <w:sz w:val="24"/>
          <w:szCs w:val="24"/>
          <w:lang w:eastAsia="ar-SA"/>
        </w:rPr>
        <w:t>Premier</w:t>
      </w:r>
      <w:proofErr w:type="spellEnd"/>
      <w:r w:rsidRPr="00CF0E64">
        <w:rPr>
          <w:rFonts w:ascii="Times New Roman" w:eastAsia="Arial Unicode MS" w:hAnsi="Times New Roman" w:cs="Times New Roman"/>
          <w:kern w:val="1"/>
          <w:sz w:val="24"/>
          <w:szCs w:val="24"/>
          <w:lang w:eastAsia="ar-SA"/>
        </w:rPr>
        <w:t xml:space="preserve"> </w:t>
      </w:r>
      <w:proofErr w:type="spellStart"/>
      <w:r w:rsidRPr="00CF0E64">
        <w:rPr>
          <w:rFonts w:ascii="Times New Roman" w:eastAsia="Arial Unicode MS" w:hAnsi="Times New Roman" w:cs="Times New Roman"/>
          <w:kern w:val="1"/>
          <w:sz w:val="24"/>
          <w:szCs w:val="24"/>
          <w:lang w:eastAsia="ar-SA"/>
        </w:rPr>
        <w:t>ministre</w:t>
      </w:r>
      <w:proofErr w:type="spellEnd"/>
      <w:r w:rsidRPr="00CF0E64">
        <w:rPr>
          <w:rFonts w:ascii="Times New Roman" w:eastAsia="Arial Unicode MS" w:hAnsi="Times New Roman" w:cs="Times New Roman"/>
          <w:kern w:val="1"/>
          <w:sz w:val="24"/>
          <w:szCs w:val="24"/>
          <w:lang w:eastAsia="ar-SA"/>
        </w:rPr>
        <w:t xml:space="preserve">/ </w:t>
      </w:r>
      <w:proofErr w:type="spellStart"/>
      <w:r w:rsidRPr="00CF0E64">
        <w:rPr>
          <w:rFonts w:ascii="Times New Roman" w:eastAsia="Arial Unicode MS" w:hAnsi="Times New Roman" w:cs="Times New Roman"/>
          <w:kern w:val="1"/>
          <w:sz w:val="24"/>
          <w:szCs w:val="24"/>
          <w:lang w:eastAsia="ar-SA"/>
        </w:rPr>
        <w:t>Eerste</w:t>
      </w:r>
      <w:proofErr w:type="spellEnd"/>
      <w:r w:rsidRPr="00CF0E64">
        <w:rPr>
          <w:rFonts w:ascii="Times New Roman" w:eastAsia="Arial Unicode MS" w:hAnsi="Times New Roman" w:cs="Times New Roman"/>
          <w:kern w:val="1"/>
          <w:sz w:val="24"/>
          <w:szCs w:val="24"/>
          <w:lang w:eastAsia="ar-SA"/>
        </w:rPr>
        <w:t xml:space="preserve"> Minister, v rámci ktorého bolo potvrdené, že výnimka z oznamovacej povinnosti (podľa čl. 8ab ods. 5 smernice 2018/822) sa vzťahuje len na osoby, ktoré vykonávajú svoju profesijnú činnosť pod niektorým z profesijných titulov uvedených v článku 1 ods. 2 písm. a) smernice Európskeho parlamentu a Rady 98/5/ES zo 16. februára 1998 o uľahčení trvalého výkonu právnického povolania v inom členskom štáte ako v tom, kde bola získaná kvalifikácia. V prípade Slovenskej republiky je v predmetnej smernici uvedená profesia advokát/komerčný právnik. Nadväzne na uvedené sa upravuje poznámka pod čiarou, do ktorej sa uvádza len zákon č. 586/2003</w:t>
      </w:r>
      <w:r w:rsidR="00E47768" w:rsidRPr="00CF0E64">
        <w:rPr>
          <w:rFonts w:ascii="Times New Roman" w:eastAsia="Arial Unicode MS" w:hAnsi="Times New Roman" w:cs="Times New Roman"/>
          <w:kern w:val="1"/>
          <w:sz w:val="24"/>
          <w:szCs w:val="24"/>
          <w:lang w:eastAsia="ar-SA"/>
        </w:rPr>
        <w:t xml:space="preserve"> Z. z.</w:t>
      </w:r>
      <w:r w:rsidRPr="00CF0E64">
        <w:rPr>
          <w:rFonts w:ascii="Times New Roman" w:eastAsia="Arial Unicode MS" w:hAnsi="Times New Roman" w:cs="Times New Roman"/>
          <w:kern w:val="1"/>
          <w:sz w:val="24"/>
          <w:szCs w:val="24"/>
          <w:lang w:eastAsia="ar-SA"/>
        </w:rPr>
        <w:t xml:space="preserve"> o advokácii a výnimka z oznamovacej povinnosti sa bude vzťahovať len na túto profesiu. </w:t>
      </w:r>
      <w:r w:rsidR="005441A0" w:rsidRPr="00CF0E64">
        <w:rPr>
          <w:rFonts w:ascii="Times New Roman" w:eastAsia="Arial Unicode MS" w:hAnsi="Times New Roman" w:cs="Times New Roman"/>
          <w:kern w:val="1"/>
          <w:sz w:val="24"/>
          <w:szCs w:val="24"/>
          <w:lang w:eastAsia="ar-SA"/>
        </w:rPr>
        <w:t>Pôvodná poznámka pod čiarou sa vypúšťa.</w:t>
      </w:r>
    </w:p>
    <w:p w14:paraId="3B1B7ED0" w14:textId="77777777" w:rsidR="008C1A6E" w:rsidRPr="00CF0E64" w:rsidRDefault="008C1A6E" w:rsidP="008C1A6E">
      <w:pPr>
        <w:spacing w:after="0" w:line="252" w:lineRule="auto"/>
        <w:jc w:val="both"/>
        <w:rPr>
          <w:rFonts w:ascii="Times New Roman" w:eastAsia="Arial Unicode MS" w:hAnsi="Times New Roman" w:cs="Times New Roman"/>
          <w:kern w:val="1"/>
          <w:sz w:val="24"/>
          <w:szCs w:val="24"/>
          <w:lang w:eastAsia="ar-SA"/>
        </w:rPr>
      </w:pPr>
    </w:p>
    <w:p w14:paraId="3015A01D" w14:textId="5F6A6BAF" w:rsidR="00D009CF" w:rsidRPr="00CF0E64" w:rsidRDefault="008E144A" w:rsidP="008C1A6E">
      <w:pPr>
        <w:spacing w:after="0" w:line="252" w:lineRule="auto"/>
        <w:jc w:val="both"/>
        <w:rPr>
          <w:rFonts w:ascii="Times New Roman" w:eastAsia="Arial Unicode MS" w:hAnsi="Times New Roman" w:cs="Times New Roman"/>
          <w:b/>
          <w:kern w:val="1"/>
          <w:sz w:val="24"/>
          <w:szCs w:val="24"/>
          <w:u w:val="single"/>
          <w:lang w:eastAsia="ar-SA"/>
        </w:rPr>
      </w:pPr>
      <w:r w:rsidRPr="00CF0E64">
        <w:rPr>
          <w:rFonts w:ascii="Times New Roman" w:eastAsia="Arial Unicode MS" w:hAnsi="Times New Roman" w:cs="Times New Roman"/>
          <w:b/>
          <w:kern w:val="1"/>
          <w:sz w:val="24"/>
          <w:szCs w:val="24"/>
          <w:u w:val="single"/>
          <w:lang w:eastAsia="ar-SA"/>
        </w:rPr>
        <w:t>K bodu 18 - § 8d</w:t>
      </w:r>
    </w:p>
    <w:p w14:paraId="1AA8472D" w14:textId="4989B10B" w:rsidR="005441A0" w:rsidRPr="00CF0E64" w:rsidRDefault="005441A0"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eastAsia="Arial Unicode MS" w:hAnsi="Times New Roman" w:cs="Times New Roman"/>
          <w:kern w:val="1"/>
          <w:sz w:val="24"/>
          <w:szCs w:val="24"/>
          <w:lang w:eastAsia="ar-SA"/>
        </w:rPr>
        <w:t xml:space="preserve">Nadväzne na rozsudok Súdneho dvora vo veci C-694/20, </w:t>
      </w:r>
      <w:proofErr w:type="spellStart"/>
      <w:r w:rsidRPr="00CF0E64">
        <w:rPr>
          <w:rFonts w:ascii="Times New Roman" w:eastAsia="Arial Unicode MS" w:hAnsi="Times New Roman" w:cs="Times New Roman"/>
          <w:kern w:val="1"/>
          <w:sz w:val="24"/>
          <w:szCs w:val="24"/>
          <w:lang w:eastAsia="ar-SA"/>
        </w:rPr>
        <w:t>Orde</w:t>
      </w:r>
      <w:proofErr w:type="spellEnd"/>
      <w:r w:rsidRPr="00CF0E64">
        <w:rPr>
          <w:rFonts w:ascii="Times New Roman" w:eastAsia="Arial Unicode MS" w:hAnsi="Times New Roman" w:cs="Times New Roman"/>
          <w:kern w:val="1"/>
          <w:sz w:val="24"/>
          <w:szCs w:val="24"/>
          <w:lang w:eastAsia="ar-SA"/>
        </w:rPr>
        <w:t xml:space="preserve"> van </w:t>
      </w:r>
      <w:proofErr w:type="spellStart"/>
      <w:r w:rsidRPr="00CF0E64">
        <w:rPr>
          <w:rFonts w:ascii="Times New Roman" w:eastAsia="Arial Unicode MS" w:hAnsi="Times New Roman" w:cs="Times New Roman"/>
          <w:kern w:val="1"/>
          <w:sz w:val="24"/>
          <w:szCs w:val="24"/>
          <w:lang w:eastAsia="ar-SA"/>
        </w:rPr>
        <w:t>Vlaamse</w:t>
      </w:r>
      <w:proofErr w:type="spellEnd"/>
      <w:r w:rsidRPr="00CF0E64">
        <w:rPr>
          <w:rFonts w:ascii="Times New Roman" w:eastAsia="Arial Unicode MS" w:hAnsi="Times New Roman" w:cs="Times New Roman"/>
          <w:kern w:val="1"/>
          <w:sz w:val="24"/>
          <w:szCs w:val="24"/>
          <w:lang w:eastAsia="ar-SA"/>
        </w:rPr>
        <w:t xml:space="preserve"> </w:t>
      </w:r>
      <w:proofErr w:type="spellStart"/>
      <w:r w:rsidRPr="00CF0E64">
        <w:rPr>
          <w:rFonts w:ascii="Times New Roman" w:eastAsia="Arial Unicode MS" w:hAnsi="Times New Roman" w:cs="Times New Roman"/>
          <w:kern w:val="1"/>
          <w:sz w:val="24"/>
          <w:szCs w:val="24"/>
          <w:lang w:eastAsia="ar-SA"/>
        </w:rPr>
        <w:t>Balies</w:t>
      </w:r>
      <w:proofErr w:type="spellEnd"/>
      <w:r w:rsidRPr="00CF0E64">
        <w:rPr>
          <w:rFonts w:ascii="Times New Roman" w:eastAsia="Arial Unicode MS" w:hAnsi="Times New Roman" w:cs="Times New Roman"/>
          <w:kern w:val="1"/>
          <w:sz w:val="24"/>
          <w:szCs w:val="24"/>
          <w:lang w:eastAsia="ar-SA"/>
        </w:rPr>
        <w:t xml:space="preserve"> a ďalší sa smernica (EÚ) 2011/16/EÚ zmenila tak, </w:t>
      </w:r>
      <w:r w:rsidRPr="00CF0E64">
        <w:rPr>
          <w:rFonts w:ascii="Times New Roman" w:hAnsi="Times New Roman" w:cs="Times New Roman"/>
          <w:color w:val="333333"/>
          <w:sz w:val="24"/>
          <w:szCs w:val="24"/>
          <w:shd w:val="clear" w:color="auto" w:fill="FFFFFF"/>
        </w:rPr>
        <w:t>aby jej ustanovenia nemali za následok, že sa od advokátov konajúcich ako sprostredkovateľov vyžadovalo, aby v prípade, že sú oslobodení od povinnosti oznamovania z dôvodu povinnosti zachovávať mlčanlivosť, ktorou sú viazaní, oznámili každému sprostredkovateľovi, ktorý nie je ich klientom, povinnos</w:t>
      </w:r>
      <w:r w:rsidR="003D2DE1">
        <w:rPr>
          <w:rFonts w:ascii="Times New Roman" w:hAnsi="Times New Roman" w:cs="Times New Roman"/>
          <w:color w:val="333333"/>
          <w:sz w:val="24"/>
          <w:szCs w:val="24"/>
          <w:shd w:val="clear" w:color="auto" w:fill="FFFFFF"/>
        </w:rPr>
        <w:t>ti</w:t>
      </w:r>
      <w:r w:rsidRPr="00CF0E64">
        <w:rPr>
          <w:rFonts w:ascii="Times New Roman" w:hAnsi="Times New Roman" w:cs="Times New Roman"/>
          <w:color w:val="333333"/>
          <w:sz w:val="24"/>
          <w:szCs w:val="24"/>
          <w:shd w:val="clear" w:color="auto" w:fill="FFFFFF"/>
        </w:rPr>
        <w:t xml:space="preserve"> oznamovania</w:t>
      </w:r>
      <w:r w:rsidR="003D2DE1">
        <w:rPr>
          <w:rFonts w:ascii="Times New Roman" w:hAnsi="Times New Roman" w:cs="Times New Roman"/>
          <w:color w:val="333333"/>
          <w:sz w:val="24"/>
          <w:szCs w:val="24"/>
          <w:shd w:val="clear" w:color="auto" w:fill="FFFFFF"/>
        </w:rPr>
        <w:t>, ktoré takémuto sprostredkovateľovi prislúchajú</w:t>
      </w:r>
      <w:r w:rsidRPr="00CF0E64">
        <w:rPr>
          <w:rFonts w:ascii="Times New Roman" w:hAnsi="Times New Roman" w:cs="Times New Roman"/>
          <w:color w:val="333333"/>
          <w:sz w:val="24"/>
          <w:szCs w:val="24"/>
          <w:shd w:val="clear" w:color="auto" w:fill="FFFFFF"/>
        </w:rPr>
        <w:t>. Všetci sprostredkovatelia, ktorí sú oslobodení od povinnosti oznamovania z dôvodu povinnosti zachovávať mlčanlivosť, ktorou sú viazaní, by však mali mať naďalej povinnosť bezodkladne informovať svojho klienta o jeho oznamovacích povinnostiach.</w:t>
      </w:r>
      <w:r w:rsidR="001B1B60" w:rsidRPr="00CF0E64">
        <w:rPr>
          <w:rFonts w:ascii="Times New Roman" w:hAnsi="Times New Roman" w:cs="Times New Roman"/>
          <w:color w:val="333333"/>
          <w:sz w:val="24"/>
          <w:szCs w:val="24"/>
          <w:shd w:val="clear" w:color="auto" w:fill="FFFFFF"/>
        </w:rPr>
        <w:t xml:space="preserve"> Preto sa v § 8d upravuje povinnosť sprostredkovateľa s povinnosťou zachovania mlčanlivosti bezodkladné informovanie klienta (iného sprostredkovateľa alebo daňovníka) o oznamovacích povinnostiach podľa § 8c ods. 1 zákona č. 442/2012 Z. z.</w:t>
      </w:r>
      <w:r w:rsidR="00E47768" w:rsidRPr="00CF0E64">
        <w:rPr>
          <w:rFonts w:ascii="Times New Roman" w:hAnsi="Times New Roman" w:cs="Times New Roman"/>
          <w:color w:val="333333"/>
          <w:sz w:val="24"/>
          <w:szCs w:val="24"/>
          <w:shd w:val="clear" w:color="auto" w:fill="FFFFFF"/>
        </w:rPr>
        <w:t>.</w:t>
      </w:r>
    </w:p>
    <w:p w14:paraId="394BC1E7"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1240FFA7" w14:textId="1D116F3D" w:rsidR="001B1B60" w:rsidRPr="00CF0E64" w:rsidRDefault="001B1B60"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w:t>
      </w:r>
      <w:r w:rsidR="00A23794">
        <w:rPr>
          <w:rFonts w:ascii="Times New Roman" w:hAnsi="Times New Roman" w:cs="Times New Roman"/>
          <w:b/>
          <w:color w:val="333333"/>
          <w:sz w:val="24"/>
          <w:szCs w:val="24"/>
          <w:u w:val="single"/>
          <w:shd w:val="clear" w:color="auto" w:fill="FFFFFF"/>
        </w:rPr>
        <w:t>u</w:t>
      </w:r>
      <w:r w:rsidRPr="00CF0E64">
        <w:rPr>
          <w:rFonts w:ascii="Times New Roman" w:hAnsi="Times New Roman" w:cs="Times New Roman"/>
          <w:b/>
          <w:color w:val="333333"/>
          <w:sz w:val="24"/>
          <w:szCs w:val="24"/>
          <w:u w:val="single"/>
          <w:shd w:val="clear" w:color="auto" w:fill="FFFFFF"/>
        </w:rPr>
        <w:t xml:space="preserve"> 19</w:t>
      </w:r>
      <w:r w:rsidR="00A23794">
        <w:rPr>
          <w:rFonts w:ascii="Times New Roman" w:hAnsi="Times New Roman" w:cs="Times New Roman"/>
          <w:b/>
          <w:color w:val="333333"/>
          <w:sz w:val="24"/>
          <w:szCs w:val="24"/>
          <w:u w:val="single"/>
          <w:shd w:val="clear" w:color="auto" w:fill="FFFFFF"/>
        </w:rPr>
        <w:t xml:space="preserve"> </w:t>
      </w:r>
      <w:r w:rsidRPr="00CF0E64">
        <w:rPr>
          <w:rFonts w:ascii="Times New Roman" w:hAnsi="Times New Roman" w:cs="Times New Roman"/>
          <w:b/>
          <w:color w:val="333333"/>
          <w:sz w:val="24"/>
          <w:szCs w:val="24"/>
          <w:u w:val="single"/>
          <w:shd w:val="clear" w:color="auto" w:fill="FFFFFF"/>
        </w:rPr>
        <w:t xml:space="preserve">– § 8f písm. a) </w:t>
      </w:r>
    </w:p>
    <w:p w14:paraId="3D63DB03" w14:textId="5A40309D" w:rsidR="001B1B60" w:rsidRPr="00CF0E64" w:rsidRDefault="001509A9" w:rsidP="008C1A6E">
      <w:pPr>
        <w:spacing w:after="0" w:line="252"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Spresňuje sa</w:t>
      </w:r>
      <w:r w:rsidR="00220C7F" w:rsidRPr="00CF0E64">
        <w:rPr>
          <w:rFonts w:ascii="Times New Roman" w:hAnsi="Times New Roman" w:cs="Times New Roman"/>
          <w:color w:val="333333"/>
          <w:sz w:val="24"/>
          <w:szCs w:val="24"/>
          <w:shd w:val="clear" w:color="auto" w:fill="FFFFFF"/>
        </w:rPr>
        <w:t xml:space="preserve"> text ohľadom daňového identifikačného čísla </w:t>
      </w:r>
      <w:r w:rsidR="004C3A85" w:rsidRPr="00CF0E64">
        <w:rPr>
          <w:rFonts w:ascii="Times New Roman" w:hAnsi="Times New Roman" w:cs="Times New Roman"/>
          <w:color w:val="333333"/>
          <w:sz w:val="24"/>
          <w:szCs w:val="24"/>
          <w:shd w:val="clear" w:color="auto" w:fill="FFFFFF"/>
        </w:rPr>
        <w:t>v nadväznosti</w:t>
      </w:r>
      <w:r w:rsidR="00220C7F" w:rsidRPr="00CF0E64">
        <w:rPr>
          <w:rFonts w:ascii="Times New Roman" w:hAnsi="Times New Roman" w:cs="Times New Roman"/>
          <w:color w:val="333333"/>
          <w:sz w:val="24"/>
          <w:szCs w:val="24"/>
          <w:shd w:val="clear" w:color="auto" w:fill="FFFFFF"/>
        </w:rPr>
        <w:t xml:space="preserve"> na cieľ smernice (EÚ) 2023/2226 zvýšiť poskytovanie daňových identifikačných čísel v rámci všetkých druhov automatickej výmeny informácií. </w:t>
      </w:r>
    </w:p>
    <w:p w14:paraId="6D1E49C5" w14:textId="60642BEA" w:rsidR="008C1A6E" w:rsidRDefault="008C1A6E" w:rsidP="008C1A6E">
      <w:pPr>
        <w:spacing w:after="0" w:line="252" w:lineRule="auto"/>
        <w:jc w:val="both"/>
        <w:rPr>
          <w:rFonts w:ascii="Times New Roman" w:hAnsi="Times New Roman" w:cs="Times New Roman"/>
          <w:color w:val="333333"/>
          <w:sz w:val="24"/>
          <w:szCs w:val="24"/>
          <w:shd w:val="clear" w:color="auto" w:fill="FFFFFF"/>
        </w:rPr>
      </w:pPr>
    </w:p>
    <w:p w14:paraId="7DF59C20" w14:textId="48877A73" w:rsidR="001509A9" w:rsidRPr="001509A9" w:rsidRDefault="001509A9" w:rsidP="008C1A6E">
      <w:pPr>
        <w:spacing w:after="0" w:line="252" w:lineRule="auto"/>
        <w:jc w:val="both"/>
        <w:rPr>
          <w:rFonts w:ascii="Times New Roman" w:hAnsi="Times New Roman" w:cs="Times New Roman"/>
          <w:b/>
          <w:color w:val="333333"/>
          <w:sz w:val="24"/>
          <w:szCs w:val="24"/>
          <w:u w:val="single"/>
          <w:shd w:val="clear" w:color="auto" w:fill="FFFFFF"/>
        </w:rPr>
      </w:pPr>
      <w:r w:rsidRPr="001509A9">
        <w:rPr>
          <w:rFonts w:ascii="Times New Roman" w:hAnsi="Times New Roman" w:cs="Times New Roman"/>
          <w:b/>
          <w:color w:val="333333"/>
          <w:sz w:val="24"/>
          <w:szCs w:val="24"/>
          <w:u w:val="single"/>
          <w:shd w:val="clear" w:color="auto" w:fill="FFFFFF"/>
        </w:rPr>
        <w:t>K bodu 20 - § 8f</w:t>
      </w:r>
      <w:r>
        <w:rPr>
          <w:rFonts w:ascii="Times New Roman" w:hAnsi="Times New Roman" w:cs="Times New Roman"/>
          <w:b/>
          <w:color w:val="333333"/>
          <w:sz w:val="24"/>
          <w:szCs w:val="24"/>
          <w:u w:val="single"/>
          <w:shd w:val="clear" w:color="auto" w:fill="FFFFFF"/>
        </w:rPr>
        <w:t>,</w:t>
      </w:r>
      <w:r w:rsidRPr="001509A9">
        <w:rPr>
          <w:rFonts w:ascii="Times New Roman" w:hAnsi="Times New Roman" w:cs="Times New Roman"/>
          <w:b/>
          <w:color w:val="333333"/>
          <w:sz w:val="24"/>
          <w:szCs w:val="24"/>
          <w:u w:val="single"/>
          <w:shd w:val="clear" w:color="auto" w:fill="FFFFFF"/>
        </w:rPr>
        <w:t xml:space="preserve"> nový odsek 2</w:t>
      </w:r>
    </w:p>
    <w:p w14:paraId="591618BB" w14:textId="7E391535" w:rsidR="001509A9" w:rsidRDefault="001509A9" w:rsidP="008C1A6E">
      <w:pPr>
        <w:spacing w:after="0" w:line="252"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N</w:t>
      </w:r>
      <w:r w:rsidRPr="00CF0E64">
        <w:rPr>
          <w:rFonts w:ascii="Times New Roman" w:hAnsi="Times New Roman" w:cs="Times New Roman"/>
          <w:color w:val="333333"/>
          <w:sz w:val="24"/>
          <w:szCs w:val="24"/>
          <w:shd w:val="clear" w:color="auto" w:fill="FFFFFF"/>
        </w:rPr>
        <w:t>adväzne na rozsudok Súdneho dvora EÚ vo veci C-694/20</w:t>
      </w:r>
      <w:r>
        <w:rPr>
          <w:rFonts w:ascii="Times New Roman" w:hAnsi="Times New Roman" w:cs="Times New Roman"/>
          <w:color w:val="333333"/>
          <w:sz w:val="24"/>
          <w:szCs w:val="24"/>
          <w:shd w:val="clear" w:color="auto" w:fill="FFFFFF"/>
        </w:rPr>
        <w:t xml:space="preserve"> a úpravu </w:t>
      </w:r>
      <w:r>
        <w:rPr>
          <w:rFonts w:ascii="Times New Roman" w:hAnsi="Times New Roman" w:cs="Times New Roman"/>
          <w:color w:val="333333"/>
          <w:sz w:val="24"/>
          <w:szCs w:val="24"/>
          <w:shd w:val="clear" w:color="auto" w:fill="FFFFFF"/>
        </w:rPr>
        <w:lastRenderedPageBreak/>
        <w:t xml:space="preserve">smernice (EÚ)  2023/2226 sa nebudú oznamovať identifikačné údaje sprostredkovateľa s povinnosťou mlčanlivosti. </w:t>
      </w:r>
    </w:p>
    <w:p w14:paraId="5022DBC4" w14:textId="77777777" w:rsidR="001509A9" w:rsidRPr="00CF0E64" w:rsidRDefault="001509A9" w:rsidP="008C1A6E">
      <w:pPr>
        <w:spacing w:after="0" w:line="252" w:lineRule="auto"/>
        <w:jc w:val="both"/>
        <w:rPr>
          <w:rFonts w:ascii="Times New Roman" w:hAnsi="Times New Roman" w:cs="Times New Roman"/>
          <w:color w:val="333333"/>
          <w:sz w:val="24"/>
          <w:szCs w:val="24"/>
          <w:shd w:val="clear" w:color="auto" w:fill="FFFFFF"/>
        </w:rPr>
      </w:pPr>
    </w:p>
    <w:p w14:paraId="7B94D43E" w14:textId="71CC2920" w:rsidR="00220C7F" w:rsidRPr="00CF0E64" w:rsidRDefault="00220C7F"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 xml:space="preserve">K bodu 21 - § 8f písm. c) </w:t>
      </w:r>
    </w:p>
    <w:p w14:paraId="6B27B8DD" w14:textId="3E01079F" w:rsidR="00220C7F" w:rsidRPr="00CF0E64" w:rsidRDefault="00220C7F"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 xml:space="preserve">Znenie ustanovenia sa spresňuje s ohľadom na znenie smernice (EÚ) 2023/2226. </w:t>
      </w:r>
    </w:p>
    <w:p w14:paraId="488E3EBF"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0CADA1F7" w14:textId="400CD359" w:rsidR="00220C7F" w:rsidRPr="00CF0E64" w:rsidRDefault="00220C7F"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w:t>
      </w:r>
      <w:r w:rsidR="00D73CE9" w:rsidRPr="00CF0E64">
        <w:rPr>
          <w:rFonts w:ascii="Times New Roman" w:hAnsi="Times New Roman" w:cs="Times New Roman"/>
          <w:b/>
          <w:color w:val="333333"/>
          <w:sz w:val="24"/>
          <w:szCs w:val="24"/>
          <w:u w:val="single"/>
          <w:shd w:val="clear" w:color="auto" w:fill="FFFFFF"/>
        </w:rPr>
        <w:t xml:space="preserve"> bodom </w:t>
      </w:r>
      <w:r w:rsidRPr="00CF0E64">
        <w:rPr>
          <w:rFonts w:ascii="Times New Roman" w:hAnsi="Times New Roman" w:cs="Times New Roman"/>
          <w:b/>
          <w:color w:val="333333"/>
          <w:sz w:val="24"/>
          <w:szCs w:val="24"/>
          <w:u w:val="single"/>
          <w:shd w:val="clear" w:color="auto" w:fill="FFFFFF"/>
        </w:rPr>
        <w:t>2</w:t>
      </w:r>
      <w:r w:rsidR="00D73CE9" w:rsidRPr="00CF0E64">
        <w:rPr>
          <w:rFonts w:ascii="Times New Roman" w:hAnsi="Times New Roman" w:cs="Times New Roman"/>
          <w:b/>
          <w:color w:val="333333"/>
          <w:sz w:val="24"/>
          <w:szCs w:val="24"/>
          <w:u w:val="single"/>
          <w:shd w:val="clear" w:color="auto" w:fill="FFFFFF"/>
        </w:rPr>
        <w:t>2 a 23</w:t>
      </w:r>
      <w:r w:rsidRPr="00CF0E64">
        <w:rPr>
          <w:rFonts w:ascii="Times New Roman" w:hAnsi="Times New Roman" w:cs="Times New Roman"/>
          <w:b/>
          <w:color w:val="333333"/>
          <w:sz w:val="24"/>
          <w:szCs w:val="24"/>
          <w:u w:val="single"/>
          <w:shd w:val="clear" w:color="auto" w:fill="FFFFFF"/>
        </w:rPr>
        <w:t xml:space="preserve"> - §14 ods. 1</w:t>
      </w:r>
    </w:p>
    <w:p w14:paraId="6894B46B" w14:textId="0813C0DC" w:rsidR="00220C7F" w:rsidRPr="00CF0E64" w:rsidRDefault="00220C7F"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Rozširuje sa zoznam účelov, na ktoré môže byť sprístupnená informácia prijatá od príslušného orgá</w:t>
      </w:r>
      <w:r w:rsidR="00D73CE9" w:rsidRPr="00CF0E64">
        <w:rPr>
          <w:rFonts w:ascii="Times New Roman" w:hAnsi="Times New Roman" w:cs="Times New Roman"/>
          <w:color w:val="333333"/>
          <w:sz w:val="24"/>
          <w:szCs w:val="24"/>
          <w:shd w:val="clear" w:color="auto" w:fill="FFFFFF"/>
        </w:rPr>
        <w:t xml:space="preserve">nu členského štátu. V zmysle doplnenia smernice bude možné od 1. januára 2026 informácie sprístupniť aj na účely správy ciel a na účely predchádzania a odhaľovania legalizácie príjmov z trestnej činnosti a financovania terorizmu. </w:t>
      </w:r>
    </w:p>
    <w:p w14:paraId="78DA6374" w14:textId="1409F304" w:rsidR="00D73CE9" w:rsidRPr="00CF0E64" w:rsidRDefault="00D73CE9" w:rsidP="008C1A6E">
      <w:pPr>
        <w:spacing w:after="0" w:line="252" w:lineRule="auto"/>
        <w:jc w:val="both"/>
        <w:rPr>
          <w:rFonts w:ascii="Times New Roman" w:eastAsia="Times New Roman" w:hAnsi="Times New Roman" w:cs="Times New Roman"/>
          <w:sz w:val="24"/>
          <w:szCs w:val="24"/>
          <w:lang w:eastAsia="sk-SK"/>
        </w:rPr>
      </w:pPr>
      <w:r w:rsidRPr="00CF0E64">
        <w:rPr>
          <w:rFonts w:ascii="Times New Roman" w:hAnsi="Times New Roman" w:cs="Times New Roman"/>
          <w:color w:val="333333"/>
          <w:sz w:val="24"/>
          <w:szCs w:val="24"/>
          <w:shd w:val="clear" w:color="auto" w:fill="FFFFFF"/>
        </w:rPr>
        <w:t xml:space="preserve">Zároveň sa odsek 1 dopĺňa o nové písmeno d), v rámci ktorého sa umožňuje sprístupnenie informácie prijatej od príslušného orgánu členského štátu aj príslušnému orgánu zodpovednému za uplatňovanie reštriktívnych opatrení podľa zákona č. 289/2016 Z. z. </w:t>
      </w:r>
      <w:r w:rsidRPr="00CF0E64">
        <w:rPr>
          <w:rFonts w:ascii="Times New Roman" w:eastAsia="Times New Roman" w:hAnsi="Times New Roman" w:cs="Times New Roman"/>
          <w:sz w:val="24"/>
          <w:szCs w:val="24"/>
          <w:lang w:eastAsia="sk-SK"/>
        </w:rPr>
        <w:t xml:space="preserve">o vykonávaní medzinárodných sankcií. </w:t>
      </w:r>
    </w:p>
    <w:p w14:paraId="5CBC9AD2"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7110FCA1" w14:textId="0CE8EAA8" w:rsidR="00220C7F" w:rsidRPr="00CF0E64" w:rsidRDefault="00D73CE9"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bodu 24 - § 14 ods. 2</w:t>
      </w:r>
    </w:p>
    <w:p w14:paraId="2DCFB0F6" w14:textId="4A8C573C" w:rsidR="00D73CE9" w:rsidRPr="00CF0E64" w:rsidRDefault="00D73CE9"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Zosúladenie s požiadavkou smernice (EÚ) 2023/2226. Lehota na odmietnutie sprístupnenia informácií sa upravuje z 10 pracovných dní na 15 kalendárnych dní.</w:t>
      </w:r>
    </w:p>
    <w:p w14:paraId="04FB76B0"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50485D30" w14:textId="70F6B805" w:rsidR="00D73CE9" w:rsidRPr="00CF0E64" w:rsidRDefault="00D73CE9"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bodu 25 - § 20 ods. 3</w:t>
      </w:r>
    </w:p>
    <w:p w14:paraId="5F8DBE48" w14:textId="7032CF05" w:rsidR="00D73CE9" w:rsidRPr="00CF0E64" w:rsidRDefault="00D73CE9"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 xml:space="preserve">V zmysle požiadavky smernice (EÚ) 2023/2226 sa upravuje povinnosť pre príslušný orgán Slovenskej republiky monitorovať a posudzovať účinnosť administratívnej spolupráce a všetkých druhov automatických výmen a každoročne Európskej komisii oznámiť výsledky posúdenia. </w:t>
      </w:r>
      <w:r w:rsidR="00244B87" w:rsidRPr="00CF0E64">
        <w:rPr>
          <w:rFonts w:ascii="Times New Roman" w:hAnsi="Times New Roman" w:cs="Times New Roman"/>
          <w:color w:val="333333"/>
          <w:sz w:val="24"/>
          <w:szCs w:val="24"/>
          <w:shd w:val="clear" w:color="auto" w:fill="FFFFFF"/>
        </w:rPr>
        <w:t xml:space="preserve">Výsledky sa oznamujú elektronicky vo forme vyplneného štandardného formulára. </w:t>
      </w:r>
    </w:p>
    <w:p w14:paraId="683CF50A"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475A6E52" w14:textId="6410134D" w:rsidR="00244B87" w:rsidRPr="00CF0E64" w:rsidRDefault="00244B87"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bodu 26 - § 20 ods. 7 a 8</w:t>
      </w:r>
    </w:p>
    <w:p w14:paraId="2A528BCE" w14:textId="47951746" w:rsidR="00244B87" w:rsidRPr="00CF0E64" w:rsidRDefault="00244B87"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 xml:space="preserve">V odseku 7 sa ukladá </w:t>
      </w:r>
      <w:r w:rsidR="00B26C25">
        <w:rPr>
          <w:rFonts w:ascii="Times New Roman" w:hAnsi="Times New Roman" w:cs="Times New Roman"/>
          <w:color w:val="333333"/>
          <w:sz w:val="24"/>
          <w:szCs w:val="24"/>
          <w:shd w:val="clear" w:color="auto" w:fill="FFFFFF"/>
        </w:rPr>
        <w:t xml:space="preserve">v súlade so smernicou (EÚ) 2023/2226 </w:t>
      </w:r>
      <w:r w:rsidRPr="00CF0E64">
        <w:rPr>
          <w:rFonts w:ascii="Times New Roman" w:hAnsi="Times New Roman" w:cs="Times New Roman"/>
          <w:color w:val="333333"/>
          <w:sz w:val="24"/>
          <w:szCs w:val="24"/>
          <w:shd w:val="clear" w:color="auto" w:fill="FFFFFF"/>
        </w:rPr>
        <w:t xml:space="preserve">povinnosť pre príslušný orgán Slovenskej republiky zaviesť účinný mechanizmus na zabezpečenie používania informácií získaných v rámci všetkých druhov automatických výmen. </w:t>
      </w:r>
    </w:p>
    <w:p w14:paraId="4A4FAB3D" w14:textId="05917526" w:rsidR="00244B87" w:rsidRPr="00CF0E64" w:rsidRDefault="00244B87" w:rsidP="008C1A6E">
      <w:pPr>
        <w:spacing w:after="0" w:line="252" w:lineRule="auto"/>
        <w:jc w:val="both"/>
        <w:rPr>
          <w:rFonts w:ascii="Times New Roman" w:eastAsia="Times New Roman" w:hAnsi="Times New Roman" w:cs="Times New Roman"/>
          <w:sz w:val="24"/>
          <w:szCs w:val="24"/>
          <w:lang w:eastAsia="sk-SK"/>
        </w:rPr>
      </w:pPr>
      <w:r w:rsidRPr="00CF0E64">
        <w:rPr>
          <w:rFonts w:ascii="Times New Roman" w:hAnsi="Times New Roman" w:cs="Times New Roman"/>
          <w:color w:val="333333"/>
          <w:sz w:val="24"/>
          <w:szCs w:val="24"/>
          <w:shd w:val="clear" w:color="auto" w:fill="FFFFFF"/>
        </w:rPr>
        <w:t>V odseku 8 sa v súlade so smernicou (EÚ) 2023/2226 upravuje,</w:t>
      </w:r>
      <w:r w:rsidR="00E27CF8" w:rsidRPr="00CF0E64">
        <w:rPr>
          <w:rFonts w:ascii="Times New Roman" w:hAnsi="Times New Roman" w:cs="Times New Roman"/>
          <w:color w:val="333333"/>
          <w:sz w:val="24"/>
          <w:szCs w:val="24"/>
          <w:shd w:val="clear" w:color="auto" w:fill="FFFFFF"/>
        </w:rPr>
        <w:t xml:space="preserve"> že p</w:t>
      </w:r>
      <w:r w:rsidR="00E27CF8" w:rsidRPr="00CF0E64">
        <w:rPr>
          <w:rFonts w:ascii="Times New Roman" w:eastAsia="Times New Roman" w:hAnsi="Times New Roman" w:cs="Times New Roman"/>
          <w:sz w:val="24"/>
          <w:szCs w:val="24"/>
          <w:lang w:eastAsia="sk-SK"/>
        </w:rPr>
        <w:t xml:space="preserve">ríslušný orgán Slovenskej republiky umožní prostredníctvom elektronického nástroja poskytnutého Európskou komisiou, aby oznamujúci subjekt mohol elektronickými prostriedkami získať potvrdenie platnosti informácií o daňovom identifikačnom čísle daňovníka podliehajúceho výmene informácií a sú presne stanovené údaje, správnosť ktorých sa môže overovať cez tento elektronický nástroj Európskej komisie. </w:t>
      </w:r>
    </w:p>
    <w:p w14:paraId="3847F797"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77859DA3" w14:textId="1AC79C4A" w:rsidR="00220C7F" w:rsidRPr="00CF0E64" w:rsidRDefault="00C36A83"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bodu 27 – § 22b ods. 3</w:t>
      </w:r>
    </w:p>
    <w:p w14:paraId="027E25FD" w14:textId="3BF22BF4" w:rsidR="00C36A83" w:rsidRPr="00CF0E64" w:rsidRDefault="00C36A83"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 xml:space="preserve">Obsah správy podľa jednotlivých štátov sa aktualizuje s ohľadom na povinnosť poskytovať daňové identifikačné čísla vyplývajúcu zo smernice (EÚ) 2023/2226. Z tohto dôvodu sa do odseku 3 dopĺňa samostatné písmeno c), v rámci ktorého sa požaduje oznamovať povinne aj daňového identifikačné číslo pridelené základným subjektom v štáte, v ktorom sú predmetom zdanenia z dôvodu bydliska, stáleho pobytu, sídla alebo miesta skutočného vedenia.  </w:t>
      </w:r>
    </w:p>
    <w:p w14:paraId="548D1026"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79308E11" w14:textId="1A2123AC" w:rsidR="00907B78" w:rsidRPr="00CF0E64" w:rsidRDefault="005846B6"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 xml:space="preserve">K bodu 28 - § 22h písm. </w:t>
      </w:r>
      <w:proofErr w:type="spellStart"/>
      <w:r w:rsidRPr="00CF0E64">
        <w:rPr>
          <w:rFonts w:ascii="Times New Roman" w:hAnsi="Times New Roman" w:cs="Times New Roman"/>
          <w:b/>
          <w:color w:val="333333"/>
          <w:sz w:val="24"/>
          <w:szCs w:val="24"/>
          <w:u w:val="single"/>
          <w:shd w:val="clear" w:color="auto" w:fill="FFFFFF"/>
        </w:rPr>
        <w:t>aa</w:t>
      </w:r>
      <w:proofErr w:type="spellEnd"/>
      <w:r w:rsidRPr="00CF0E64">
        <w:rPr>
          <w:rFonts w:ascii="Times New Roman" w:hAnsi="Times New Roman" w:cs="Times New Roman"/>
          <w:b/>
          <w:color w:val="333333"/>
          <w:sz w:val="24"/>
          <w:szCs w:val="24"/>
          <w:u w:val="single"/>
          <w:shd w:val="clear" w:color="auto" w:fill="FFFFFF"/>
        </w:rPr>
        <w:t>)</w:t>
      </w:r>
    </w:p>
    <w:p w14:paraId="60DCC0C9" w14:textId="42B159D8" w:rsidR="005846B6" w:rsidRPr="00CF0E64" w:rsidRDefault="001574C6"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Dopĺňa sa definícia pojmu „identifikačná služba“, ktorý sa používa v kontexte automatickej výmeny informácií oznamovaných digitálnymi platformami</w:t>
      </w:r>
      <w:r w:rsidR="006D4EFC" w:rsidRPr="00CF0E64">
        <w:rPr>
          <w:rFonts w:ascii="Times New Roman" w:hAnsi="Times New Roman" w:cs="Times New Roman"/>
          <w:color w:val="333333"/>
          <w:sz w:val="24"/>
          <w:szCs w:val="24"/>
          <w:shd w:val="clear" w:color="auto" w:fill="FFFFFF"/>
        </w:rPr>
        <w:t xml:space="preserve"> (podľa smernice 2021/514/EÚ tzv. DAC7)</w:t>
      </w:r>
      <w:r w:rsidRPr="00CF0E64">
        <w:rPr>
          <w:rFonts w:ascii="Times New Roman" w:hAnsi="Times New Roman" w:cs="Times New Roman"/>
          <w:color w:val="333333"/>
          <w:sz w:val="24"/>
          <w:szCs w:val="24"/>
          <w:shd w:val="clear" w:color="auto" w:fill="FFFFFF"/>
        </w:rPr>
        <w:t xml:space="preserve">. Ide o elektronický proces, ktorý bezplatne sprístupňuje členský štát alebo Európska </w:t>
      </w:r>
      <w:r w:rsidRPr="00CF0E64">
        <w:rPr>
          <w:rFonts w:ascii="Times New Roman" w:hAnsi="Times New Roman" w:cs="Times New Roman"/>
          <w:color w:val="333333"/>
          <w:sz w:val="24"/>
          <w:szCs w:val="24"/>
          <w:shd w:val="clear" w:color="auto" w:fill="FFFFFF"/>
        </w:rPr>
        <w:lastRenderedPageBreak/>
        <w:t xml:space="preserve">únia oznamujúcemu prevádzkovateľovi platformy na účely určenia totožnosti a daňovej rezidencie predávajúceho, ktorý dosahuje príjmy prostredníctvom digitálnej platformy. </w:t>
      </w:r>
    </w:p>
    <w:p w14:paraId="28D09DB8"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1DAFD42E" w14:textId="730DBAE0" w:rsidR="001574C6" w:rsidRPr="00CF0E64" w:rsidRDefault="001574C6"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bodu 29 - § 22j ods. 8</w:t>
      </w:r>
    </w:p>
    <w:p w14:paraId="59206BBE" w14:textId="663F650C" w:rsidR="001574C6" w:rsidRPr="00CF0E64" w:rsidRDefault="001574C6"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Spresnenie vyplývajúce zo smernice (EÚ) 2023/2226.</w:t>
      </w:r>
    </w:p>
    <w:p w14:paraId="291468F5"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0DFF791D" w14:textId="44976625" w:rsidR="001574C6" w:rsidRPr="00CF0E64" w:rsidRDefault="001574C6"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bodu 30 - § 22k ods. 4</w:t>
      </w:r>
    </w:p>
    <w:p w14:paraId="295151A0" w14:textId="0F0B528D" w:rsidR="001574C6" w:rsidRPr="00CF0E64" w:rsidRDefault="001574C6"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 xml:space="preserve">Ustanovenie upravuje oznamovanie informácií v prípade, ak oznamujúci prevádzkovateľ platformy používa identifikačnú službu a priame potvrdenie totožnosti a rezidencie vykonáva cez túto identifikačnú službu. V tomto prípade nie je povinný oznamovať informácie, ktorých získavanie sa vyžaduje podľa § 22k ods. 2 a 3, ale oznamuje názov (meno, obchodný názov), identifikátor identifikačnej služby a členský štát vydania identifikátora. </w:t>
      </w:r>
    </w:p>
    <w:p w14:paraId="406AB301"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19992347" w14:textId="6F8835CA" w:rsidR="001574C6" w:rsidRPr="00CF0E64" w:rsidRDefault="006D4EFC"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bodu 31 - § 22l ods. 2 písm. m)</w:t>
      </w:r>
    </w:p>
    <w:p w14:paraId="18260AC2" w14:textId="586207A7" w:rsidR="006D4EFC" w:rsidRPr="00CF0E64" w:rsidRDefault="006D4EFC"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 xml:space="preserve">Do rozsahu oznamovaných informácií pre účely automatickej výmeny informácií oznamovaných digitálnymi platformami sa dopĺňa identifikátor identifikačnej služby a členský štát vydania identifikátora, ak sa na priame potvrdenie totožnosti a daňovej rezidencie predávajúceho použila identifikačná služba. V tomto prípade sa neoznamujú informácie uvedené v § 22l v písmenách c) až g). </w:t>
      </w:r>
    </w:p>
    <w:p w14:paraId="43CC66C9"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3CE88314" w14:textId="7BC88895" w:rsidR="006D4EFC" w:rsidRPr="00CF0E64" w:rsidRDefault="006D4EFC"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bodu 32 - § 22n ods. 1</w:t>
      </w:r>
    </w:p>
    <w:p w14:paraId="05B27835" w14:textId="1390140D" w:rsidR="006D4EFC" w:rsidRPr="00CF0E64" w:rsidRDefault="006D4EFC"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Spresnenie vyplývajúce z aplikačnej praxe.</w:t>
      </w:r>
    </w:p>
    <w:p w14:paraId="195DE0D6"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79C4C13D" w14:textId="676C6D68" w:rsidR="006D4EFC" w:rsidRPr="00CF0E64" w:rsidRDefault="006D4EFC"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bodu 33 - § 23 ods. 3 a 4</w:t>
      </w:r>
    </w:p>
    <w:p w14:paraId="218A0691" w14:textId="7B003B34" w:rsidR="006D4EFC" w:rsidRPr="00CF0E64" w:rsidRDefault="009D1128"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Doplnenie v odseku 3 vyplýva zo skúseností z aplikačnej praxe a doterajšej realizácie automatických výmen podľa zákona č. 442/2012 Z. z. ak</w:t>
      </w:r>
      <w:r w:rsidR="0039359E" w:rsidRPr="00CF0E64">
        <w:rPr>
          <w:rFonts w:ascii="Times New Roman" w:hAnsi="Times New Roman" w:cs="Times New Roman"/>
          <w:color w:val="333333"/>
          <w:sz w:val="24"/>
          <w:szCs w:val="24"/>
          <w:shd w:val="clear" w:color="auto" w:fill="FFFFFF"/>
        </w:rPr>
        <w:t xml:space="preserve">o aj zákona č. 359/2015 Z. z., vrátane zabezpečenia plnenia oznamovacích povinností vyplývajúcich z jednotlivých výmen informácií. </w:t>
      </w:r>
    </w:p>
    <w:p w14:paraId="52EC2869" w14:textId="4187285D" w:rsidR="0039359E" w:rsidRPr="00CF0E64" w:rsidRDefault="0039359E"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 xml:space="preserve">Na zabezpečenie efektívnej komunikácie ohľadom správneho plnenia oznamovacích povinností sa do odseku 4 dopĺňa možnosť elektronickej komunikácie medzi Finančným riaditeľstvom Slovenskej republiky a dotknutými oznamujúcimi subjektmi. Takáto komunikácia sa zabezpečí cez dohodnutú emailovú adresu. </w:t>
      </w:r>
    </w:p>
    <w:p w14:paraId="79246195"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0DED16D4" w14:textId="5D195C83" w:rsidR="0039359E" w:rsidRPr="00CF0E64" w:rsidRDefault="0039359E"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bodu 34 – prechodné ustanovenia</w:t>
      </w:r>
    </w:p>
    <w:p w14:paraId="4BAA2B67" w14:textId="4C91EAE0" w:rsidR="00992E50" w:rsidRPr="00CF0E64" w:rsidRDefault="00992E50"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Prechodné ustanovenia v § 24e súvisia s požiadavkou smernice</w:t>
      </w:r>
      <w:r w:rsidR="0096358F" w:rsidRPr="00CF0E64">
        <w:rPr>
          <w:rFonts w:ascii="Times New Roman" w:hAnsi="Times New Roman" w:cs="Times New Roman"/>
          <w:color w:val="333333"/>
          <w:sz w:val="24"/>
          <w:szCs w:val="24"/>
          <w:shd w:val="clear" w:color="auto" w:fill="FFFFFF"/>
        </w:rPr>
        <w:t xml:space="preserve"> (EÚ) 2023/2226 týkajúcou sa povinného  získavania a oznamovania daňového identifikačného čísla príslušnému orgánu zo strany oznamujúcich subjektov a následne jeho zasielanie zo strany príslušného orgánu príslušným orgánom členských štátov s účinnosťou od 1. januára 2028. Cieľom smernice je podporiť získavanie a zasielanie daňových identifikačných čísel ako kľúčového prvku pri stotožňovaní a využívaní informácií z výmeny informácií.</w:t>
      </w:r>
      <w:r w:rsidR="000211F9" w:rsidRPr="00CF0E64">
        <w:rPr>
          <w:rFonts w:ascii="Times New Roman" w:hAnsi="Times New Roman" w:cs="Times New Roman"/>
          <w:color w:val="333333"/>
          <w:sz w:val="24"/>
          <w:szCs w:val="24"/>
          <w:shd w:val="clear" w:color="auto" w:fill="FFFFFF"/>
        </w:rPr>
        <w:t xml:space="preserve"> Konkrétne v týchto ustanoveniach ide o povinné získavanie a zasielanie daňového identifikačného čísla pre účely automatickej výmeny o cezhraničných záväzných stanoviskách, správach o jednotlivých štátoch (</w:t>
      </w:r>
      <w:proofErr w:type="spellStart"/>
      <w:r w:rsidR="000211F9" w:rsidRPr="00CF0E64">
        <w:rPr>
          <w:rFonts w:ascii="Times New Roman" w:hAnsi="Times New Roman" w:cs="Times New Roman"/>
          <w:color w:val="333333"/>
          <w:sz w:val="24"/>
          <w:szCs w:val="24"/>
          <w:shd w:val="clear" w:color="auto" w:fill="FFFFFF"/>
        </w:rPr>
        <w:t>CbCR</w:t>
      </w:r>
      <w:proofErr w:type="spellEnd"/>
      <w:r w:rsidR="000211F9" w:rsidRPr="00CF0E64">
        <w:rPr>
          <w:rFonts w:ascii="Times New Roman" w:hAnsi="Times New Roman" w:cs="Times New Roman"/>
          <w:color w:val="333333"/>
          <w:sz w:val="24"/>
          <w:szCs w:val="24"/>
          <w:shd w:val="clear" w:color="auto" w:fill="FFFFFF"/>
        </w:rPr>
        <w:t xml:space="preserve">) a cezhraničných opatreniach podliehajúcich oznamovaniu (daňovo-plánovacie schémy). </w:t>
      </w:r>
    </w:p>
    <w:p w14:paraId="004D76DE" w14:textId="73D74F5F" w:rsidR="0096358F" w:rsidRPr="00CF0E64" w:rsidRDefault="0096358F" w:rsidP="008C1A6E">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Prechodné ustanovenie v § 24f taktiež súvisí s požiadavkou smernice (EÚ) 2023/2226, ktorá sa týka povinného získavania a zasielani</w:t>
      </w:r>
      <w:r w:rsidR="003D2DE1">
        <w:rPr>
          <w:rFonts w:ascii="Times New Roman" w:hAnsi="Times New Roman" w:cs="Times New Roman"/>
          <w:color w:val="333333"/>
          <w:sz w:val="24"/>
          <w:szCs w:val="24"/>
          <w:shd w:val="clear" w:color="auto" w:fill="FFFFFF"/>
        </w:rPr>
        <w:t>a</w:t>
      </w:r>
      <w:r w:rsidRPr="00CF0E64">
        <w:rPr>
          <w:rFonts w:ascii="Times New Roman" w:hAnsi="Times New Roman" w:cs="Times New Roman"/>
          <w:color w:val="333333"/>
          <w:sz w:val="24"/>
          <w:szCs w:val="24"/>
          <w:shd w:val="clear" w:color="auto" w:fill="FFFFFF"/>
        </w:rPr>
        <w:t xml:space="preserve"> daňového </w:t>
      </w:r>
      <w:r w:rsidR="000211F9" w:rsidRPr="00CF0E64">
        <w:rPr>
          <w:rFonts w:ascii="Times New Roman" w:hAnsi="Times New Roman" w:cs="Times New Roman"/>
          <w:color w:val="333333"/>
          <w:sz w:val="24"/>
          <w:szCs w:val="24"/>
          <w:shd w:val="clear" w:color="auto" w:fill="FFFFFF"/>
        </w:rPr>
        <w:t xml:space="preserve">identifikačného čísla pri kategóriách príjmov, ktorými sú príjmy zo závislej činnosti, tantiémy a dôchodky, a to s účinnosťou od 1. januára 2030. </w:t>
      </w:r>
      <w:r w:rsidR="0049571B" w:rsidRPr="00CF0E64">
        <w:rPr>
          <w:rFonts w:ascii="Times New Roman" w:hAnsi="Times New Roman" w:cs="Times New Roman"/>
          <w:color w:val="333333"/>
          <w:sz w:val="24"/>
          <w:szCs w:val="24"/>
          <w:shd w:val="clear" w:color="auto" w:fill="FFFFFF"/>
        </w:rPr>
        <w:t xml:space="preserve">Získavanie daňových identifikačných čísel v prípade príjmov zo závislej činnosti a tantiém je možné realizovať v požadovanom termíne podľa smernice, keďže informácie sú </w:t>
      </w:r>
      <w:r w:rsidR="0049571B" w:rsidRPr="00CF0E64">
        <w:rPr>
          <w:rFonts w:ascii="Times New Roman" w:hAnsi="Times New Roman" w:cs="Times New Roman"/>
          <w:color w:val="333333"/>
          <w:sz w:val="24"/>
          <w:szCs w:val="24"/>
          <w:shd w:val="clear" w:color="auto" w:fill="FFFFFF"/>
        </w:rPr>
        <w:lastRenderedPageBreak/>
        <w:t xml:space="preserve">súčasťou tlačív, ktoré sa podávajú finančnej správe. </w:t>
      </w:r>
      <w:r w:rsidR="00A25295" w:rsidRPr="00CF0E64">
        <w:rPr>
          <w:rFonts w:ascii="Times New Roman" w:hAnsi="Times New Roman" w:cs="Times New Roman"/>
          <w:color w:val="333333"/>
          <w:sz w:val="24"/>
          <w:szCs w:val="24"/>
          <w:shd w:val="clear" w:color="auto" w:fill="FFFFFF"/>
        </w:rPr>
        <w:t>Legislatívne a praktické možnosti z</w:t>
      </w:r>
      <w:r w:rsidR="0049571B" w:rsidRPr="00CF0E64">
        <w:rPr>
          <w:rFonts w:ascii="Times New Roman" w:hAnsi="Times New Roman" w:cs="Times New Roman"/>
          <w:color w:val="333333"/>
          <w:sz w:val="24"/>
          <w:szCs w:val="24"/>
          <w:shd w:val="clear" w:color="auto" w:fill="FFFFFF"/>
        </w:rPr>
        <w:t>ískavani</w:t>
      </w:r>
      <w:r w:rsidR="00A25295" w:rsidRPr="00CF0E64">
        <w:rPr>
          <w:rFonts w:ascii="Times New Roman" w:hAnsi="Times New Roman" w:cs="Times New Roman"/>
          <w:color w:val="333333"/>
          <w:sz w:val="24"/>
          <w:szCs w:val="24"/>
          <w:shd w:val="clear" w:color="auto" w:fill="FFFFFF"/>
        </w:rPr>
        <w:t>a</w:t>
      </w:r>
      <w:r w:rsidR="0049571B" w:rsidRPr="00CF0E64">
        <w:rPr>
          <w:rFonts w:ascii="Times New Roman" w:hAnsi="Times New Roman" w:cs="Times New Roman"/>
          <w:color w:val="333333"/>
          <w:sz w:val="24"/>
          <w:szCs w:val="24"/>
          <w:shd w:val="clear" w:color="auto" w:fill="FFFFFF"/>
        </w:rPr>
        <w:t xml:space="preserve"> daňových identifikačných čísel v prípade dôc</w:t>
      </w:r>
      <w:r w:rsidR="00A25295" w:rsidRPr="00CF0E64">
        <w:rPr>
          <w:rFonts w:ascii="Times New Roman" w:hAnsi="Times New Roman" w:cs="Times New Roman"/>
          <w:color w:val="333333"/>
          <w:sz w:val="24"/>
          <w:szCs w:val="24"/>
          <w:shd w:val="clear" w:color="auto" w:fill="FFFFFF"/>
        </w:rPr>
        <w:t xml:space="preserve">hodkov vyplácaných nerezidentom je potrebné ešte zanalyzovať v spolupráci s Ministerstvom práce, sociálnych vecí a rodiny Slovenskej republiky a Sociálnou poisťovňou, aby bolo možné splniť transpozičný termín k 1. januáru 2030. </w:t>
      </w:r>
    </w:p>
    <w:p w14:paraId="0A91DE4A" w14:textId="77777777" w:rsidR="008C1A6E" w:rsidRPr="00CF0E64" w:rsidRDefault="008C1A6E" w:rsidP="008C1A6E">
      <w:pPr>
        <w:spacing w:after="0" w:line="252" w:lineRule="auto"/>
        <w:jc w:val="both"/>
        <w:rPr>
          <w:rFonts w:ascii="Times New Roman" w:hAnsi="Times New Roman" w:cs="Times New Roman"/>
          <w:color w:val="333333"/>
          <w:sz w:val="24"/>
          <w:szCs w:val="24"/>
          <w:shd w:val="clear" w:color="auto" w:fill="FFFFFF"/>
        </w:rPr>
      </w:pPr>
    </w:p>
    <w:p w14:paraId="09CA9974" w14:textId="68935770" w:rsidR="0039359E" w:rsidRPr="00CF0E64" w:rsidRDefault="0039359E" w:rsidP="008C1A6E">
      <w:pPr>
        <w:spacing w:after="0" w:line="252" w:lineRule="auto"/>
        <w:jc w:val="both"/>
        <w:rPr>
          <w:rFonts w:ascii="Times New Roman" w:hAnsi="Times New Roman" w:cs="Times New Roman"/>
          <w:b/>
          <w:color w:val="333333"/>
          <w:sz w:val="24"/>
          <w:szCs w:val="24"/>
          <w:u w:val="single"/>
          <w:shd w:val="clear" w:color="auto" w:fill="FFFFFF"/>
        </w:rPr>
      </w:pPr>
      <w:r w:rsidRPr="00CF0E64">
        <w:rPr>
          <w:rFonts w:ascii="Times New Roman" w:hAnsi="Times New Roman" w:cs="Times New Roman"/>
          <w:b/>
          <w:color w:val="333333"/>
          <w:sz w:val="24"/>
          <w:szCs w:val="24"/>
          <w:u w:val="single"/>
          <w:shd w:val="clear" w:color="auto" w:fill="FFFFFF"/>
        </w:rPr>
        <w:t>K bodu 35 – Príloha č. 2</w:t>
      </w:r>
    </w:p>
    <w:p w14:paraId="5DC55D9A" w14:textId="202EF679" w:rsidR="0039359E" w:rsidRPr="00CF0E64" w:rsidRDefault="0039359E" w:rsidP="008C1A6E">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Do zoznamu preberaných právne záväzných aktov Európskej únie sa dopĺňa smernica (EÚ) 2023/2226. </w:t>
      </w:r>
    </w:p>
    <w:p w14:paraId="1F2484D6" w14:textId="77777777" w:rsidR="00C74C21" w:rsidRPr="00CF0E64" w:rsidRDefault="00C74C21" w:rsidP="008C1A6E">
      <w:pPr>
        <w:spacing w:after="0" w:line="252" w:lineRule="auto"/>
        <w:jc w:val="both"/>
        <w:rPr>
          <w:rFonts w:ascii="Times New Roman" w:hAnsi="Times New Roman" w:cs="Times New Roman"/>
          <w:b/>
          <w:color w:val="333333"/>
          <w:sz w:val="24"/>
          <w:szCs w:val="24"/>
          <w:shd w:val="clear" w:color="auto" w:fill="FFFFFF"/>
        </w:rPr>
      </w:pPr>
    </w:p>
    <w:p w14:paraId="7B753EB5" w14:textId="73828E6A" w:rsidR="0039359E" w:rsidRPr="00CF0E64" w:rsidRDefault="00504548" w:rsidP="008C1A6E">
      <w:pPr>
        <w:spacing w:after="0" w:line="252" w:lineRule="auto"/>
        <w:jc w:val="both"/>
        <w:rPr>
          <w:rFonts w:ascii="Times New Roman" w:hAnsi="Times New Roman" w:cs="Times New Roman"/>
          <w:b/>
          <w:color w:val="333333"/>
          <w:sz w:val="24"/>
          <w:szCs w:val="24"/>
          <w:shd w:val="clear" w:color="auto" w:fill="FFFFFF"/>
        </w:rPr>
      </w:pPr>
      <w:r w:rsidRPr="00CF0E64">
        <w:rPr>
          <w:rFonts w:ascii="Times New Roman" w:hAnsi="Times New Roman" w:cs="Times New Roman"/>
          <w:b/>
          <w:color w:val="333333"/>
          <w:sz w:val="24"/>
          <w:szCs w:val="24"/>
          <w:shd w:val="clear" w:color="auto" w:fill="FFFFFF"/>
        </w:rPr>
        <w:t xml:space="preserve">K </w:t>
      </w:r>
      <w:r w:rsidR="0039359E" w:rsidRPr="00CF0E64">
        <w:rPr>
          <w:rFonts w:ascii="Times New Roman" w:hAnsi="Times New Roman" w:cs="Times New Roman"/>
          <w:b/>
          <w:color w:val="333333"/>
          <w:sz w:val="24"/>
          <w:szCs w:val="24"/>
          <w:shd w:val="clear" w:color="auto" w:fill="FFFFFF"/>
        </w:rPr>
        <w:t>Čl. I</w:t>
      </w:r>
      <w:r w:rsidR="00CF0E64">
        <w:rPr>
          <w:rFonts w:ascii="Times New Roman" w:hAnsi="Times New Roman" w:cs="Times New Roman"/>
          <w:b/>
          <w:color w:val="333333"/>
          <w:sz w:val="24"/>
          <w:szCs w:val="24"/>
          <w:shd w:val="clear" w:color="auto" w:fill="FFFFFF"/>
        </w:rPr>
        <w:t>V</w:t>
      </w:r>
    </w:p>
    <w:p w14:paraId="758887F9" w14:textId="260CE5C0" w:rsidR="0096358F" w:rsidRDefault="0039359E" w:rsidP="00DA5AB1">
      <w:pPr>
        <w:spacing w:after="0" w:line="252" w:lineRule="auto"/>
        <w:jc w:val="both"/>
        <w:rPr>
          <w:rFonts w:ascii="Times New Roman" w:hAnsi="Times New Roman" w:cs="Times New Roman"/>
          <w:color w:val="333333"/>
          <w:sz w:val="24"/>
          <w:szCs w:val="24"/>
          <w:shd w:val="clear" w:color="auto" w:fill="FFFFFF"/>
        </w:rPr>
      </w:pPr>
      <w:r w:rsidRPr="00CF0E64">
        <w:rPr>
          <w:rFonts w:ascii="Times New Roman" w:hAnsi="Times New Roman" w:cs="Times New Roman"/>
          <w:color w:val="333333"/>
          <w:sz w:val="24"/>
          <w:szCs w:val="24"/>
          <w:shd w:val="clear" w:color="auto" w:fill="FFFFFF"/>
        </w:rPr>
        <w:t>Ustanovuje sa účinnosť zákona.</w:t>
      </w:r>
    </w:p>
    <w:sectPr w:rsidR="0096358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A61FD" w14:textId="77777777" w:rsidR="001509A9" w:rsidRDefault="001509A9" w:rsidP="00D024FF">
      <w:pPr>
        <w:spacing w:after="0" w:line="240" w:lineRule="auto"/>
      </w:pPr>
      <w:r>
        <w:separator/>
      </w:r>
    </w:p>
  </w:endnote>
  <w:endnote w:type="continuationSeparator" w:id="0">
    <w:p w14:paraId="6A48DB09" w14:textId="77777777" w:rsidR="001509A9" w:rsidRDefault="001509A9" w:rsidP="00D0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Stencil"/>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EE"/>
    <w:family w:val="swiss"/>
    <w:pitch w:val="variable"/>
    <w:sig w:usb0="E4002EFF" w:usb1="C000E47F" w:usb2="00000009" w:usb3="00000000" w:csb0="000001FF" w:csb1="00000000"/>
  </w:font>
  <w:font w:name="ArialNarrow">
    <w:charset w:val="00"/>
    <w:family w:val="swiss"/>
    <w:pitch w:val="default"/>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694405"/>
      <w:docPartObj>
        <w:docPartGallery w:val="Page Numbers (Bottom of Page)"/>
        <w:docPartUnique/>
      </w:docPartObj>
    </w:sdtPr>
    <w:sdtContent>
      <w:p w14:paraId="450E24AE" w14:textId="6DF967CC" w:rsidR="001509A9" w:rsidRDefault="001509A9">
        <w:pPr>
          <w:pStyle w:val="Pta"/>
          <w:jc w:val="center"/>
        </w:pPr>
        <w:r>
          <w:fldChar w:fldCharType="begin"/>
        </w:r>
        <w:r>
          <w:instrText>PAGE   \* MERGEFORMAT</w:instrText>
        </w:r>
        <w:r>
          <w:fldChar w:fldCharType="separate"/>
        </w:r>
        <w:r w:rsidR="00E262F2">
          <w:rPr>
            <w:noProof/>
          </w:rPr>
          <w:t>2</w:t>
        </w:r>
        <w:r>
          <w:fldChar w:fldCharType="end"/>
        </w:r>
      </w:p>
    </w:sdtContent>
  </w:sdt>
  <w:p w14:paraId="1B457C4A" w14:textId="77777777" w:rsidR="001509A9" w:rsidRDefault="001509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9E49" w14:textId="77777777" w:rsidR="001509A9" w:rsidRDefault="001509A9" w:rsidP="00D024FF">
      <w:pPr>
        <w:spacing w:after="0" w:line="240" w:lineRule="auto"/>
      </w:pPr>
      <w:r>
        <w:separator/>
      </w:r>
    </w:p>
  </w:footnote>
  <w:footnote w:type="continuationSeparator" w:id="0">
    <w:p w14:paraId="08B7CAFA" w14:textId="77777777" w:rsidR="001509A9" w:rsidRDefault="001509A9" w:rsidP="00D02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A2E60"/>
    <w:multiLevelType w:val="hybridMultilevel"/>
    <w:tmpl w:val="1E005522"/>
    <w:lvl w:ilvl="0" w:tplc="6BFE70F2">
      <w:start w:val="1"/>
      <w:numFmt w:val="decimal"/>
      <w:lvlText w:val="%1."/>
      <w:lvlJc w:val="left"/>
      <w:pPr>
        <w:ind w:left="644"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976365E"/>
    <w:multiLevelType w:val="hybridMultilevel"/>
    <w:tmpl w:val="FE164AD8"/>
    <w:lvl w:ilvl="0" w:tplc="8938B90E">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4E64377"/>
    <w:multiLevelType w:val="hybridMultilevel"/>
    <w:tmpl w:val="8EEC6494"/>
    <w:lvl w:ilvl="0" w:tplc="274CFF52">
      <w:start w:val="18"/>
      <w:numFmt w:val="bullet"/>
      <w:lvlText w:val="-"/>
      <w:lvlJc w:val="left"/>
      <w:pPr>
        <w:ind w:left="720" w:hanging="360"/>
      </w:pPr>
      <w:rPr>
        <w:rFonts w:ascii="Times New Roman" w:eastAsia="Arial Unicode M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2150D9F"/>
    <w:multiLevelType w:val="hybridMultilevel"/>
    <w:tmpl w:val="572207AC"/>
    <w:lvl w:ilvl="0" w:tplc="9E687ABA">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685B73"/>
    <w:multiLevelType w:val="hybridMultilevel"/>
    <w:tmpl w:val="1AFEC0D6"/>
    <w:lvl w:ilvl="0" w:tplc="F1226A0E">
      <w:start w:val="16"/>
      <w:numFmt w:val="bullet"/>
      <w:lvlText w:val="-"/>
      <w:lvlJc w:val="left"/>
      <w:pPr>
        <w:ind w:left="644" w:hanging="360"/>
      </w:pPr>
      <w:rPr>
        <w:rFonts w:ascii="Times New Roman" w:eastAsia="Times New Roman"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7E"/>
    <w:rsid w:val="00010834"/>
    <w:rsid w:val="00012D1D"/>
    <w:rsid w:val="000211F9"/>
    <w:rsid w:val="00032EC7"/>
    <w:rsid w:val="00037C5A"/>
    <w:rsid w:val="00051DCC"/>
    <w:rsid w:val="00065650"/>
    <w:rsid w:val="00067DF9"/>
    <w:rsid w:val="00070FA7"/>
    <w:rsid w:val="000B37B9"/>
    <w:rsid w:val="000B6E2A"/>
    <w:rsid w:val="000C61EF"/>
    <w:rsid w:val="000C6D78"/>
    <w:rsid w:val="000C770C"/>
    <w:rsid w:val="000E055C"/>
    <w:rsid w:val="000F1BE5"/>
    <w:rsid w:val="0011006D"/>
    <w:rsid w:val="00121DC2"/>
    <w:rsid w:val="001245BE"/>
    <w:rsid w:val="00124CC7"/>
    <w:rsid w:val="00130446"/>
    <w:rsid w:val="00133797"/>
    <w:rsid w:val="001509A9"/>
    <w:rsid w:val="001574C6"/>
    <w:rsid w:val="00163443"/>
    <w:rsid w:val="0017719F"/>
    <w:rsid w:val="0018112C"/>
    <w:rsid w:val="0019059D"/>
    <w:rsid w:val="001954CA"/>
    <w:rsid w:val="001B1B60"/>
    <w:rsid w:val="001B6F0D"/>
    <w:rsid w:val="001D3FDA"/>
    <w:rsid w:val="001F661F"/>
    <w:rsid w:val="002118F4"/>
    <w:rsid w:val="00217C7C"/>
    <w:rsid w:val="00220C7F"/>
    <w:rsid w:val="0023668A"/>
    <w:rsid w:val="00244B87"/>
    <w:rsid w:val="00247C05"/>
    <w:rsid w:val="00261FB9"/>
    <w:rsid w:val="00271760"/>
    <w:rsid w:val="00282399"/>
    <w:rsid w:val="00282B42"/>
    <w:rsid w:val="002907B2"/>
    <w:rsid w:val="00294D94"/>
    <w:rsid w:val="002A3A89"/>
    <w:rsid w:val="002B7F4A"/>
    <w:rsid w:val="002D102F"/>
    <w:rsid w:val="002D2DCA"/>
    <w:rsid w:val="002E6591"/>
    <w:rsid w:val="002F29E3"/>
    <w:rsid w:val="002F45A2"/>
    <w:rsid w:val="002F7CFE"/>
    <w:rsid w:val="0032188A"/>
    <w:rsid w:val="0032783E"/>
    <w:rsid w:val="00343350"/>
    <w:rsid w:val="003535DE"/>
    <w:rsid w:val="00353954"/>
    <w:rsid w:val="003560CC"/>
    <w:rsid w:val="0035780B"/>
    <w:rsid w:val="00361866"/>
    <w:rsid w:val="00372D30"/>
    <w:rsid w:val="003805AB"/>
    <w:rsid w:val="00380742"/>
    <w:rsid w:val="003843B3"/>
    <w:rsid w:val="00386585"/>
    <w:rsid w:val="0039359E"/>
    <w:rsid w:val="00393A63"/>
    <w:rsid w:val="003A277B"/>
    <w:rsid w:val="003A5C40"/>
    <w:rsid w:val="003B3E4F"/>
    <w:rsid w:val="003B4661"/>
    <w:rsid w:val="003B5067"/>
    <w:rsid w:val="003B64BF"/>
    <w:rsid w:val="003B68A9"/>
    <w:rsid w:val="003D2DE1"/>
    <w:rsid w:val="003F2B06"/>
    <w:rsid w:val="003F2FEC"/>
    <w:rsid w:val="003F6BA7"/>
    <w:rsid w:val="004001B5"/>
    <w:rsid w:val="00400974"/>
    <w:rsid w:val="004022FB"/>
    <w:rsid w:val="00403585"/>
    <w:rsid w:val="00406E5A"/>
    <w:rsid w:val="00406F01"/>
    <w:rsid w:val="00407E5F"/>
    <w:rsid w:val="004135C5"/>
    <w:rsid w:val="004334E7"/>
    <w:rsid w:val="0045243E"/>
    <w:rsid w:val="0045483C"/>
    <w:rsid w:val="00462FA3"/>
    <w:rsid w:val="0047537E"/>
    <w:rsid w:val="004763FB"/>
    <w:rsid w:val="0048258B"/>
    <w:rsid w:val="00482F12"/>
    <w:rsid w:val="00485B14"/>
    <w:rsid w:val="00490814"/>
    <w:rsid w:val="00491385"/>
    <w:rsid w:val="004934AA"/>
    <w:rsid w:val="0049571B"/>
    <w:rsid w:val="004A2587"/>
    <w:rsid w:val="004A3F3E"/>
    <w:rsid w:val="004C3A85"/>
    <w:rsid w:val="004C5F5C"/>
    <w:rsid w:val="004D3D50"/>
    <w:rsid w:val="004E4554"/>
    <w:rsid w:val="004E6A64"/>
    <w:rsid w:val="0050332D"/>
    <w:rsid w:val="005044BE"/>
    <w:rsid w:val="00504548"/>
    <w:rsid w:val="00506DD8"/>
    <w:rsid w:val="005154CD"/>
    <w:rsid w:val="00515815"/>
    <w:rsid w:val="005178CC"/>
    <w:rsid w:val="00517EA9"/>
    <w:rsid w:val="00530D60"/>
    <w:rsid w:val="00531109"/>
    <w:rsid w:val="00542C80"/>
    <w:rsid w:val="005441A0"/>
    <w:rsid w:val="00556AB2"/>
    <w:rsid w:val="00557675"/>
    <w:rsid w:val="00557ED2"/>
    <w:rsid w:val="005649F9"/>
    <w:rsid w:val="0057033A"/>
    <w:rsid w:val="00584650"/>
    <w:rsid w:val="005846B6"/>
    <w:rsid w:val="00585964"/>
    <w:rsid w:val="00591A73"/>
    <w:rsid w:val="005B3327"/>
    <w:rsid w:val="005D6B3B"/>
    <w:rsid w:val="005E60DD"/>
    <w:rsid w:val="005E7B8A"/>
    <w:rsid w:val="005F1EAD"/>
    <w:rsid w:val="005F2982"/>
    <w:rsid w:val="005F5C92"/>
    <w:rsid w:val="0061100F"/>
    <w:rsid w:val="00611981"/>
    <w:rsid w:val="006155ED"/>
    <w:rsid w:val="00632811"/>
    <w:rsid w:val="00634301"/>
    <w:rsid w:val="006448A8"/>
    <w:rsid w:val="00654344"/>
    <w:rsid w:val="00667F1D"/>
    <w:rsid w:val="00667F61"/>
    <w:rsid w:val="00673F9E"/>
    <w:rsid w:val="006800FB"/>
    <w:rsid w:val="00684953"/>
    <w:rsid w:val="00697C76"/>
    <w:rsid w:val="006A5C71"/>
    <w:rsid w:val="006B38EC"/>
    <w:rsid w:val="006B4617"/>
    <w:rsid w:val="006C7B4D"/>
    <w:rsid w:val="006D30F5"/>
    <w:rsid w:val="006D41D9"/>
    <w:rsid w:val="006D4EFC"/>
    <w:rsid w:val="006E59BF"/>
    <w:rsid w:val="006E6E5C"/>
    <w:rsid w:val="006E738A"/>
    <w:rsid w:val="006F22FA"/>
    <w:rsid w:val="0070081D"/>
    <w:rsid w:val="00704480"/>
    <w:rsid w:val="007210C7"/>
    <w:rsid w:val="007347F4"/>
    <w:rsid w:val="00734CF4"/>
    <w:rsid w:val="00763731"/>
    <w:rsid w:val="00767F29"/>
    <w:rsid w:val="0077696C"/>
    <w:rsid w:val="007900BA"/>
    <w:rsid w:val="00794EA2"/>
    <w:rsid w:val="007A0864"/>
    <w:rsid w:val="007B0B55"/>
    <w:rsid w:val="007B263F"/>
    <w:rsid w:val="007B2B8F"/>
    <w:rsid w:val="007B38F8"/>
    <w:rsid w:val="007B71C8"/>
    <w:rsid w:val="007C3094"/>
    <w:rsid w:val="007C38F9"/>
    <w:rsid w:val="007C4047"/>
    <w:rsid w:val="007C5411"/>
    <w:rsid w:val="007C64D4"/>
    <w:rsid w:val="007D0022"/>
    <w:rsid w:val="007D7E9A"/>
    <w:rsid w:val="007E080D"/>
    <w:rsid w:val="00802DF8"/>
    <w:rsid w:val="00804E47"/>
    <w:rsid w:val="00812321"/>
    <w:rsid w:val="00812973"/>
    <w:rsid w:val="00814B21"/>
    <w:rsid w:val="00837627"/>
    <w:rsid w:val="00841A88"/>
    <w:rsid w:val="0084713B"/>
    <w:rsid w:val="008565F5"/>
    <w:rsid w:val="00870D7E"/>
    <w:rsid w:val="008846E9"/>
    <w:rsid w:val="008C1A6E"/>
    <w:rsid w:val="008C37EE"/>
    <w:rsid w:val="008E144A"/>
    <w:rsid w:val="008E6703"/>
    <w:rsid w:val="008F49D7"/>
    <w:rsid w:val="008F6B7D"/>
    <w:rsid w:val="00900BE1"/>
    <w:rsid w:val="00907B78"/>
    <w:rsid w:val="009137AB"/>
    <w:rsid w:val="00917959"/>
    <w:rsid w:val="00921289"/>
    <w:rsid w:val="00923156"/>
    <w:rsid w:val="009321F5"/>
    <w:rsid w:val="009614FF"/>
    <w:rsid w:val="0096358F"/>
    <w:rsid w:val="0097481A"/>
    <w:rsid w:val="009817E2"/>
    <w:rsid w:val="00992E50"/>
    <w:rsid w:val="00993226"/>
    <w:rsid w:val="00993716"/>
    <w:rsid w:val="009B1188"/>
    <w:rsid w:val="009C304C"/>
    <w:rsid w:val="009D1128"/>
    <w:rsid w:val="00A1263D"/>
    <w:rsid w:val="00A1633D"/>
    <w:rsid w:val="00A23794"/>
    <w:rsid w:val="00A25295"/>
    <w:rsid w:val="00A25EF5"/>
    <w:rsid w:val="00A3557E"/>
    <w:rsid w:val="00A450E6"/>
    <w:rsid w:val="00A76E48"/>
    <w:rsid w:val="00A86AC3"/>
    <w:rsid w:val="00A90967"/>
    <w:rsid w:val="00A92560"/>
    <w:rsid w:val="00AA52A3"/>
    <w:rsid w:val="00AB317F"/>
    <w:rsid w:val="00AB5B92"/>
    <w:rsid w:val="00AB700A"/>
    <w:rsid w:val="00AC15D4"/>
    <w:rsid w:val="00AC21EA"/>
    <w:rsid w:val="00AE0020"/>
    <w:rsid w:val="00AE39F2"/>
    <w:rsid w:val="00AF5895"/>
    <w:rsid w:val="00B01CDD"/>
    <w:rsid w:val="00B136EE"/>
    <w:rsid w:val="00B21A02"/>
    <w:rsid w:val="00B26C25"/>
    <w:rsid w:val="00B31143"/>
    <w:rsid w:val="00B40345"/>
    <w:rsid w:val="00B459D3"/>
    <w:rsid w:val="00B47285"/>
    <w:rsid w:val="00B54FB3"/>
    <w:rsid w:val="00B66DFE"/>
    <w:rsid w:val="00B877D8"/>
    <w:rsid w:val="00B93E92"/>
    <w:rsid w:val="00B976D4"/>
    <w:rsid w:val="00BB646D"/>
    <w:rsid w:val="00BD1FB9"/>
    <w:rsid w:val="00BE3A41"/>
    <w:rsid w:val="00BF683E"/>
    <w:rsid w:val="00BF7432"/>
    <w:rsid w:val="00C04EC2"/>
    <w:rsid w:val="00C0513B"/>
    <w:rsid w:val="00C11CD3"/>
    <w:rsid w:val="00C216FE"/>
    <w:rsid w:val="00C244C8"/>
    <w:rsid w:val="00C27F11"/>
    <w:rsid w:val="00C3095D"/>
    <w:rsid w:val="00C32C39"/>
    <w:rsid w:val="00C36A83"/>
    <w:rsid w:val="00C50F27"/>
    <w:rsid w:val="00C6078B"/>
    <w:rsid w:val="00C60E66"/>
    <w:rsid w:val="00C6566A"/>
    <w:rsid w:val="00C74B9A"/>
    <w:rsid w:val="00C74C21"/>
    <w:rsid w:val="00C77B00"/>
    <w:rsid w:val="00C95876"/>
    <w:rsid w:val="00CA6B2F"/>
    <w:rsid w:val="00CB0EDC"/>
    <w:rsid w:val="00CB495E"/>
    <w:rsid w:val="00CB67CC"/>
    <w:rsid w:val="00CC6624"/>
    <w:rsid w:val="00CD204E"/>
    <w:rsid w:val="00CD24BA"/>
    <w:rsid w:val="00CE45BA"/>
    <w:rsid w:val="00CF0E64"/>
    <w:rsid w:val="00CF2054"/>
    <w:rsid w:val="00CF53F8"/>
    <w:rsid w:val="00D009CF"/>
    <w:rsid w:val="00D0152D"/>
    <w:rsid w:val="00D024FF"/>
    <w:rsid w:val="00D02DF5"/>
    <w:rsid w:val="00D04CA4"/>
    <w:rsid w:val="00D1312F"/>
    <w:rsid w:val="00D2165D"/>
    <w:rsid w:val="00D73CE9"/>
    <w:rsid w:val="00D755DB"/>
    <w:rsid w:val="00D85D82"/>
    <w:rsid w:val="00D953AA"/>
    <w:rsid w:val="00D96AB0"/>
    <w:rsid w:val="00DA5AB1"/>
    <w:rsid w:val="00DB05ED"/>
    <w:rsid w:val="00DB5C41"/>
    <w:rsid w:val="00DC0C61"/>
    <w:rsid w:val="00DC72B2"/>
    <w:rsid w:val="00DD2A5F"/>
    <w:rsid w:val="00DF1D90"/>
    <w:rsid w:val="00E1512E"/>
    <w:rsid w:val="00E257C8"/>
    <w:rsid w:val="00E262F2"/>
    <w:rsid w:val="00E27CF8"/>
    <w:rsid w:val="00E27EE2"/>
    <w:rsid w:val="00E32E51"/>
    <w:rsid w:val="00E34E7B"/>
    <w:rsid w:val="00E363D1"/>
    <w:rsid w:val="00E404D3"/>
    <w:rsid w:val="00E416FA"/>
    <w:rsid w:val="00E41C7A"/>
    <w:rsid w:val="00E47768"/>
    <w:rsid w:val="00E52E3C"/>
    <w:rsid w:val="00E7015C"/>
    <w:rsid w:val="00E73472"/>
    <w:rsid w:val="00E756F7"/>
    <w:rsid w:val="00E76C98"/>
    <w:rsid w:val="00E77FC8"/>
    <w:rsid w:val="00EA0748"/>
    <w:rsid w:val="00EA6B93"/>
    <w:rsid w:val="00EA7755"/>
    <w:rsid w:val="00EA7EE0"/>
    <w:rsid w:val="00EB07DE"/>
    <w:rsid w:val="00EB4B35"/>
    <w:rsid w:val="00ED11BB"/>
    <w:rsid w:val="00F16718"/>
    <w:rsid w:val="00F27A5D"/>
    <w:rsid w:val="00F311B9"/>
    <w:rsid w:val="00F311CE"/>
    <w:rsid w:val="00F40D74"/>
    <w:rsid w:val="00F425E1"/>
    <w:rsid w:val="00F57FAF"/>
    <w:rsid w:val="00F73FBC"/>
    <w:rsid w:val="00F800C7"/>
    <w:rsid w:val="00F91189"/>
    <w:rsid w:val="00FA58CA"/>
    <w:rsid w:val="00FA6606"/>
    <w:rsid w:val="00FB5A6A"/>
    <w:rsid w:val="00FC5DFE"/>
    <w:rsid w:val="00FD4C02"/>
    <w:rsid w:val="00FD4C3F"/>
    <w:rsid w:val="00FE49BA"/>
    <w:rsid w:val="00FE7D4D"/>
    <w:rsid w:val="00FF3B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F0B8"/>
  <w15:chartTrackingRefBased/>
  <w15:docId w15:val="{FDB5F6CC-C5CF-4BFA-9140-426478FD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D7E"/>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5F5C92"/>
    <w:pPr>
      <w:spacing w:after="0" w:line="240" w:lineRule="auto"/>
    </w:pPr>
    <w:rPr>
      <w:rFonts w:ascii="Times New Roman" w:eastAsia="Times New Roman" w:hAnsi="Times New Roman" w:cs="Times New Roman"/>
      <w:kern w:val="0"/>
      <w:sz w:val="24"/>
      <w:szCs w:val="24"/>
      <w:lang w:eastAsia="sk-SK"/>
      <w14:ligatures w14:val="none"/>
    </w:rPr>
  </w:style>
  <w:style w:type="character" w:styleId="Hypertextovprepojenie">
    <w:name w:val="Hyperlink"/>
    <w:basedOn w:val="Predvolenpsmoodseku"/>
    <w:uiPriority w:val="99"/>
    <w:unhideWhenUsed/>
    <w:rsid w:val="00CD24BA"/>
    <w:rPr>
      <w:color w:val="467886" w:themeColor="hyperlink"/>
      <w:u w:val="single"/>
    </w:rPr>
  </w:style>
  <w:style w:type="character" w:customStyle="1" w:styleId="Nevyrieenzmienka1">
    <w:name w:val="Nevyriešená zmienka1"/>
    <w:basedOn w:val="Predvolenpsmoodseku"/>
    <w:uiPriority w:val="99"/>
    <w:semiHidden/>
    <w:unhideWhenUsed/>
    <w:rsid w:val="00CD24BA"/>
    <w:rPr>
      <w:color w:val="605E5C"/>
      <w:shd w:val="clear" w:color="auto" w:fill="E1DFDD"/>
    </w:rPr>
  </w:style>
  <w:style w:type="paragraph" w:styleId="Normlnywebov">
    <w:name w:val="Normal (Web)"/>
    <w:basedOn w:val="Normlny"/>
    <w:uiPriority w:val="99"/>
    <w:semiHidden/>
    <w:unhideWhenUsed/>
    <w:rsid w:val="0061100F"/>
    <w:pPr>
      <w:spacing w:after="0" w:line="240" w:lineRule="auto"/>
    </w:pPr>
    <w:rPr>
      <w:rFonts w:ascii="Times New Roman" w:hAnsi="Times New Roman" w:cs="Times New Roman"/>
      <w:sz w:val="24"/>
      <w:szCs w:val="24"/>
      <w:lang w:eastAsia="sk-SK"/>
    </w:rPr>
  </w:style>
  <w:style w:type="paragraph" w:styleId="Odsekzoznamu">
    <w:name w:val="List Paragraph"/>
    <w:basedOn w:val="Normlny"/>
    <w:uiPriority w:val="34"/>
    <w:qFormat/>
    <w:rsid w:val="00673F9E"/>
    <w:pPr>
      <w:ind w:left="720"/>
      <w:contextualSpacing/>
    </w:pPr>
  </w:style>
  <w:style w:type="paragraph" w:styleId="Textbubliny">
    <w:name w:val="Balloon Text"/>
    <w:basedOn w:val="Normlny"/>
    <w:link w:val="TextbublinyChar"/>
    <w:uiPriority w:val="99"/>
    <w:semiHidden/>
    <w:unhideWhenUsed/>
    <w:rsid w:val="00673F9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73F9E"/>
    <w:rPr>
      <w:rFonts w:ascii="Segoe UI" w:hAnsi="Segoe UI" w:cs="Segoe UI"/>
      <w:kern w:val="0"/>
      <w:sz w:val="18"/>
      <w:szCs w:val="18"/>
      <w14:ligatures w14:val="none"/>
    </w:rPr>
  </w:style>
  <w:style w:type="paragraph" w:customStyle="1" w:styleId="Dvodovzprva">
    <w:name w:val="Důvodová zpráva"/>
    <w:basedOn w:val="Normlny"/>
    <w:link w:val="DvodovzprvaChar"/>
    <w:uiPriority w:val="99"/>
    <w:qFormat/>
    <w:rsid w:val="004C5F5C"/>
    <w:pPr>
      <w:spacing w:before="120" w:after="0" w:line="240" w:lineRule="auto"/>
      <w:jc w:val="both"/>
      <w:outlineLvl w:val="0"/>
    </w:pPr>
    <w:rPr>
      <w:rFonts w:ascii="Times New Roman" w:eastAsia="Times New Roman" w:hAnsi="Times New Roman" w:cs="Times New Roman"/>
      <w:sz w:val="24"/>
      <w:szCs w:val="20"/>
      <w:lang w:val="cs-CZ" w:eastAsia="cs-CZ"/>
    </w:rPr>
  </w:style>
  <w:style w:type="character" w:customStyle="1" w:styleId="DvodovzprvaChar">
    <w:name w:val="Důvodová zpráva Char"/>
    <w:link w:val="Dvodovzprva"/>
    <w:uiPriority w:val="99"/>
    <w:locked/>
    <w:rsid w:val="004C5F5C"/>
    <w:rPr>
      <w:rFonts w:ascii="Times New Roman" w:eastAsia="Times New Roman" w:hAnsi="Times New Roman" w:cs="Times New Roman"/>
      <w:kern w:val="0"/>
      <w:sz w:val="24"/>
      <w:szCs w:val="20"/>
      <w:lang w:val="cs-CZ" w:eastAsia="cs-CZ"/>
      <w14:ligatures w14:val="none"/>
    </w:rPr>
  </w:style>
  <w:style w:type="character" w:styleId="Odkaznakomentr">
    <w:name w:val="annotation reference"/>
    <w:basedOn w:val="Predvolenpsmoodseku"/>
    <w:uiPriority w:val="99"/>
    <w:semiHidden/>
    <w:unhideWhenUsed/>
    <w:rsid w:val="000C61EF"/>
    <w:rPr>
      <w:sz w:val="16"/>
      <w:szCs w:val="16"/>
    </w:rPr>
  </w:style>
  <w:style w:type="paragraph" w:styleId="Textkomentra">
    <w:name w:val="annotation text"/>
    <w:basedOn w:val="Normlny"/>
    <w:link w:val="TextkomentraChar"/>
    <w:uiPriority w:val="99"/>
    <w:semiHidden/>
    <w:unhideWhenUsed/>
    <w:rsid w:val="000C61EF"/>
    <w:pPr>
      <w:spacing w:line="240" w:lineRule="auto"/>
    </w:pPr>
    <w:rPr>
      <w:sz w:val="20"/>
      <w:szCs w:val="20"/>
    </w:rPr>
  </w:style>
  <w:style w:type="character" w:customStyle="1" w:styleId="TextkomentraChar">
    <w:name w:val="Text komentára Char"/>
    <w:basedOn w:val="Predvolenpsmoodseku"/>
    <w:link w:val="Textkomentra"/>
    <w:uiPriority w:val="99"/>
    <w:semiHidden/>
    <w:rsid w:val="000C61EF"/>
    <w:rPr>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0C61EF"/>
    <w:rPr>
      <w:b/>
      <w:bCs/>
    </w:rPr>
  </w:style>
  <w:style w:type="character" w:customStyle="1" w:styleId="PredmetkomentraChar">
    <w:name w:val="Predmet komentára Char"/>
    <w:basedOn w:val="TextkomentraChar"/>
    <w:link w:val="Predmetkomentra"/>
    <w:uiPriority w:val="99"/>
    <w:semiHidden/>
    <w:rsid w:val="000C61EF"/>
    <w:rPr>
      <w:b/>
      <w:bCs/>
      <w:kern w:val="0"/>
      <w:sz w:val="20"/>
      <w:szCs w:val="20"/>
      <w14:ligatures w14:val="none"/>
    </w:rPr>
  </w:style>
  <w:style w:type="paragraph" w:styleId="Hlavika">
    <w:name w:val="header"/>
    <w:basedOn w:val="Normlny"/>
    <w:link w:val="HlavikaChar"/>
    <w:uiPriority w:val="99"/>
    <w:unhideWhenUsed/>
    <w:rsid w:val="00D024F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024FF"/>
    <w:rPr>
      <w:kern w:val="0"/>
      <w14:ligatures w14:val="none"/>
    </w:rPr>
  </w:style>
  <w:style w:type="paragraph" w:styleId="Pta">
    <w:name w:val="footer"/>
    <w:basedOn w:val="Normlny"/>
    <w:link w:val="PtaChar"/>
    <w:uiPriority w:val="99"/>
    <w:unhideWhenUsed/>
    <w:rsid w:val="00D024FF"/>
    <w:pPr>
      <w:tabs>
        <w:tab w:val="center" w:pos="4536"/>
        <w:tab w:val="right" w:pos="9072"/>
      </w:tabs>
      <w:spacing w:after="0" w:line="240" w:lineRule="auto"/>
    </w:pPr>
  </w:style>
  <w:style w:type="character" w:customStyle="1" w:styleId="PtaChar">
    <w:name w:val="Päta Char"/>
    <w:basedOn w:val="Predvolenpsmoodseku"/>
    <w:link w:val="Pta"/>
    <w:uiPriority w:val="99"/>
    <w:rsid w:val="00D024F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7546">
      <w:bodyDiv w:val="1"/>
      <w:marLeft w:val="0"/>
      <w:marRight w:val="0"/>
      <w:marTop w:val="0"/>
      <w:marBottom w:val="0"/>
      <w:divBdr>
        <w:top w:val="none" w:sz="0" w:space="0" w:color="auto"/>
        <w:left w:val="none" w:sz="0" w:space="0" w:color="auto"/>
        <w:bottom w:val="none" w:sz="0" w:space="0" w:color="auto"/>
        <w:right w:val="none" w:sz="0" w:space="0" w:color="auto"/>
      </w:divBdr>
    </w:div>
    <w:div w:id="248662313">
      <w:bodyDiv w:val="1"/>
      <w:marLeft w:val="0"/>
      <w:marRight w:val="0"/>
      <w:marTop w:val="0"/>
      <w:marBottom w:val="0"/>
      <w:divBdr>
        <w:top w:val="none" w:sz="0" w:space="0" w:color="auto"/>
        <w:left w:val="none" w:sz="0" w:space="0" w:color="auto"/>
        <w:bottom w:val="none" w:sz="0" w:space="0" w:color="auto"/>
        <w:right w:val="none" w:sz="0" w:space="0" w:color="auto"/>
      </w:divBdr>
    </w:div>
    <w:div w:id="255478818">
      <w:bodyDiv w:val="1"/>
      <w:marLeft w:val="0"/>
      <w:marRight w:val="0"/>
      <w:marTop w:val="0"/>
      <w:marBottom w:val="0"/>
      <w:divBdr>
        <w:top w:val="none" w:sz="0" w:space="0" w:color="auto"/>
        <w:left w:val="none" w:sz="0" w:space="0" w:color="auto"/>
        <w:bottom w:val="none" w:sz="0" w:space="0" w:color="auto"/>
        <w:right w:val="none" w:sz="0" w:space="0" w:color="auto"/>
      </w:divBdr>
    </w:div>
    <w:div w:id="537276573">
      <w:bodyDiv w:val="1"/>
      <w:marLeft w:val="0"/>
      <w:marRight w:val="0"/>
      <w:marTop w:val="0"/>
      <w:marBottom w:val="0"/>
      <w:divBdr>
        <w:top w:val="none" w:sz="0" w:space="0" w:color="auto"/>
        <w:left w:val="none" w:sz="0" w:space="0" w:color="auto"/>
        <w:bottom w:val="none" w:sz="0" w:space="0" w:color="auto"/>
        <w:right w:val="none" w:sz="0" w:space="0" w:color="auto"/>
      </w:divBdr>
      <w:divsChild>
        <w:div w:id="1765300622">
          <w:marLeft w:val="0"/>
          <w:marRight w:val="0"/>
          <w:marTop w:val="0"/>
          <w:marBottom w:val="0"/>
          <w:divBdr>
            <w:top w:val="none" w:sz="0" w:space="0" w:color="auto"/>
            <w:left w:val="none" w:sz="0" w:space="0" w:color="auto"/>
            <w:bottom w:val="none" w:sz="0" w:space="0" w:color="auto"/>
            <w:right w:val="none" w:sz="0" w:space="0" w:color="auto"/>
          </w:divBdr>
        </w:div>
        <w:div w:id="798642559">
          <w:marLeft w:val="0"/>
          <w:marRight w:val="0"/>
          <w:marTop w:val="0"/>
          <w:marBottom w:val="0"/>
          <w:divBdr>
            <w:top w:val="none" w:sz="0" w:space="0" w:color="auto"/>
            <w:left w:val="none" w:sz="0" w:space="0" w:color="auto"/>
            <w:bottom w:val="none" w:sz="0" w:space="0" w:color="auto"/>
            <w:right w:val="none" w:sz="0" w:space="0" w:color="auto"/>
          </w:divBdr>
        </w:div>
      </w:divsChild>
    </w:div>
    <w:div w:id="641229874">
      <w:bodyDiv w:val="1"/>
      <w:marLeft w:val="0"/>
      <w:marRight w:val="0"/>
      <w:marTop w:val="0"/>
      <w:marBottom w:val="0"/>
      <w:divBdr>
        <w:top w:val="none" w:sz="0" w:space="0" w:color="auto"/>
        <w:left w:val="none" w:sz="0" w:space="0" w:color="auto"/>
        <w:bottom w:val="none" w:sz="0" w:space="0" w:color="auto"/>
        <w:right w:val="none" w:sz="0" w:space="0" w:color="auto"/>
      </w:divBdr>
      <w:divsChild>
        <w:div w:id="1674988867">
          <w:marLeft w:val="255"/>
          <w:marRight w:val="0"/>
          <w:marTop w:val="0"/>
          <w:marBottom w:val="0"/>
          <w:divBdr>
            <w:top w:val="none" w:sz="0" w:space="0" w:color="auto"/>
            <w:left w:val="none" w:sz="0" w:space="0" w:color="auto"/>
            <w:bottom w:val="none" w:sz="0" w:space="0" w:color="auto"/>
            <w:right w:val="none" w:sz="0" w:space="0" w:color="auto"/>
          </w:divBdr>
        </w:div>
      </w:divsChild>
    </w:div>
    <w:div w:id="726805272">
      <w:bodyDiv w:val="1"/>
      <w:marLeft w:val="0"/>
      <w:marRight w:val="0"/>
      <w:marTop w:val="0"/>
      <w:marBottom w:val="0"/>
      <w:divBdr>
        <w:top w:val="none" w:sz="0" w:space="0" w:color="auto"/>
        <w:left w:val="none" w:sz="0" w:space="0" w:color="auto"/>
        <w:bottom w:val="none" w:sz="0" w:space="0" w:color="auto"/>
        <w:right w:val="none" w:sz="0" w:space="0" w:color="auto"/>
      </w:divBdr>
    </w:div>
    <w:div w:id="731465311">
      <w:bodyDiv w:val="1"/>
      <w:marLeft w:val="0"/>
      <w:marRight w:val="0"/>
      <w:marTop w:val="0"/>
      <w:marBottom w:val="0"/>
      <w:divBdr>
        <w:top w:val="none" w:sz="0" w:space="0" w:color="auto"/>
        <w:left w:val="none" w:sz="0" w:space="0" w:color="auto"/>
        <w:bottom w:val="none" w:sz="0" w:space="0" w:color="auto"/>
        <w:right w:val="none" w:sz="0" w:space="0" w:color="auto"/>
      </w:divBdr>
    </w:div>
    <w:div w:id="909733148">
      <w:bodyDiv w:val="1"/>
      <w:marLeft w:val="0"/>
      <w:marRight w:val="0"/>
      <w:marTop w:val="0"/>
      <w:marBottom w:val="0"/>
      <w:divBdr>
        <w:top w:val="none" w:sz="0" w:space="0" w:color="auto"/>
        <w:left w:val="none" w:sz="0" w:space="0" w:color="auto"/>
        <w:bottom w:val="none" w:sz="0" w:space="0" w:color="auto"/>
        <w:right w:val="none" w:sz="0" w:space="0" w:color="auto"/>
      </w:divBdr>
    </w:div>
    <w:div w:id="981353609">
      <w:bodyDiv w:val="1"/>
      <w:marLeft w:val="0"/>
      <w:marRight w:val="0"/>
      <w:marTop w:val="0"/>
      <w:marBottom w:val="0"/>
      <w:divBdr>
        <w:top w:val="none" w:sz="0" w:space="0" w:color="auto"/>
        <w:left w:val="none" w:sz="0" w:space="0" w:color="auto"/>
        <w:bottom w:val="none" w:sz="0" w:space="0" w:color="auto"/>
        <w:right w:val="none" w:sz="0" w:space="0" w:color="auto"/>
      </w:divBdr>
    </w:div>
    <w:div w:id="988170669">
      <w:bodyDiv w:val="1"/>
      <w:marLeft w:val="0"/>
      <w:marRight w:val="0"/>
      <w:marTop w:val="0"/>
      <w:marBottom w:val="0"/>
      <w:divBdr>
        <w:top w:val="none" w:sz="0" w:space="0" w:color="auto"/>
        <w:left w:val="none" w:sz="0" w:space="0" w:color="auto"/>
        <w:bottom w:val="none" w:sz="0" w:space="0" w:color="auto"/>
        <w:right w:val="none" w:sz="0" w:space="0" w:color="auto"/>
      </w:divBdr>
    </w:div>
    <w:div w:id="1116869852">
      <w:bodyDiv w:val="1"/>
      <w:marLeft w:val="0"/>
      <w:marRight w:val="0"/>
      <w:marTop w:val="0"/>
      <w:marBottom w:val="0"/>
      <w:divBdr>
        <w:top w:val="none" w:sz="0" w:space="0" w:color="auto"/>
        <w:left w:val="none" w:sz="0" w:space="0" w:color="auto"/>
        <w:bottom w:val="none" w:sz="0" w:space="0" w:color="auto"/>
        <w:right w:val="none" w:sz="0" w:space="0" w:color="auto"/>
      </w:divBdr>
    </w:div>
    <w:div w:id="1168668913">
      <w:bodyDiv w:val="1"/>
      <w:marLeft w:val="0"/>
      <w:marRight w:val="0"/>
      <w:marTop w:val="0"/>
      <w:marBottom w:val="0"/>
      <w:divBdr>
        <w:top w:val="none" w:sz="0" w:space="0" w:color="auto"/>
        <w:left w:val="none" w:sz="0" w:space="0" w:color="auto"/>
        <w:bottom w:val="none" w:sz="0" w:space="0" w:color="auto"/>
        <w:right w:val="none" w:sz="0" w:space="0" w:color="auto"/>
      </w:divBdr>
    </w:div>
    <w:div w:id="1175343410">
      <w:bodyDiv w:val="1"/>
      <w:marLeft w:val="0"/>
      <w:marRight w:val="0"/>
      <w:marTop w:val="0"/>
      <w:marBottom w:val="0"/>
      <w:divBdr>
        <w:top w:val="none" w:sz="0" w:space="0" w:color="auto"/>
        <w:left w:val="none" w:sz="0" w:space="0" w:color="auto"/>
        <w:bottom w:val="none" w:sz="0" w:space="0" w:color="auto"/>
        <w:right w:val="none" w:sz="0" w:space="0" w:color="auto"/>
      </w:divBdr>
    </w:div>
    <w:div w:id="1417284903">
      <w:bodyDiv w:val="1"/>
      <w:marLeft w:val="0"/>
      <w:marRight w:val="0"/>
      <w:marTop w:val="0"/>
      <w:marBottom w:val="0"/>
      <w:divBdr>
        <w:top w:val="none" w:sz="0" w:space="0" w:color="auto"/>
        <w:left w:val="none" w:sz="0" w:space="0" w:color="auto"/>
        <w:bottom w:val="none" w:sz="0" w:space="0" w:color="auto"/>
        <w:right w:val="none" w:sz="0" w:space="0" w:color="auto"/>
      </w:divBdr>
    </w:div>
    <w:div w:id="1427461366">
      <w:bodyDiv w:val="1"/>
      <w:marLeft w:val="0"/>
      <w:marRight w:val="0"/>
      <w:marTop w:val="0"/>
      <w:marBottom w:val="0"/>
      <w:divBdr>
        <w:top w:val="none" w:sz="0" w:space="0" w:color="auto"/>
        <w:left w:val="none" w:sz="0" w:space="0" w:color="auto"/>
        <w:bottom w:val="none" w:sz="0" w:space="0" w:color="auto"/>
        <w:right w:val="none" w:sz="0" w:space="0" w:color="auto"/>
      </w:divBdr>
    </w:div>
    <w:div w:id="1740129936">
      <w:bodyDiv w:val="1"/>
      <w:marLeft w:val="0"/>
      <w:marRight w:val="0"/>
      <w:marTop w:val="0"/>
      <w:marBottom w:val="0"/>
      <w:divBdr>
        <w:top w:val="none" w:sz="0" w:space="0" w:color="auto"/>
        <w:left w:val="none" w:sz="0" w:space="0" w:color="auto"/>
        <w:bottom w:val="none" w:sz="0" w:space="0" w:color="auto"/>
        <w:right w:val="none" w:sz="0" w:space="0" w:color="auto"/>
      </w:divBdr>
      <w:divsChild>
        <w:div w:id="1190534718">
          <w:marLeft w:val="0"/>
          <w:marRight w:val="0"/>
          <w:marTop w:val="0"/>
          <w:marBottom w:val="0"/>
          <w:divBdr>
            <w:top w:val="none" w:sz="0" w:space="0" w:color="auto"/>
            <w:left w:val="none" w:sz="0" w:space="0" w:color="auto"/>
            <w:bottom w:val="none" w:sz="0" w:space="0" w:color="auto"/>
            <w:right w:val="none" w:sz="0" w:space="0" w:color="auto"/>
          </w:divBdr>
        </w:div>
        <w:div w:id="1270351388">
          <w:marLeft w:val="0"/>
          <w:marRight w:val="0"/>
          <w:marTop w:val="0"/>
          <w:marBottom w:val="0"/>
          <w:divBdr>
            <w:top w:val="none" w:sz="0" w:space="0" w:color="auto"/>
            <w:left w:val="none" w:sz="0" w:space="0" w:color="auto"/>
            <w:bottom w:val="none" w:sz="0" w:space="0" w:color="auto"/>
            <w:right w:val="none" w:sz="0" w:space="0" w:color="auto"/>
          </w:divBdr>
        </w:div>
      </w:divsChild>
    </w:div>
    <w:div w:id="1758405981">
      <w:bodyDiv w:val="1"/>
      <w:marLeft w:val="0"/>
      <w:marRight w:val="0"/>
      <w:marTop w:val="0"/>
      <w:marBottom w:val="0"/>
      <w:divBdr>
        <w:top w:val="none" w:sz="0" w:space="0" w:color="auto"/>
        <w:left w:val="none" w:sz="0" w:space="0" w:color="auto"/>
        <w:bottom w:val="none" w:sz="0" w:space="0" w:color="auto"/>
        <w:right w:val="none" w:sz="0" w:space="0" w:color="auto"/>
      </w:divBdr>
      <w:divsChild>
        <w:div w:id="745491641">
          <w:marLeft w:val="255"/>
          <w:marRight w:val="0"/>
          <w:marTop w:val="0"/>
          <w:marBottom w:val="0"/>
          <w:divBdr>
            <w:top w:val="none" w:sz="0" w:space="0" w:color="auto"/>
            <w:left w:val="none" w:sz="0" w:space="0" w:color="auto"/>
            <w:bottom w:val="none" w:sz="0" w:space="0" w:color="auto"/>
            <w:right w:val="none" w:sz="0" w:space="0" w:color="auto"/>
          </w:divBdr>
        </w:div>
      </w:divsChild>
    </w:div>
    <w:div w:id="1807432684">
      <w:bodyDiv w:val="1"/>
      <w:marLeft w:val="0"/>
      <w:marRight w:val="0"/>
      <w:marTop w:val="0"/>
      <w:marBottom w:val="0"/>
      <w:divBdr>
        <w:top w:val="none" w:sz="0" w:space="0" w:color="auto"/>
        <w:left w:val="none" w:sz="0" w:space="0" w:color="auto"/>
        <w:bottom w:val="none" w:sz="0" w:space="0" w:color="auto"/>
        <w:right w:val="none" w:sz="0" w:space="0" w:color="auto"/>
      </w:divBdr>
    </w:div>
    <w:div w:id="1867518756">
      <w:bodyDiv w:val="1"/>
      <w:marLeft w:val="0"/>
      <w:marRight w:val="0"/>
      <w:marTop w:val="0"/>
      <w:marBottom w:val="0"/>
      <w:divBdr>
        <w:top w:val="none" w:sz="0" w:space="0" w:color="auto"/>
        <w:left w:val="none" w:sz="0" w:space="0" w:color="auto"/>
        <w:bottom w:val="none" w:sz="0" w:space="0" w:color="auto"/>
        <w:right w:val="none" w:sz="0" w:space="0" w:color="auto"/>
      </w:divBdr>
      <w:divsChild>
        <w:div w:id="2084452937">
          <w:marLeft w:val="255"/>
          <w:marRight w:val="0"/>
          <w:marTop w:val="0"/>
          <w:marBottom w:val="0"/>
          <w:divBdr>
            <w:top w:val="none" w:sz="0" w:space="0" w:color="auto"/>
            <w:left w:val="none" w:sz="0" w:space="0" w:color="auto"/>
            <w:bottom w:val="none" w:sz="0" w:space="0" w:color="auto"/>
            <w:right w:val="none" w:sz="0" w:space="0" w:color="auto"/>
          </w:divBdr>
          <w:divsChild>
            <w:div w:id="2055999222">
              <w:marLeft w:val="255"/>
              <w:marRight w:val="0"/>
              <w:marTop w:val="75"/>
              <w:marBottom w:val="0"/>
              <w:divBdr>
                <w:top w:val="none" w:sz="0" w:space="0" w:color="auto"/>
                <w:left w:val="none" w:sz="0" w:space="0" w:color="auto"/>
                <w:bottom w:val="none" w:sz="0" w:space="0" w:color="auto"/>
                <w:right w:val="none" w:sz="0" w:space="0" w:color="auto"/>
              </w:divBdr>
              <w:divsChild>
                <w:div w:id="162161647">
                  <w:marLeft w:val="0"/>
                  <w:marRight w:val="225"/>
                  <w:marTop w:val="0"/>
                  <w:marBottom w:val="0"/>
                  <w:divBdr>
                    <w:top w:val="none" w:sz="0" w:space="0" w:color="auto"/>
                    <w:left w:val="none" w:sz="0" w:space="0" w:color="auto"/>
                    <w:bottom w:val="none" w:sz="0" w:space="0" w:color="auto"/>
                    <w:right w:val="none" w:sz="0" w:space="0" w:color="auto"/>
                  </w:divBdr>
                </w:div>
              </w:divsChild>
            </w:div>
            <w:div w:id="67196797">
              <w:marLeft w:val="255"/>
              <w:marRight w:val="0"/>
              <w:marTop w:val="75"/>
              <w:marBottom w:val="0"/>
              <w:divBdr>
                <w:top w:val="none" w:sz="0" w:space="0" w:color="auto"/>
                <w:left w:val="none" w:sz="0" w:space="0" w:color="auto"/>
                <w:bottom w:val="none" w:sz="0" w:space="0" w:color="auto"/>
                <w:right w:val="none" w:sz="0" w:space="0" w:color="auto"/>
              </w:divBdr>
              <w:divsChild>
                <w:div w:id="18740731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17779250">
          <w:marLeft w:val="255"/>
          <w:marRight w:val="0"/>
          <w:marTop w:val="0"/>
          <w:marBottom w:val="0"/>
          <w:divBdr>
            <w:top w:val="none" w:sz="0" w:space="0" w:color="auto"/>
            <w:left w:val="none" w:sz="0" w:space="0" w:color="auto"/>
            <w:bottom w:val="none" w:sz="0" w:space="0" w:color="auto"/>
            <w:right w:val="none" w:sz="0" w:space="0" w:color="auto"/>
          </w:divBdr>
        </w:div>
        <w:div w:id="1001469058">
          <w:marLeft w:val="255"/>
          <w:marRight w:val="0"/>
          <w:marTop w:val="0"/>
          <w:marBottom w:val="0"/>
          <w:divBdr>
            <w:top w:val="none" w:sz="0" w:space="0" w:color="auto"/>
            <w:left w:val="none" w:sz="0" w:space="0" w:color="auto"/>
            <w:bottom w:val="none" w:sz="0" w:space="0" w:color="auto"/>
            <w:right w:val="none" w:sz="0" w:space="0" w:color="auto"/>
          </w:divBdr>
        </w:div>
      </w:divsChild>
    </w:div>
    <w:div w:id="1947930162">
      <w:bodyDiv w:val="1"/>
      <w:marLeft w:val="0"/>
      <w:marRight w:val="0"/>
      <w:marTop w:val="0"/>
      <w:marBottom w:val="0"/>
      <w:divBdr>
        <w:top w:val="none" w:sz="0" w:space="0" w:color="auto"/>
        <w:left w:val="none" w:sz="0" w:space="0" w:color="auto"/>
        <w:bottom w:val="none" w:sz="0" w:space="0" w:color="auto"/>
        <w:right w:val="none" w:sz="0" w:space="0" w:color="auto"/>
      </w:divBdr>
    </w:div>
    <w:div w:id="1951550211">
      <w:bodyDiv w:val="1"/>
      <w:marLeft w:val="0"/>
      <w:marRight w:val="0"/>
      <w:marTop w:val="0"/>
      <w:marBottom w:val="0"/>
      <w:divBdr>
        <w:top w:val="none" w:sz="0" w:space="0" w:color="auto"/>
        <w:left w:val="none" w:sz="0" w:space="0" w:color="auto"/>
        <w:bottom w:val="none" w:sz="0" w:space="0" w:color="auto"/>
        <w:right w:val="none" w:sz="0" w:space="0" w:color="auto"/>
      </w:divBdr>
    </w:div>
    <w:div w:id="1953902755">
      <w:bodyDiv w:val="1"/>
      <w:marLeft w:val="0"/>
      <w:marRight w:val="0"/>
      <w:marTop w:val="0"/>
      <w:marBottom w:val="0"/>
      <w:divBdr>
        <w:top w:val="none" w:sz="0" w:space="0" w:color="auto"/>
        <w:left w:val="none" w:sz="0" w:space="0" w:color="auto"/>
        <w:bottom w:val="none" w:sz="0" w:space="0" w:color="auto"/>
        <w:right w:val="none" w:sz="0" w:space="0" w:color="auto"/>
      </w:divBdr>
    </w:div>
    <w:div w:id="1973975017">
      <w:bodyDiv w:val="1"/>
      <w:marLeft w:val="0"/>
      <w:marRight w:val="0"/>
      <w:marTop w:val="0"/>
      <w:marBottom w:val="0"/>
      <w:divBdr>
        <w:top w:val="none" w:sz="0" w:space="0" w:color="auto"/>
        <w:left w:val="none" w:sz="0" w:space="0" w:color="auto"/>
        <w:bottom w:val="none" w:sz="0" w:space="0" w:color="auto"/>
        <w:right w:val="none" w:sz="0" w:space="0" w:color="auto"/>
      </w:divBdr>
    </w:div>
    <w:div w:id="2000109818">
      <w:bodyDiv w:val="1"/>
      <w:marLeft w:val="0"/>
      <w:marRight w:val="0"/>
      <w:marTop w:val="0"/>
      <w:marBottom w:val="0"/>
      <w:divBdr>
        <w:top w:val="none" w:sz="0" w:space="0" w:color="auto"/>
        <w:left w:val="none" w:sz="0" w:space="0" w:color="auto"/>
        <w:bottom w:val="none" w:sz="0" w:space="0" w:color="auto"/>
        <w:right w:val="none" w:sz="0" w:space="0" w:color="auto"/>
      </w:divBdr>
    </w:div>
    <w:div w:id="2042585716">
      <w:bodyDiv w:val="1"/>
      <w:marLeft w:val="0"/>
      <w:marRight w:val="0"/>
      <w:marTop w:val="0"/>
      <w:marBottom w:val="0"/>
      <w:divBdr>
        <w:top w:val="none" w:sz="0" w:space="0" w:color="auto"/>
        <w:left w:val="none" w:sz="0" w:space="0" w:color="auto"/>
        <w:bottom w:val="none" w:sz="0" w:space="0" w:color="auto"/>
        <w:right w:val="none" w:sz="0" w:space="0" w:color="auto"/>
      </w:divBdr>
    </w:div>
    <w:div w:id="2097700065">
      <w:bodyDiv w:val="1"/>
      <w:marLeft w:val="0"/>
      <w:marRight w:val="0"/>
      <w:marTop w:val="0"/>
      <w:marBottom w:val="0"/>
      <w:divBdr>
        <w:top w:val="none" w:sz="0" w:space="0" w:color="auto"/>
        <w:left w:val="none" w:sz="0" w:space="0" w:color="auto"/>
        <w:bottom w:val="none" w:sz="0" w:space="0" w:color="auto"/>
        <w:right w:val="none" w:sz="0" w:space="0" w:color="auto"/>
      </w:divBdr>
    </w:div>
    <w:div w:id="2120755852">
      <w:bodyDiv w:val="1"/>
      <w:marLeft w:val="0"/>
      <w:marRight w:val="0"/>
      <w:marTop w:val="0"/>
      <w:marBottom w:val="0"/>
      <w:divBdr>
        <w:top w:val="none" w:sz="0" w:space="0" w:color="auto"/>
        <w:left w:val="none" w:sz="0" w:space="0" w:color="auto"/>
        <w:bottom w:val="none" w:sz="0" w:space="0" w:color="auto"/>
        <w:right w:val="none" w:sz="0" w:space="0" w:color="auto"/>
      </w:divBdr>
      <w:divsChild>
        <w:div w:id="1576822860">
          <w:marLeft w:val="0"/>
          <w:marRight w:val="75"/>
          <w:marTop w:val="0"/>
          <w:marBottom w:val="0"/>
          <w:divBdr>
            <w:top w:val="none" w:sz="0" w:space="0" w:color="auto"/>
            <w:left w:val="none" w:sz="0" w:space="0" w:color="auto"/>
            <w:bottom w:val="none" w:sz="0" w:space="0" w:color="auto"/>
            <w:right w:val="none" w:sz="0" w:space="0" w:color="auto"/>
          </w:divBdr>
        </w:div>
        <w:div w:id="1520965857">
          <w:marLeft w:val="0"/>
          <w:marRight w:val="0"/>
          <w:marTop w:val="0"/>
          <w:marBottom w:val="300"/>
          <w:divBdr>
            <w:top w:val="none" w:sz="0" w:space="0" w:color="auto"/>
            <w:left w:val="none" w:sz="0" w:space="0" w:color="auto"/>
            <w:bottom w:val="none" w:sz="0" w:space="0" w:color="auto"/>
            <w:right w:val="none" w:sz="0" w:space="0" w:color="auto"/>
          </w:divBdr>
        </w:div>
        <w:div w:id="139663054">
          <w:marLeft w:val="255"/>
          <w:marRight w:val="0"/>
          <w:marTop w:val="75"/>
          <w:marBottom w:val="0"/>
          <w:divBdr>
            <w:top w:val="none" w:sz="0" w:space="0" w:color="auto"/>
            <w:left w:val="none" w:sz="0" w:space="0" w:color="auto"/>
            <w:bottom w:val="none" w:sz="0" w:space="0" w:color="auto"/>
            <w:right w:val="none" w:sz="0" w:space="0" w:color="auto"/>
          </w:divBdr>
          <w:divsChild>
            <w:div w:id="1834375207">
              <w:marLeft w:val="255"/>
              <w:marRight w:val="0"/>
              <w:marTop w:val="0"/>
              <w:marBottom w:val="0"/>
              <w:divBdr>
                <w:top w:val="none" w:sz="0" w:space="0" w:color="auto"/>
                <w:left w:val="none" w:sz="0" w:space="0" w:color="auto"/>
                <w:bottom w:val="none" w:sz="0" w:space="0" w:color="auto"/>
                <w:right w:val="none" w:sz="0" w:space="0" w:color="auto"/>
              </w:divBdr>
            </w:div>
            <w:div w:id="1685790843">
              <w:marLeft w:val="255"/>
              <w:marRight w:val="0"/>
              <w:marTop w:val="0"/>
              <w:marBottom w:val="0"/>
              <w:divBdr>
                <w:top w:val="none" w:sz="0" w:space="0" w:color="auto"/>
                <w:left w:val="none" w:sz="0" w:space="0" w:color="auto"/>
                <w:bottom w:val="none" w:sz="0" w:space="0" w:color="auto"/>
                <w:right w:val="none" w:sz="0" w:space="0" w:color="auto"/>
              </w:divBdr>
            </w:div>
            <w:div w:id="5083271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12487</Words>
  <Characters>71182</Characters>
  <Application>Microsoft Office Word</Application>
  <DocSecurity>0</DocSecurity>
  <Lines>593</Lines>
  <Paragraphs>167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Pekarova</dc:creator>
  <cp:keywords/>
  <dc:description/>
  <cp:lastModifiedBy>Pekarova Elena</cp:lastModifiedBy>
  <cp:revision>3</cp:revision>
  <cp:lastPrinted>2024-11-22T08:44:00Z</cp:lastPrinted>
  <dcterms:created xsi:type="dcterms:W3CDTF">2025-01-02T12:38:00Z</dcterms:created>
  <dcterms:modified xsi:type="dcterms:W3CDTF">2025-01-02T12:39:00Z</dcterms:modified>
</cp:coreProperties>
</file>