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9DF8" w14:textId="77777777" w:rsidR="005B7DD8" w:rsidRDefault="00047B74" w:rsidP="00BD1161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b/>
          <w:u w:val="single"/>
          <w:lang w:eastAsia="sk-SK"/>
        </w:rPr>
      </w:pPr>
      <w:r>
        <w:rPr>
          <w:rFonts w:eastAsia="Calibri"/>
          <w:b/>
          <w:u w:val="single"/>
          <w:lang w:eastAsia="sk-SK"/>
        </w:rPr>
        <w:t xml:space="preserve">MINISTERSTVO OBRANY </w:t>
      </w:r>
    </w:p>
    <w:p w14:paraId="7C970E47" w14:textId="77777777" w:rsidR="00047B74" w:rsidRPr="00047B74" w:rsidRDefault="00047B74" w:rsidP="00BD1161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b/>
          <w:u w:val="single"/>
          <w:lang w:eastAsia="sk-SK"/>
        </w:rPr>
      </w:pPr>
      <w:r>
        <w:rPr>
          <w:rFonts w:eastAsia="Calibri"/>
          <w:b/>
          <w:u w:val="single"/>
          <w:lang w:eastAsia="sk-SK"/>
        </w:rPr>
        <w:t>SLOVENSKEJ</w:t>
      </w:r>
      <w:r w:rsidR="005B7DD8">
        <w:rPr>
          <w:rFonts w:eastAsia="Calibri"/>
          <w:b/>
          <w:u w:val="single"/>
          <w:lang w:eastAsia="sk-SK"/>
        </w:rPr>
        <w:t xml:space="preserve"> </w:t>
      </w:r>
      <w:r>
        <w:rPr>
          <w:rFonts w:eastAsia="Calibri"/>
          <w:b/>
          <w:u w:val="single"/>
          <w:lang w:eastAsia="sk-SK"/>
        </w:rPr>
        <w:t>REPUBLIKY</w:t>
      </w:r>
    </w:p>
    <w:p w14:paraId="4A0BBC2B" w14:textId="7B7C36BD" w:rsidR="004F2C07" w:rsidRDefault="004F2C07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  <w:r w:rsidRPr="004F2C07">
        <w:rPr>
          <w:rFonts w:eastAsia="Calibri"/>
          <w:lang w:eastAsia="sk-SK"/>
        </w:rPr>
        <w:t>Č</w:t>
      </w:r>
      <w:r w:rsidR="00047B74">
        <w:rPr>
          <w:rFonts w:eastAsia="Calibri"/>
          <w:lang w:eastAsia="sk-SK"/>
        </w:rPr>
        <w:t xml:space="preserve">íslo: </w:t>
      </w:r>
      <w:r w:rsidR="00C347A1" w:rsidRPr="00E57EBB">
        <w:rPr>
          <w:rFonts w:eastAsia="Calibri"/>
          <w:lang w:eastAsia="sk-SK"/>
        </w:rPr>
        <w:t>SE</w:t>
      </w:r>
      <w:r w:rsidR="00F653BC" w:rsidRPr="00E57EBB">
        <w:rPr>
          <w:rFonts w:eastAsia="Calibri"/>
          <w:lang w:eastAsia="sk-SK"/>
        </w:rPr>
        <w:t>LP</w:t>
      </w:r>
      <w:r w:rsidR="00E57EBB" w:rsidRPr="00E57EBB">
        <w:rPr>
          <w:rFonts w:eastAsia="Calibri"/>
          <w:lang w:eastAsia="sk-SK"/>
        </w:rPr>
        <w:t>-17</w:t>
      </w:r>
      <w:r w:rsidR="002E5DFD">
        <w:rPr>
          <w:rFonts w:eastAsia="Calibri"/>
          <w:lang w:eastAsia="sk-SK"/>
        </w:rPr>
        <w:t>-</w:t>
      </w:r>
      <w:r w:rsidR="008E4614">
        <w:rPr>
          <w:rFonts w:eastAsia="Calibri"/>
          <w:lang w:eastAsia="sk-SK"/>
        </w:rPr>
        <w:t>8</w:t>
      </w:r>
      <w:r w:rsidR="00E57EBB" w:rsidRPr="00E57EBB">
        <w:rPr>
          <w:rFonts w:eastAsia="Calibri"/>
          <w:lang w:eastAsia="sk-SK"/>
        </w:rPr>
        <w:t>/</w:t>
      </w:r>
      <w:r w:rsidR="00F653BC" w:rsidRPr="00E57EBB">
        <w:rPr>
          <w:rFonts w:eastAsia="Calibri"/>
          <w:lang w:eastAsia="sk-SK"/>
        </w:rPr>
        <w:t>20</w:t>
      </w:r>
      <w:r w:rsidR="00CC0832" w:rsidRPr="00E57EBB">
        <w:rPr>
          <w:rFonts w:eastAsia="Calibri"/>
          <w:lang w:eastAsia="sk-SK"/>
        </w:rPr>
        <w:t>2</w:t>
      </w:r>
      <w:r w:rsidR="00A41F2C" w:rsidRPr="00E57EBB">
        <w:rPr>
          <w:rFonts w:eastAsia="Calibri"/>
          <w:lang w:eastAsia="sk-SK"/>
        </w:rPr>
        <w:t>5</w:t>
      </w:r>
      <w:r w:rsidR="00047B74">
        <w:rPr>
          <w:sz w:val="22"/>
        </w:rPr>
        <w:t xml:space="preserve">                       </w:t>
      </w:r>
      <w:r w:rsidRPr="004F2C07">
        <w:rPr>
          <w:rFonts w:eastAsia="Calibri"/>
          <w:lang w:eastAsia="sk-SK"/>
        </w:rPr>
        <w:tab/>
        <w:t xml:space="preserve"> </w:t>
      </w:r>
    </w:p>
    <w:p w14:paraId="3F3E998F" w14:textId="77777777" w:rsidR="00047B74" w:rsidRDefault="00047B74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</w:p>
    <w:p w14:paraId="1AA12F73" w14:textId="77777777" w:rsidR="002E5DFD" w:rsidRDefault="00047B74" w:rsidP="002E5DFD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 xml:space="preserve">Materiál na </w:t>
      </w:r>
      <w:r w:rsidR="002E5DFD">
        <w:rPr>
          <w:rFonts w:eastAsia="Calibri"/>
          <w:lang w:eastAsia="sk-SK"/>
        </w:rPr>
        <w:t>rokovanie Legislatívnej rady vlády</w:t>
      </w:r>
    </w:p>
    <w:p w14:paraId="34A609E6" w14:textId="77777777" w:rsidR="002E5DFD" w:rsidRDefault="002E5DFD" w:rsidP="002E5DFD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Slovenskej republiky</w:t>
      </w:r>
    </w:p>
    <w:p w14:paraId="5F95D7EB" w14:textId="60D67C18" w:rsidR="00047B74" w:rsidRDefault="00047B74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</w:p>
    <w:p w14:paraId="12892B77" w14:textId="77777777" w:rsidR="00047B74" w:rsidRDefault="00047B74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</w:p>
    <w:p w14:paraId="33552695" w14:textId="77777777" w:rsidR="00047B74" w:rsidRDefault="00047B74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</w:p>
    <w:p w14:paraId="64B5FE5D" w14:textId="77777777" w:rsidR="00047B74" w:rsidRDefault="00047B74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</w:p>
    <w:p w14:paraId="34EC26A1" w14:textId="77777777" w:rsidR="00047B74" w:rsidRDefault="00047B74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lang w:eastAsia="sk-SK"/>
        </w:rPr>
      </w:pPr>
    </w:p>
    <w:p w14:paraId="4B0234DA" w14:textId="78DB2386" w:rsidR="00A41F2C" w:rsidRDefault="00047B74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D371BC">
        <w:rPr>
          <w:rFonts w:ascii="Times" w:hAnsi="Times" w:cs="Times"/>
          <w:b/>
          <w:bCs/>
          <w:sz w:val="25"/>
          <w:szCs w:val="25"/>
        </w:rPr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</w:t>
      </w:r>
      <w:r w:rsidR="00CC0832">
        <w:rPr>
          <w:rFonts w:ascii="Times" w:hAnsi="Times" w:cs="Times"/>
          <w:b/>
          <w:bCs/>
          <w:sz w:val="25"/>
          <w:szCs w:val="25"/>
        </w:rPr>
        <w:t>2</w:t>
      </w:r>
      <w:r w:rsidR="00A41F2C">
        <w:rPr>
          <w:rFonts w:ascii="Times" w:hAnsi="Times" w:cs="Times"/>
          <w:b/>
          <w:bCs/>
          <w:sz w:val="25"/>
          <w:szCs w:val="25"/>
        </w:rPr>
        <w:t>5</w:t>
      </w:r>
    </w:p>
    <w:p w14:paraId="09EEB5B5" w14:textId="77777777" w:rsidR="00A41F2C" w:rsidRDefault="00A41F2C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14:paraId="771A1403" w14:textId="77777777" w:rsidR="00A41F2C" w:rsidRDefault="00A41F2C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 xml:space="preserve">o niektorých opatreniach na zvýšenie odolnosti Slovenskej republiky </w:t>
      </w:r>
    </w:p>
    <w:p w14:paraId="1F25002B" w14:textId="77777777" w:rsidR="00A41F2C" w:rsidRDefault="00A41F2C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 xml:space="preserve">v oblasti obrany a bezpečnosti a o brannej povinnosti </w:t>
      </w:r>
    </w:p>
    <w:p w14:paraId="6292B718" w14:textId="3E7EBCFD" w:rsidR="00047B74" w:rsidRPr="004F2C07" w:rsidRDefault="00A41F2C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lang w:eastAsia="sk-SK"/>
        </w:rPr>
      </w:pPr>
      <w:r>
        <w:rPr>
          <w:rFonts w:ascii="Times" w:hAnsi="Times" w:cs="Times"/>
          <w:b/>
          <w:bCs/>
          <w:sz w:val="25"/>
          <w:szCs w:val="25"/>
        </w:rPr>
        <w:t>a o zmene a doplnení niektorých zákonov</w:t>
      </w:r>
      <w:r w:rsidR="00047B74">
        <w:rPr>
          <w:rFonts w:ascii="Times" w:hAnsi="Times" w:cs="Times"/>
          <w:b/>
          <w:bCs/>
          <w:sz w:val="25"/>
          <w:szCs w:val="25"/>
        </w:rPr>
        <w:br/>
      </w:r>
    </w:p>
    <w:p w14:paraId="2062B7FA" w14:textId="77777777" w:rsidR="004F2C07" w:rsidRPr="004F2C07" w:rsidRDefault="004F2C07" w:rsidP="00BD1161">
      <w:pPr>
        <w:widowControl w:val="0"/>
        <w:spacing w:after="0" w:line="240" w:lineRule="auto"/>
        <w:jc w:val="both"/>
        <w:rPr>
          <w:rFonts w:eastAsia="Calibri"/>
          <w:lang w:eastAsia="sk-SK"/>
        </w:rPr>
      </w:pPr>
      <w:r w:rsidRPr="004F2C07">
        <w:rPr>
          <w:rFonts w:eastAsia="Calibri"/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B76AA7E" wp14:editId="52776808">
                <wp:simplePos x="0" y="0"/>
                <wp:positionH relativeFrom="column">
                  <wp:posOffset>14605</wp:posOffset>
                </wp:positionH>
                <wp:positionV relativeFrom="paragraph">
                  <wp:posOffset>15239</wp:posOffset>
                </wp:positionV>
                <wp:extent cx="5732145" cy="0"/>
                <wp:effectExtent l="0" t="0" r="20955" b="19050"/>
                <wp:wrapNone/>
                <wp:docPr id="40" name="Rovná spojnic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7A57C" id="Rovná spojnica 4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.2pt" to="452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"/>
            </w:pict>
          </mc:Fallback>
        </mc:AlternateContent>
      </w:r>
    </w:p>
    <w:tbl>
      <w:tblPr>
        <w:tblpPr w:leftFromText="141" w:rightFromText="141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5"/>
      </w:tblGrid>
      <w:tr w:rsidR="004F2C07" w:rsidRPr="004F2C07" w14:paraId="6126949A" w14:textId="77777777" w:rsidTr="004F2C07">
        <w:trPr>
          <w:trHeight w:val="5834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0638B69C" w14:textId="77777777" w:rsidR="004F2C07" w:rsidRPr="00D311F4" w:rsidRDefault="004F2C07" w:rsidP="00BD1161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5"/>
                <w:szCs w:val="25"/>
                <w:u w:val="single"/>
              </w:rPr>
            </w:pPr>
            <w:r w:rsidRPr="00D311F4">
              <w:rPr>
                <w:rFonts w:eastAsiaTheme="minorEastAsia"/>
                <w:sz w:val="25"/>
                <w:szCs w:val="25"/>
                <w:u w:val="single"/>
              </w:rPr>
              <w:t>Obsah materiálu:</w:t>
            </w:r>
          </w:p>
          <w:p w14:paraId="48C22868" w14:textId="77777777" w:rsidR="004F2C07" w:rsidRPr="00D311F4" w:rsidRDefault="004F2C07" w:rsidP="00BD1161">
            <w:pPr>
              <w:widowControl w:val="0"/>
              <w:spacing w:after="0" w:line="240" w:lineRule="auto"/>
              <w:jc w:val="both"/>
              <w:rPr>
                <w:rFonts w:eastAsiaTheme="minorEastAsia"/>
                <w:sz w:val="25"/>
                <w:szCs w:val="25"/>
                <w:u w:val="single"/>
              </w:rPr>
            </w:pPr>
          </w:p>
          <w:p w14:paraId="5B94FE4A" w14:textId="77777777" w:rsidR="004F2C07" w:rsidRDefault="001A7A31" w:rsidP="00BD116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N</w:t>
            </w:r>
            <w:r w:rsidRPr="007479FF">
              <w:rPr>
                <w:rFonts w:eastAsiaTheme="minorEastAsia"/>
                <w:sz w:val="25"/>
                <w:szCs w:val="25"/>
              </w:rPr>
              <w:t>ávrh uznesenia vlády SR</w:t>
            </w:r>
            <w:r w:rsidRPr="00D311F4">
              <w:rPr>
                <w:rFonts w:eastAsiaTheme="minorEastAsia"/>
                <w:sz w:val="25"/>
                <w:szCs w:val="25"/>
              </w:rPr>
              <w:t xml:space="preserve"> </w:t>
            </w:r>
          </w:p>
          <w:p w14:paraId="7DEC34EC" w14:textId="77777777" w:rsidR="007479FF" w:rsidRPr="00D311F4" w:rsidRDefault="001A7A31" w:rsidP="00BD116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P</w:t>
            </w:r>
            <w:r w:rsidRPr="00D311F4">
              <w:rPr>
                <w:rFonts w:eastAsiaTheme="minorEastAsia"/>
                <w:sz w:val="25"/>
                <w:szCs w:val="25"/>
              </w:rPr>
              <w:t>redkladacia správa</w:t>
            </w:r>
          </w:p>
          <w:p w14:paraId="69B72BFB" w14:textId="77777777" w:rsidR="004F2C07" w:rsidRPr="00D311F4" w:rsidRDefault="001A7A31" w:rsidP="00BD116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N</w:t>
            </w:r>
            <w:r w:rsidRPr="007479FF">
              <w:rPr>
                <w:rFonts w:eastAsiaTheme="minorEastAsia"/>
                <w:sz w:val="25"/>
                <w:szCs w:val="25"/>
              </w:rPr>
              <w:t>ávrh</w:t>
            </w:r>
            <w:r>
              <w:rPr>
                <w:rFonts w:eastAsiaTheme="minorEastAsia"/>
                <w:sz w:val="25"/>
                <w:szCs w:val="25"/>
              </w:rPr>
              <w:t xml:space="preserve"> zákona</w:t>
            </w:r>
          </w:p>
          <w:p w14:paraId="331F2BE7" w14:textId="77777777" w:rsidR="004F2C07" w:rsidRPr="00D311F4" w:rsidRDefault="001A7A31" w:rsidP="00BD116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D</w:t>
            </w:r>
            <w:r w:rsidR="00047B74" w:rsidRPr="00D311F4">
              <w:rPr>
                <w:rFonts w:eastAsiaTheme="minorEastAsia"/>
                <w:sz w:val="25"/>
                <w:szCs w:val="25"/>
              </w:rPr>
              <w:t>ôvodová správa – všeobecná časť</w:t>
            </w:r>
          </w:p>
          <w:p w14:paraId="4DE41016" w14:textId="77777777" w:rsidR="004F2C07" w:rsidRDefault="001A7A31" w:rsidP="00BD116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D</w:t>
            </w:r>
            <w:r w:rsidR="004F2C07" w:rsidRPr="00D311F4">
              <w:rPr>
                <w:rFonts w:eastAsiaTheme="minorEastAsia"/>
                <w:sz w:val="25"/>
                <w:szCs w:val="25"/>
              </w:rPr>
              <w:t>ôvodová správa</w:t>
            </w:r>
            <w:r w:rsidR="00047B74" w:rsidRPr="00D311F4">
              <w:rPr>
                <w:rFonts w:eastAsiaTheme="minorEastAsia"/>
                <w:sz w:val="25"/>
                <w:szCs w:val="25"/>
              </w:rPr>
              <w:t xml:space="preserve"> – osobitná časť</w:t>
            </w:r>
          </w:p>
          <w:p w14:paraId="414A0DA9" w14:textId="77777777" w:rsidR="004F2C07" w:rsidRDefault="001A7A31" w:rsidP="00BD116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D</w:t>
            </w:r>
            <w:r w:rsidRPr="00D1415E">
              <w:rPr>
                <w:rFonts w:eastAsiaTheme="minorEastAsia"/>
                <w:sz w:val="25"/>
                <w:szCs w:val="25"/>
              </w:rPr>
              <w:t xml:space="preserve">oložka zlučiteľnosti </w:t>
            </w:r>
            <w:r>
              <w:rPr>
                <w:rFonts w:eastAsiaTheme="minorEastAsia"/>
                <w:sz w:val="25"/>
                <w:szCs w:val="25"/>
              </w:rPr>
              <w:t xml:space="preserve"> </w:t>
            </w:r>
          </w:p>
          <w:p w14:paraId="50FAD4ED" w14:textId="77777777" w:rsidR="005C29B4" w:rsidRDefault="001A7A31" w:rsidP="00BD116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D</w:t>
            </w:r>
            <w:r w:rsidRPr="00D1415E">
              <w:rPr>
                <w:rFonts w:eastAsiaTheme="minorEastAsia"/>
                <w:sz w:val="25"/>
                <w:szCs w:val="25"/>
              </w:rPr>
              <w:t xml:space="preserve">oložka </w:t>
            </w:r>
            <w:r>
              <w:rPr>
                <w:rFonts w:eastAsiaTheme="minorEastAsia"/>
                <w:sz w:val="25"/>
                <w:szCs w:val="25"/>
              </w:rPr>
              <w:t xml:space="preserve">vybraných </w:t>
            </w:r>
            <w:r w:rsidRPr="00D1415E">
              <w:rPr>
                <w:rFonts w:eastAsiaTheme="minorEastAsia"/>
                <w:sz w:val="25"/>
                <w:szCs w:val="25"/>
              </w:rPr>
              <w:t>vplyvov</w:t>
            </w:r>
            <w:r>
              <w:rPr>
                <w:rFonts w:eastAsiaTheme="minorEastAsia"/>
                <w:sz w:val="25"/>
                <w:szCs w:val="25"/>
              </w:rPr>
              <w:t xml:space="preserve"> </w:t>
            </w:r>
          </w:p>
          <w:p w14:paraId="41C75B58" w14:textId="77777777" w:rsidR="0084770A" w:rsidRDefault="001A7A31" w:rsidP="00047B7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Analýzy vplyvov</w:t>
            </w:r>
          </w:p>
          <w:p w14:paraId="1808113E" w14:textId="70494E0A" w:rsidR="00CC0832" w:rsidRDefault="00CC0832" w:rsidP="00047B7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Tabuľk</w:t>
            </w:r>
            <w:r w:rsidR="00A41F2C">
              <w:rPr>
                <w:rFonts w:eastAsiaTheme="minorEastAsia"/>
                <w:sz w:val="25"/>
                <w:szCs w:val="25"/>
              </w:rPr>
              <w:t>a</w:t>
            </w:r>
            <w:r>
              <w:rPr>
                <w:rFonts w:eastAsiaTheme="minorEastAsia"/>
                <w:sz w:val="25"/>
                <w:szCs w:val="25"/>
              </w:rPr>
              <w:t xml:space="preserve"> zhody</w:t>
            </w:r>
          </w:p>
          <w:p w14:paraId="4743D742" w14:textId="7CE5AE88" w:rsidR="00EA4DB5" w:rsidRDefault="00EA4DB5" w:rsidP="00047B7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Vyhodnotenie pripomienkového konania</w:t>
            </w:r>
          </w:p>
          <w:p w14:paraId="088A3BF0" w14:textId="12659DC1" w:rsidR="00E173BD" w:rsidRDefault="001A7A31" w:rsidP="00047B7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S</w:t>
            </w:r>
            <w:r w:rsidR="0084770A" w:rsidRPr="00D1415E">
              <w:rPr>
                <w:rFonts w:eastAsiaTheme="minorEastAsia"/>
                <w:sz w:val="25"/>
                <w:szCs w:val="25"/>
              </w:rPr>
              <w:t>práva o účasti verejnosti</w:t>
            </w:r>
          </w:p>
          <w:p w14:paraId="5F61C2D0" w14:textId="65A169CE" w:rsidR="00EA4DB5" w:rsidRDefault="00EA4DB5" w:rsidP="00047B7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Vyhlásenie predkladateľa</w:t>
            </w:r>
          </w:p>
          <w:p w14:paraId="7B38CB29" w14:textId="77777777" w:rsidR="004F2C07" w:rsidRPr="00D311F4" w:rsidRDefault="004F2C07" w:rsidP="00BD1161">
            <w:pPr>
              <w:widowControl w:val="0"/>
              <w:spacing w:after="0" w:line="240" w:lineRule="auto"/>
              <w:ind w:left="356" w:hanging="356"/>
              <w:rPr>
                <w:rFonts w:eastAsiaTheme="minorEastAsia"/>
                <w:sz w:val="25"/>
                <w:szCs w:val="25"/>
              </w:rPr>
            </w:pPr>
          </w:p>
          <w:p w14:paraId="4CD6E06D" w14:textId="77777777" w:rsidR="004F2C07" w:rsidRPr="004F2C07" w:rsidRDefault="004F2C07" w:rsidP="00BD1161">
            <w:pPr>
              <w:widowControl w:val="0"/>
              <w:spacing w:after="0" w:line="240" w:lineRule="auto"/>
              <w:ind w:left="356" w:hanging="356"/>
              <w:rPr>
                <w:rFonts w:eastAsia="Calibri"/>
                <w:lang w:eastAsia="sk-SK"/>
              </w:rPr>
            </w:pPr>
          </w:p>
          <w:p w14:paraId="6A6C8B3D" w14:textId="77777777" w:rsidR="004F2C07" w:rsidRPr="004F2C07" w:rsidRDefault="004F2C07" w:rsidP="00BD1161">
            <w:pPr>
              <w:widowControl w:val="0"/>
              <w:spacing w:after="0" w:line="240" w:lineRule="auto"/>
              <w:ind w:left="356" w:hanging="356"/>
              <w:rPr>
                <w:rFonts w:eastAsia="Calibri"/>
                <w:u w:val="single"/>
                <w:lang w:eastAsia="sk-SK"/>
              </w:rPr>
            </w:pPr>
          </w:p>
        </w:tc>
      </w:tr>
    </w:tbl>
    <w:p w14:paraId="201FB1F0" w14:textId="77777777" w:rsidR="004F2C07" w:rsidRPr="004F2C07" w:rsidRDefault="00047B74" w:rsidP="00BD1161">
      <w:pPr>
        <w:widowControl w:val="0"/>
        <w:spacing w:after="0" w:line="240" w:lineRule="auto"/>
        <w:jc w:val="both"/>
        <w:rPr>
          <w:rFonts w:eastAsia="Calibri"/>
          <w:u w:val="single"/>
          <w:lang w:eastAsia="sk-SK"/>
        </w:rPr>
      </w:pPr>
      <w:r w:rsidRPr="00D311F4">
        <w:rPr>
          <w:rFonts w:eastAsiaTheme="minorEastAsia"/>
          <w:sz w:val="25"/>
          <w:szCs w:val="25"/>
          <w:u w:val="single"/>
        </w:rPr>
        <w:t>Podnet</w:t>
      </w:r>
      <w:r w:rsidR="004F2C07" w:rsidRPr="00D311F4">
        <w:rPr>
          <w:rFonts w:eastAsiaTheme="minorEastAsia"/>
          <w:sz w:val="25"/>
          <w:szCs w:val="25"/>
          <w:u w:val="single"/>
        </w:rPr>
        <w:t xml:space="preserve">: </w:t>
      </w:r>
      <w:r w:rsidR="004F2C07" w:rsidRPr="004F2C07">
        <w:rPr>
          <w:rFonts w:eastAsia="Calibri"/>
          <w:u w:val="single"/>
          <w:lang w:eastAsia="sk-SK"/>
        </w:rPr>
        <w:t xml:space="preserve">                                 </w:t>
      </w:r>
    </w:p>
    <w:p w14:paraId="34F45D02" w14:textId="3D3147BD" w:rsidR="004F2C07" w:rsidRPr="00D311F4" w:rsidRDefault="00A41F2C" w:rsidP="00BD1161">
      <w:pPr>
        <w:widowControl w:val="0"/>
        <w:spacing w:after="0" w:line="240" w:lineRule="auto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Iniciatívny návrh</w:t>
      </w:r>
    </w:p>
    <w:p w14:paraId="1DA0E168" w14:textId="77777777"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3FF417CA" w14:textId="77777777"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12418564" w14:textId="77777777"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76A6FB1B" w14:textId="77777777"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7EFC3A55" w14:textId="77777777"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2D56D514" w14:textId="77777777"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77392007" w14:textId="77777777"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658E9C7C" w14:textId="77777777"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2B162946" w14:textId="77777777"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0C3A2F4F" w14:textId="77777777"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2F35AB1D" w14:textId="77777777"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38F240F7" w14:textId="77777777"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40B31DDF" w14:textId="77777777"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328DBB32" w14:textId="77777777"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02533613" w14:textId="77777777"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14:paraId="4D4E2043" w14:textId="77777777" w:rsidR="004F2C07" w:rsidRPr="004F2C07" w:rsidRDefault="004F2C07" w:rsidP="00BD1161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14:paraId="49388E5F" w14:textId="77777777" w:rsidR="00D311F4" w:rsidRPr="008E4F14" w:rsidRDefault="00D311F4" w:rsidP="00D311F4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29F7046B" w14:textId="30260E52" w:rsidR="00D311F4" w:rsidRDefault="00D311F4" w:rsidP="001362F2">
      <w:pPr>
        <w:spacing w:after="0"/>
        <w:rPr>
          <w:sz w:val="25"/>
          <w:szCs w:val="25"/>
        </w:rPr>
      </w:pPr>
      <w:r w:rsidRPr="00D311F4">
        <w:rPr>
          <w:sz w:val="25"/>
          <w:szCs w:val="25"/>
        </w:rPr>
        <w:fldChar w:fldCharType="begin"/>
      </w:r>
      <w:r w:rsidRPr="00D311F4">
        <w:rPr>
          <w:sz w:val="25"/>
          <w:szCs w:val="25"/>
        </w:rPr>
        <w:instrText xml:space="preserve"> DOCPROPERTY  FSC#SKEDITIONSLOVLEX@103.510:predkladateliaObalSD\* MERGEFORMAT </w:instrText>
      </w:r>
      <w:r w:rsidRPr="00D311F4">
        <w:rPr>
          <w:sz w:val="25"/>
          <w:szCs w:val="25"/>
        </w:rPr>
        <w:fldChar w:fldCharType="separate"/>
      </w:r>
      <w:r w:rsidR="001362F2">
        <w:rPr>
          <w:sz w:val="25"/>
          <w:szCs w:val="25"/>
        </w:rPr>
        <w:t xml:space="preserve">Robert </w:t>
      </w:r>
      <w:proofErr w:type="spellStart"/>
      <w:r w:rsidR="001362F2">
        <w:rPr>
          <w:sz w:val="25"/>
          <w:szCs w:val="25"/>
        </w:rPr>
        <w:t>Kaliňák</w:t>
      </w:r>
      <w:proofErr w:type="spellEnd"/>
      <w:r w:rsidRPr="00D311F4">
        <w:rPr>
          <w:sz w:val="25"/>
          <w:szCs w:val="25"/>
        </w:rPr>
        <w:fldChar w:fldCharType="end"/>
      </w:r>
    </w:p>
    <w:p w14:paraId="3F002A45" w14:textId="6898DE60" w:rsidR="001362F2" w:rsidRDefault="001362F2" w:rsidP="001362F2">
      <w:pP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podpredseda vlády a minister obrany </w:t>
      </w:r>
    </w:p>
    <w:p w14:paraId="4B98082E" w14:textId="084DB77D" w:rsidR="001362F2" w:rsidRDefault="001362F2" w:rsidP="001362F2">
      <w:pPr>
        <w:spacing w:after="0"/>
        <w:rPr>
          <w:sz w:val="25"/>
          <w:szCs w:val="25"/>
        </w:rPr>
      </w:pPr>
      <w:r>
        <w:rPr>
          <w:sz w:val="25"/>
          <w:szCs w:val="25"/>
        </w:rPr>
        <w:t>Slovenskej republiky</w:t>
      </w:r>
    </w:p>
    <w:p w14:paraId="04715883" w14:textId="77777777" w:rsidR="00D311F4" w:rsidRDefault="00D311F4" w:rsidP="00D311F4">
      <w:pPr>
        <w:widowControl w:val="0"/>
        <w:spacing w:after="0" w:line="240" w:lineRule="auto"/>
        <w:rPr>
          <w:sz w:val="25"/>
          <w:szCs w:val="25"/>
        </w:rPr>
      </w:pPr>
    </w:p>
    <w:p w14:paraId="474BA205" w14:textId="77777777" w:rsidR="00DE5ABE" w:rsidRDefault="00DE5ABE" w:rsidP="00D311F4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14:paraId="3B938424" w14:textId="77777777" w:rsidR="00DE5ABE" w:rsidRDefault="00DE5ABE" w:rsidP="00D311F4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14:paraId="25412941" w14:textId="77777777" w:rsidR="00DE5ABE" w:rsidRDefault="00DE5ABE" w:rsidP="00D311F4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14:paraId="4FD863BA" w14:textId="231F9036" w:rsidR="00D311F4" w:rsidRPr="00D311F4" w:rsidRDefault="00D311F4" w:rsidP="00D311F4">
      <w:pPr>
        <w:widowControl w:val="0"/>
        <w:spacing w:after="0" w:line="240" w:lineRule="auto"/>
        <w:jc w:val="center"/>
        <w:rPr>
          <w:rFonts w:eastAsia="Calibri"/>
          <w:lang w:eastAsia="sk-SK"/>
        </w:rPr>
      </w:pPr>
      <w:r>
        <w:rPr>
          <w:rFonts w:eastAsia="Calibri"/>
          <w:lang w:eastAsia="sk-SK"/>
        </w:rPr>
        <w:t xml:space="preserve">Bratislava </w:t>
      </w:r>
      <w:r w:rsidR="00EA4DB5">
        <w:rPr>
          <w:rFonts w:eastAsia="Calibri"/>
          <w:lang w:eastAsia="sk-SK"/>
        </w:rPr>
        <w:t xml:space="preserve"> </w:t>
      </w:r>
      <w:r w:rsidR="001362F2">
        <w:rPr>
          <w:rFonts w:eastAsia="Calibri"/>
          <w:lang w:eastAsia="sk-SK"/>
        </w:rPr>
        <w:t xml:space="preserve"> </w:t>
      </w:r>
      <w:r w:rsidR="00DE77E9">
        <w:rPr>
          <w:rFonts w:eastAsia="Calibri"/>
          <w:lang w:eastAsia="sk-SK"/>
        </w:rPr>
        <w:t>február</w:t>
      </w:r>
      <w:r w:rsidR="00A41F2C">
        <w:rPr>
          <w:rFonts w:eastAsia="Calibri"/>
          <w:lang w:eastAsia="sk-SK"/>
        </w:rPr>
        <w:t xml:space="preserve"> 2025</w:t>
      </w:r>
    </w:p>
    <w:sectPr w:rsidR="00D311F4" w:rsidRPr="00D311F4" w:rsidSect="00D311F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796A" w14:textId="77777777" w:rsidR="005F4A78" w:rsidRDefault="005F4A78">
      <w:pPr>
        <w:spacing w:after="0" w:line="240" w:lineRule="auto"/>
      </w:pPr>
      <w:r>
        <w:separator/>
      </w:r>
    </w:p>
  </w:endnote>
  <w:endnote w:type="continuationSeparator" w:id="0">
    <w:p w14:paraId="6D7DF8CF" w14:textId="77777777" w:rsidR="005F4A78" w:rsidRDefault="005F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349396"/>
      <w:docPartObj>
        <w:docPartGallery w:val="Page Numbers (Bottom of Page)"/>
        <w:docPartUnique/>
      </w:docPartObj>
    </w:sdtPr>
    <w:sdtEndPr/>
    <w:sdtContent>
      <w:p w14:paraId="24E5B0CA" w14:textId="77777777" w:rsidR="00047B74" w:rsidRDefault="00047B7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DD8">
          <w:rPr>
            <w:noProof/>
          </w:rPr>
          <w:t>2</w:t>
        </w:r>
        <w:r>
          <w:fldChar w:fldCharType="end"/>
        </w:r>
      </w:p>
    </w:sdtContent>
  </w:sdt>
  <w:p w14:paraId="1ABBF85F" w14:textId="77777777" w:rsidR="00047B74" w:rsidRDefault="00047B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CBC3" w14:textId="77777777" w:rsidR="005F4A78" w:rsidRDefault="005F4A78">
      <w:pPr>
        <w:spacing w:after="0" w:line="240" w:lineRule="auto"/>
      </w:pPr>
      <w:r>
        <w:separator/>
      </w:r>
    </w:p>
  </w:footnote>
  <w:footnote w:type="continuationSeparator" w:id="0">
    <w:p w14:paraId="22B02D0B" w14:textId="77777777" w:rsidR="005F4A78" w:rsidRDefault="005F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531pt;height:540pt;visibility:visible;mso-wrap-style:square" o:bullet="t">
        <v:imagedata r:id="rId1" o:title="Obrázok19"/>
      </v:shape>
    </w:pict>
  </w:numPicBullet>
  <w:abstractNum w:abstractNumId="0" w15:restartNumberingAfterBreak="0">
    <w:nsid w:val="040C7426"/>
    <w:multiLevelType w:val="hybridMultilevel"/>
    <w:tmpl w:val="63F8B5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E90684"/>
    <w:multiLevelType w:val="hybridMultilevel"/>
    <w:tmpl w:val="BFC210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4558"/>
    <w:multiLevelType w:val="hybridMultilevel"/>
    <w:tmpl w:val="1F60F216"/>
    <w:lvl w:ilvl="0" w:tplc="B33454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74063E"/>
    <w:multiLevelType w:val="hybridMultilevel"/>
    <w:tmpl w:val="491296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A6A12"/>
    <w:multiLevelType w:val="hybridMultilevel"/>
    <w:tmpl w:val="C466F5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10CA2"/>
    <w:multiLevelType w:val="hybridMultilevel"/>
    <w:tmpl w:val="8CD20068"/>
    <w:lvl w:ilvl="0" w:tplc="9DA8A9D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12118A"/>
    <w:multiLevelType w:val="hybridMultilevel"/>
    <w:tmpl w:val="A7724D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87419"/>
    <w:multiLevelType w:val="hybridMultilevel"/>
    <w:tmpl w:val="CC402E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652CBB"/>
    <w:multiLevelType w:val="hybridMultilevel"/>
    <w:tmpl w:val="35847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433CB"/>
    <w:multiLevelType w:val="hybridMultilevel"/>
    <w:tmpl w:val="2522EC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616CB"/>
    <w:multiLevelType w:val="hybridMultilevel"/>
    <w:tmpl w:val="1FFA1F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C7A"/>
    <w:rsid w:val="00026D83"/>
    <w:rsid w:val="000430A1"/>
    <w:rsid w:val="00047B74"/>
    <w:rsid w:val="00054979"/>
    <w:rsid w:val="00057C5A"/>
    <w:rsid w:val="000621D7"/>
    <w:rsid w:val="0007303B"/>
    <w:rsid w:val="000946F1"/>
    <w:rsid w:val="000A789D"/>
    <w:rsid w:val="00106692"/>
    <w:rsid w:val="00121E18"/>
    <w:rsid w:val="00122C08"/>
    <w:rsid w:val="0013429A"/>
    <w:rsid w:val="001362F2"/>
    <w:rsid w:val="00136D3E"/>
    <w:rsid w:val="0014240F"/>
    <w:rsid w:val="00143787"/>
    <w:rsid w:val="00151FF2"/>
    <w:rsid w:val="0015214D"/>
    <w:rsid w:val="0018345E"/>
    <w:rsid w:val="00193316"/>
    <w:rsid w:val="001A6BB7"/>
    <w:rsid w:val="001A7A31"/>
    <w:rsid w:val="001C5EEE"/>
    <w:rsid w:val="001C6289"/>
    <w:rsid w:val="001D220B"/>
    <w:rsid w:val="001E2688"/>
    <w:rsid w:val="001E3BFD"/>
    <w:rsid w:val="001F4BDD"/>
    <w:rsid w:val="00203C88"/>
    <w:rsid w:val="00214209"/>
    <w:rsid w:val="0021538F"/>
    <w:rsid w:val="002165C4"/>
    <w:rsid w:val="00226771"/>
    <w:rsid w:val="002277A2"/>
    <w:rsid w:val="00233F00"/>
    <w:rsid w:val="002364F9"/>
    <w:rsid w:val="00244F20"/>
    <w:rsid w:val="00252BCA"/>
    <w:rsid w:val="00264F9A"/>
    <w:rsid w:val="002676C2"/>
    <w:rsid w:val="0027267C"/>
    <w:rsid w:val="002842A9"/>
    <w:rsid w:val="00296DFB"/>
    <w:rsid w:val="002A3A8F"/>
    <w:rsid w:val="002A5286"/>
    <w:rsid w:val="002A599C"/>
    <w:rsid w:val="002A64E8"/>
    <w:rsid w:val="002B5B86"/>
    <w:rsid w:val="002B642D"/>
    <w:rsid w:val="002C1922"/>
    <w:rsid w:val="002C4CA7"/>
    <w:rsid w:val="002E5DFD"/>
    <w:rsid w:val="002E69CE"/>
    <w:rsid w:val="00306AE5"/>
    <w:rsid w:val="00307F74"/>
    <w:rsid w:val="0031074C"/>
    <w:rsid w:val="003179C3"/>
    <w:rsid w:val="00321F90"/>
    <w:rsid w:val="00322615"/>
    <w:rsid w:val="003257D3"/>
    <w:rsid w:val="00326AF3"/>
    <w:rsid w:val="00327D6D"/>
    <w:rsid w:val="00332424"/>
    <w:rsid w:val="00344693"/>
    <w:rsid w:val="00353F33"/>
    <w:rsid w:val="00356F39"/>
    <w:rsid w:val="003718E6"/>
    <w:rsid w:val="00387599"/>
    <w:rsid w:val="00390C24"/>
    <w:rsid w:val="003933AF"/>
    <w:rsid w:val="003A1192"/>
    <w:rsid w:val="003A5652"/>
    <w:rsid w:val="003B152F"/>
    <w:rsid w:val="003C108D"/>
    <w:rsid w:val="003C3DC1"/>
    <w:rsid w:val="003C5A13"/>
    <w:rsid w:val="003D6AEC"/>
    <w:rsid w:val="003F30BC"/>
    <w:rsid w:val="004015C0"/>
    <w:rsid w:val="004025C2"/>
    <w:rsid w:val="00406402"/>
    <w:rsid w:val="004136C6"/>
    <w:rsid w:val="004428FA"/>
    <w:rsid w:val="00443780"/>
    <w:rsid w:val="00444ADB"/>
    <w:rsid w:val="00454B61"/>
    <w:rsid w:val="00463B10"/>
    <w:rsid w:val="00473AF0"/>
    <w:rsid w:val="00482ABB"/>
    <w:rsid w:val="00487371"/>
    <w:rsid w:val="0049525D"/>
    <w:rsid w:val="004A664C"/>
    <w:rsid w:val="004B58C9"/>
    <w:rsid w:val="004D1322"/>
    <w:rsid w:val="004D3E85"/>
    <w:rsid w:val="004D4446"/>
    <w:rsid w:val="004E5735"/>
    <w:rsid w:val="004E6AD2"/>
    <w:rsid w:val="004F0A37"/>
    <w:rsid w:val="004F1D65"/>
    <w:rsid w:val="004F2C07"/>
    <w:rsid w:val="004F4388"/>
    <w:rsid w:val="005022D4"/>
    <w:rsid w:val="00506F90"/>
    <w:rsid w:val="005116AB"/>
    <w:rsid w:val="00512267"/>
    <w:rsid w:val="00527E01"/>
    <w:rsid w:val="005323E9"/>
    <w:rsid w:val="00537732"/>
    <w:rsid w:val="00543963"/>
    <w:rsid w:val="00553DDD"/>
    <w:rsid w:val="00572F55"/>
    <w:rsid w:val="0057489D"/>
    <w:rsid w:val="005858B4"/>
    <w:rsid w:val="00595443"/>
    <w:rsid w:val="00597CA8"/>
    <w:rsid w:val="005A22D9"/>
    <w:rsid w:val="005A3A94"/>
    <w:rsid w:val="005A48C5"/>
    <w:rsid w:val="005B7DD8"/>
    <w:rsid w:val="005C29B4"/>
    <w:rsid w:val="005C7177"/>
    <w:rsid w:val="005E4AEC"/>
    <w:rsid w:val="005E5F10"/>
    <w:rsid w:val="005F352F"/>
    <w:rsid w:val="005F4A78"/>
    <w:rsid w:val="005F5896"/>
    <w:rsid w:val="00603CAE"/>
    <w:rsid w:val="00607F59"/>
    <w:rsid w:val="00624B2A"/>
    <w:rsid w:val="0062737B"/>
    <w:rsid w:val="00636784"/>
    <w:rsid w:val="00652FD2"/>
    <w:rsid w:val="006A35D6"/>
    <w:rsid w:val="006A4C0A"/>
    <w:rsid w:val="006B7CFE"/>
    <w:rsid w:val="006F03EE"/>
    <w:rsid w:val="006F4D9F"/>
    <w:rsid w:val="00703709"/>
    <w:rsid w:val="00707FCC"/>
    <w:rsid w:val="007104B8"/>
    <w:rsid w:val="00727B4A"/>
    <w:rsid w:val="007315E4"/>
    <w:rsid w:val="00731E4E"/>
    <w:rsid w:val="00733A18"/>
    <w:rsid w:val="007367F3"/>
    <w:rsid w:val="00740539"/>
    <w:rsid w:val="00743377"/>
    <w:rsid w:val="0074771E"/>
    <w:rsid w:val="007479FF"/>
    <w:rsid w:val="00750E4C"/>
    <w:rsid w:val="00756CD5"/>
    <w:rsid w:val="00765A49"/>
    <w:rsid w:val="00770741"/>
    <w:rsid w:val="00785B0C"/>
    <w:rsid w:val="00787636"/>
    <w:rsid w:val="007C134B"/>
    <w:rsid w:val="007D171A"/>
    <w:rsid w:val="007D4AA4"/>
    <w:rsid w:val="007F12A0"/>
    <w:rsid w:val="00805329"/>
    <w:rsid w:val="00810E6F"/>
    <w:rsid w:val="0082402D"/>
    <w:rsid w:val="00825009"/>
    <w:rsid w:val="008344EA"/>
    <w:rsid w:val="008419F3"/>
    <w:rsid w:val="0084770A"/>
    <w:rsid w:val="0085036A"/>
    <w:rsid w:val="0085107D"/>
    <w:rsid w:val="00856291"/>
    <w:rsid w:val="00871FAD"/>
    <w:rsid w:val="008732A9"/>
    <w:rsid w:val="00877990"/>
    <w:rsid w:val="00891C7A"/>
    <w:rsid w:val="008A02A6"/>
    <w:rsid w:val="008B0523"/>
    <w:rsid w:val="008B0922"/>
    <w:rsid w:val="008B1376"/>
    <w:rsid w:val="008B14F6"/>
    <w:rsid w:val="008C24C2"/>
    <w:rsid w:val="008D4EBA"/>
    <w:rsid w:val="008E4614"/>
    <w:rsid w:val="00910BAC"/>
    <w:rsid w:val="009173F2"/>
    <w:rsid w:val="00927CA6"/>
    <w:rsid w:val="0093175F"/>
    <w:rsid w:val="00936BA1"/>
    <w:rsid w:val="009415A6"/>
    <w:rsid w:val="009422AA"/>
    <w:rsid w:val="0094565B"/>
    <w:rsid w:val="00952DA7"/>
    <w:rsid w:val="00953EBE"/>
    <w:rsid w:val="00971F4F"/>
    <w:rsid w:val="00972D32"/>
    <w:rsid w:val="00973817"/>
    <w:rsid w:val="0099098E"/>
    <w:rsid w:val="009B6F38"/>
    <w:rsid w:val="009C11FC"/>
    <w:rsid w:val="009C7C9B"/>
    <w:rsid w:val="009F2B91"/>
    <w:rsid w:val="00A23C18"/>
    <w:rsid w:val="00A3024E"/>
    <w:rsid w:val="00A32E43"/>
    <w:rsid w:val="00A41F2C"/>
    <w:rsid w:val="00A50938"/>
    <w:rsid w:val="00A718EE"/>
    <w:rsid w:val="00A72388"/>
    <w:rsid w:val="00A857B2"/>
    <w:rsid w:val="00A85C5E"/>
    <w:rsid w:val="00A95E9C"/>
    <w:rsid w:val="00AB7C7A"/>
    <w:rsid w:val="00AC2A5F"/>
    <w:rsid w:val="00AC46E6"/>
    <w:rsid w:val="00AC69B7"/>
    <w:rsid w:val="00AC726C"/>
    <w:rsid w:val="00AF0B5F"/>
    <w:rsid w:val="00B157C3"/>
    <w:rsid w:val="00B167A4"/>
    <w:rsid w:val="00B21A9D"/>
    <w:rsid w:val="00B26784"/>
    <w:rsid w:val="00B32F08"/>
    <w:rsid w:val="00B366B2"/>
    <w:rsid w:val="00B374A6"/>
    <w:rsid w:val="00B4774C"/>
    <w:rsid w:val="00B50540"/>
    <w:rsid w:val="00B61002"/>
    <w:rsid w:val="00B63295"/>
    <w:rsid w:val="00B65E59"/>
    <w:rsid w:val="00B741A4"/>
    <w:rsid w:val="00B80827"/>
    <w:rsid w:val="00B814F9"/>
    <w:rsid w:val="00BA12A5"/>
    <w:rsid w:val="00BA39A5"/>
    <w:rsid w:val="00BB6B33"/>
    <w:rsid w:val="00BC7024"/>
    <w:rsid w:val="00BD1161"/>
    <w:rsid w:val="00BD3B09"/>
    <w:rsid w:val="00BE115F"/>
    <w:rsid w:val="00BE1D79"/>
    <w:rsid w:val="00BE3740"/>
    <w:rsid w:val="00BE7254"/>
    <w:rsid w:val="00BF2075"/>
    <w:rsid w:val="00BF6764"/>
    <w:rsid w:val="00C15B38"/>
    <w:rsid w:val="00C25D6B"/>
    <w:rsid w:val="00C274C3"/>
    <w:rsid w:val="00C347A1"/>
    <w:rsid w:val="00C452A6"/>
    <w:rsid w:val="00C55F3D"/>
    <w:rsid w:val="00C61909"/>
    <w:rsid w:val="00C85723"/>
    <w:rsid w:val="00C85958"/>
    <w:rsid w:val="00C91C0E"/>
    <w:rsid w:val="00C93A7C"/>
    <w:rsid w:val="00CA6977"/>
    <w:rsid w:val="00CB64A0"/>
    <w:rsid w:val="00CC0832"/>
    <w:rsid w:val="00CC24A8"/>
    <w:rsid w:val="00CC67A2"/>
    <w:rsid w:val="00CD2B4D"/>
    <w:rsid w:val="00CE7910"/>
    <w:rsid w:val="00D1415E"/>
    <w:rsid w:val="00D14F94"/>
    <w:rsid w:val="00D311F4"/>
    <w:rsid w:val="00D371BC"/>
    <w:rsid w:val="00D42406"/>
    <w:rsid w:val="00D44367"/>
    <w:rsid w:val="00D447A9"/>
    <w:rsid w:val="00D45104"/>
    <w:rsid w:val="00D47845"/>
    <w:rsid w:val="00D57D12"/>
    <w:rsid w:val="00D658AC"/>
    <w:rsid w:val="00D6623D"/>
    <w:rsid w:val="00DB7CDE"/>
    <w:rsid w:val="00DD7197"/>
    <w:rsid w:val="00DD7C98"/>
    <w:rsid w:val="00DE5ABE"/>
    <w:rsid w:val="00DE77E9"/>
    <w:rsid w:val="00DF19C3"/>
    <w:rsid w:val="00E01E62"/>
    <w:rsid w:val="00E037DA"/>
    <w:rsid w:val="00E0497E"/>
    <w:rsid w:val="00E04E26"/>
    <w:rsid w:val="00E133D5"/>
    <w:rsid w:val="00E1417D"/>
    <w:rsid w:val="00E15FA2"/>
    <w:rsid w:val="00E173BD"/>
    <w:rsid w:val="00E17DA6"/>
    <w:rsid w:val="00E20D28"/>
    <w:rsid w:val="00E43078"/>
    <w:rsid w:val="00E5270C"/>
    <w:rsid w:val="00E57EBB"/>
    <w:rsid w:val="00E85C73"/>
    <w:rsid w:val="00EA0FA8"/>
    <w:rsid w:val="00EA4DB5"/>
    <w:rsid w:val="00EA54FA"/>
    <w:rsid w:val="00EA742A"/>
    <w:rsid w:val="00EA7452"/>
    <w:rsid w:val="00EB7B39"/>
    <w:rsid w:val="00ED68DB"/>
    <w:rsid w:val="00EE40F6"/>
    <w:rsid w:val="00EE724B"/>
    <w:rsid w:val="00EF1C5A"/>
    <w:rsid w:val="00F10D5B"/>
    <w:rsid w:val="00F258FF"/>
    <w:rsid w:val="00F276E6"/>
    <w:rsid w:val="00F30D20"/>
    <w:rsid w:val="00F31A69"/>
    <w:rsid w:val="00F5351B"/>
    <w:rsid w:val="00F60012"/>
    <w:rsid w:val="00F61C75"/>
    <w:rsid w:val="00F653BC"/>
    <w:rsid w:val="00F72FFA"/>
    <w:rsid w:val="00F753DF"/>
    <w:rsid w:val="00F82C32"/>
    <w:rsid w:val="00F86962"/>
    <w:rsid w:val="00F87ABD"/>
    <w:rsid w:val="00F91957"/>
    <w:rsid w:val="00F945A7"/>
    <w:rsid w:val="00FC54B6"/>
    <w:rsid w:val="00FE0BEA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13B1"/>
  <w15:chartTrackingRefBased/>
  <w15:docId w15:val="{51BD950A-D0F3-4330-AF7D-22F1E3F6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74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724B"/>
    <w:rPr>
      <w:rFonts w:ascii="Segoe UI" w:hAnsi="Segoe UI" w:cs="Segoe UI"/>
      <w:sz w:val="18"/>
      <w:szCs w:val="18"/>
    </w:rPr>
  </w:style>
  <w:style w:type="paragraph" w:styleId="Normlnywebov">
    <w:name w:val="Normal (Web)"/>
    <w:aliases w:val="webb"/>
    <w:basedOn w:val="Normlny"/>
    <w:uiPriority w:val="99"/>
    <w:rsid w:val="004F2C07"/>
    <w:pPr>
      <w:spacing w:before="100" w:beforeAutospacing="1" w:after="100" w:afterAutospacing="1" w:line="240" w:lineRule="auto"/>
    </w:pPr>
    <w:rPr>
      <w:rFonts w:eastAsia="Calibri"/>
      <w:lang w:eastAsia="sk-SK"/>
    </w:rPr>
  </w:style>
  <w:style w:type="paragraph" w:styleId="Bezriadkovania">
    <w:name w:val="No Spacing"/>
    <w:uiPriority w:val="99"/>
    <w:qFormat/>
    <w:rsid w:val="004F2C07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BD116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BD1161"/>
    <w:rPr>
      <w:rFonts w:eastAsia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E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740"/>
  </w:style>
  <w:style w:type="paragraph" w:styleId="Zkladntext2">
    <w:name w:val="Body Text 2"/>
    <w:basedOn w:val="Normlny"/>
    <w:link w:val="Zkladntext2Char"/>
    <w:uiPriority w:val="99"/>
    <w:rsid w:val="00D311F4"/>
    <w:pPr>
      <w:autoSpaceDE w:val="0"/>
      <w:autoSpaceDN w:val="0"/>
      <w:spacing w:after="0" w:line="240" w:lineRule="auto"/>
      <w:jc w:val="center"/>
    </w:pPr>
    <w:rPr>
      <w:rFonts w:eastAsiaTheme="minorEastAsia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311F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D5FE-1CAC-4F46-BAA0-D3B21D85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803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2018-10-16T12:02:00Z</cp:lastPrinted>
  <dcterms:created xsi:type="dcterms:W3CDTF">2025-02-10T09:22:00Z</dcterms:created>
  <dcterms:modified xsi:type="dcterms:W3CDTF">2025-02-12T12:51:00Z</dcterms:modified>
</cp:coreProperties>
</file>