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78B7" w14:textId="77777777" w:rsidR="00643453" w:rsidRPr="00CC0079" w:rsidRDefault="00643453" w:rsidP="00643453">
      <w:pPr>
        <w:pStyle w:val="Bezriadkovania"/>
        <w:spacing w:line="276" w:lineRule="auto"/>
        <w:jc w:val="center"/>
        <w:rPr>
          <w:rFonts w:ascii="Times New Roman" w:hAnsi="Times New Roman"/>
          <w:b/>
          <w:caps/>
          <w:sz w:val="24"/>
          <w:szCs w:val="24"/>
        </w:rPr>
      </w:pPr>
      <w:r w:rsidRPr="00CC0079">
        <w:rPr>
          <w:rFonts w:ascii="Times New Roman" w:hAnsi="Times New Roman"/>
          <w:b/>
          <w:caps/>
          <w:sz w:val="24"/>
          <w:szCs w:val="24"/>
        </w:rPr>
        <w:t>Vyhlásenie</w:t>
      </w:r>
    </w:p>
    <w:p w14:paraId="45D7B915" w14:textId="4687AECF" w:rsidR="00643453" w:rsidRPr="00CC0079" w:rsidRDefault="00643453" w:rsidP="00643453">
      <w:pPr>
        <w:pStyle w:val="Bezriadkovania"/>
        <w:spacing w:line="276" w:lineRule="auto"/>
        <w:jc w:val="center"/>
        <w:rPr>
          <w:rFonts w:ascii="Times New Roman" w:hAnsi="Times New Roman"/>
          <w:b/>
          <w:sz w:val="24"/>
          <w:szCs w:val="24"/>
        </w:rPr>
      </w:pPr>
      <w:r w:rsidRPr="00CC0079">
        <w:rPr>
          <w:rFonts w:ascii="Times New Roman" w:hAnsi="Times New Roman"/>
          <w:b/>
          <w:sz w:val="24"/>
          <w:szCs w:val="24"/>
        </w:rPr>
        <w:t>podľa čl. 2</w:t>
      </w:r>
      <w:r w:rsidR="006612D9">
        <w:rPr>
          <w:rFonts w:ascii="Times New Roman" w:hAnsi="Times New Roman"/>
          <w:b/>
          <w:sz w:val="24"/>
          <w:szCs w:val="24"/>
        </w:rPr>
        <w:t>4</w:t>
      </w:r>
      <w:r w:rsidRPr="00CC0079">
        <w:rPr>
          <w:rFonts w:ascii="Times New Roman" w:hAnsi="Times New Roman"/>
          <w:b/>
          <w:sz w:val="24"/>
          <w:szCs w:val="24"/>
        </w:rPr>
        <w:t xml:space="preserve"> ods. 3 písm. a)</w:t>
      </w:r>
      <w:r w:rsidR="005649F2">
        <w:rPr>
          <w:rFonts w:ascii="Times New Roman" w:hAnsi="Times New Roman"/>
          <w:b/>
          <w:sz w:val="24"/>
          <w:szCs w:val="24"/>
        </w:rPr>
        <w:t xml:space="preserve"> prvého bodu</w:t>
      </w:r>
      <w:r w:rsidRPr="00CC0079">
        <w:rPr>
          <w:rFonts w:ascii="Times New Roman" w:hAnsi="Times New Roman"/>
          <w:b/>
          <w:sz w:val="24"/>
          <w:szCs w:val="24"/>
        </w:rPr>
        <w:t xml:space="preserve"> Legislatívnych pravidiel vlády </w:t>
      </w:r>
      <w:r>
        <w:rPr>
          <w:rFonts w:ascii="Times New Roman" w:hAnsi="Times New Roman"/>
          <w:b/>
          <w:sz w:val="24"/>
          <w:szCs w:val="24"/>
        </w:rPr>
        <w:t>SR</w:t>
      </w:r>
    </w:p>
    <w:p w14:paraId="71612DE1" w14:textId="77777777" w:rsidR="00643453" w:rsidRPr="00643453" w:rsidRDefault="00643453" w:rsidP="00643453">
      <w:pPr>
        <w:jc w:val="both"/>
        <w:rPr>
          <w:rFonts w:ascii="Times New Roman" w:hAnsi="Times New Roman" w:cs="Times New Roman"/>
          <w:sz w:val="24"/>
          <w:szCs w:val="24"/>
        </w:rPr>
      </w:pPr>
    </w:p>
    <w:p w14:paraId="382A09C0" w14:textId="25627285" w:rsidR="00643453" w:rsidRDefault="00643453" w:rsidP="00D86950">
      <w:pPr>
        <w:spacing w:after="120"/>
        <w:ind w:firstLine="708"/>
        <w:jc w:val="both"/>
        <w:rPr>
          <w:rFonts w:ascii="Times New Roman" w:hAnsi="Times New Roman" w:cs="Times New Roman"/>
          <w:sz w:val="24"/>
          <w:szCs w:val="24"/>
        </w:rPr>
      </w:pPr>
      <w:r w:rsidRPr="00643453">
        <w:rPr>
          <w:rFonts w:ascii="Times New Roman" w:hAnsi="Times New Roman" w:cs="Times New Roman"/>
          <w:bCs/>
          <w:sz w:val="24"/>
          <w:szCs w:val="24"/>
        </w:rPr>
        <w:t>Návrh zákona</w:t>
      </w:r>
      <w:r w:rsidR="005649F2">
        <w:rPr>
          <w:rFonts w:ascii="Times New Roman" w:hAnsi="Times New Roman" w:cs="Times New Roman"/>
          <w:bCs/>
          <w:sz w:val="24"/>
          <w:szCs w:val="24"/>
        </w:rPr>
        <w:t xml:space="preserve"> o niektorých opatreniach na zvýšenie odolnosti Slovenskej republiky v oblasti obrany a bezpečnosti a o brannej povinnosti a o zmene a doplnení niektorých zákonov</w:t>
      </w:r>
      <w:r w:rsidRPr="00643453">
        <w:rPr>
          <w:rFonts w:ascii="Times New Roman" w:hAnsi="Times New Roman" w:cs="Times New Roman"/>
          <w:sz w:val="24"/>
          <w:szCs w:val="24"/>
        </w:rPr>
        <w:t xml:space="preserve"> (ďalej len „návrh zákona“) sa predkladá </w:t>
      </w:r>
      <w:r w:rsidR="005649F2">
        <w:rPr>
          <w:rFonts w:ascii="Times New Roman" w:hAnsi="Times New Roman" w:cs="Times New Roman"/>
          <w:sz w:val="24"/>
          <w:szCs w:val="24"/>
        </w:rPr>
        <w:t>s rozpormi s</w:t>
      </w:r>
      <w:r w:rsidR="00653A95">
        <w:rPr>
          <w:rFonts w:ascii="Times New Roman" w:hAnsi="Times New Roman" w:cs="Times New Roman"/>
          <w:sz w:val="24"/>
          <w:szCs w:val="24"/>
        </w:rPr>
        <w:t>:</w:t>
      </w:r>
    </w:p>
    <w:p w14:paraId="426C0A94" w14:textId="32815DDE" w:rsidR="005649F2" w:rsidRDefault="005649F2" w:rsidP="00D86950">
      <w:pPr>
        <w:spacing w:after="120"/>
        <w:jc w:val="both"/>
        <w:rPr>
          <w:rFonts w:ascii="Times New Roman" w:hAnsi="Times New Roman" w:cs="Times New Roman"/>
          <w:sz w:val="24"/>
          <w:szCs w:val="24"/>
        </w:rPr>
      </w:pPr>
      <w:r>
        <w:rPr>
          <w:rFonts w:ascii="Times New Roman" w:hAnsi="Times New Roman" w:cs="Times New Roman"/>
          <w:b/>
          <w:bCs/>
          <w:sz w:val="24"/>
          <w:szCs w:val="24"/>
        </w:rPr>
        <w:t>Ministerstvom financií SR</w:t>
      </w:r>
      <w:r>
        <w:rPr>
          <w:rFonts w:ascii="Times New Roman" w:hAnsi="Times New Roman" w:cs="Times New Roman"/>
          <w:sz w:val="24"/>
          <w:szCs w:val="24"/>
        </w:rPr>
        <w:t xml:space="preserve">, ktoré žiada prepracovať doložku vplyvov a vypracovať Analýzu vplyvov na rozpočet verejnej správy, na zamestnanosť vo verejnej správe a financovanie návrhu tak, aby v nich boli označené a kvantifikované pozitívne aj negatívne vplyvy na rozpočet dotknutého subjektu verejnej správy na jednotlivé rozpočtové roky v súlade s Jednotnou metodikou na posudzovanie vybraných vplyvov a žiada uviesť aj kvantifikáciu súčasného stavu a porovnať ju s kvantifikáciou vyplývajúcou z predloženého návrhu. </w:t>
      </w:r>
    </w:p>
    <w:p w14:paraId="27FAE65E" w14:textId="044D9996" w:rsidR="005649F2" w:rsidRDefault="005649F2" w:rsidP="00D86950">
      <w:pPr>
        <w:spacing w:after="120"/>
        <w:jc w:val="both"/>
        <w:rPr>
          <w:rFonts w:ascii="Times New Roman" w:hAnsi="Times New Roman" w:cs="Times New Roman"/>
          <w:sz w:val="24"/>
          <w:szCs w:val="24"/>
        </w:rPr>
      </w:pPr>
      <w:r>
        <w:rPr>
          <w:rFonts w:ascii="Times New Roman" w:hAnsi="Times New Roman" w:cs="Times New Roman"/>
          <w:sz w:val="24"/>
          <w:szCs w:val="24"/>
        </w:rPr>
        <w:t>Ministerstvo obrany SR túto pripomienku neakcept</w:t>
      </w:r>
      <w:r w:rsidR="00653A95">
        <w:rPr>
          <w:rFonts w:ascii="Times New Roman" w:hAnsi="Times New Roman" w:cs="Times New Roman"/>
          <w:sz w:val="24"/>
          <w:szCs w:val="24"/>
        </w:rPr>
        <w:t>uje</w:t>
      </w:r>
      <w:r w:rsidR="00930516">
        <w:rPr>
          <w:rFonts w:ascii="Times New Roman" w:hAnsi="Times New Roman" w:cs="Times New Roman"/>
          <w:sz w:val="24"/>
          <w:szCs w:val="24"/>
        </w:rPr>
        <w:t>, rozpor trvá</w:t>
      </w:r>
      <w:r>
        <w:rPr>
          <w:rFonts w:ascii="Times New Roman" w:hAnsi="Times New Roman" w:cs="Times New Roman"/>
          <w:sz w:val="24"/>
          <w:szCs w:val="24"/>
        </w:rPr>
        <w:t>.</w:t>
      </w:r>
    </w:p>
    <w:p w14:paraId="57CADBBF" w14:textId="53D81421" w:rsidR="005649F2" w:rsidRDefault="005649F2" w:rsidP="00D86950">
      <w:pPr>
        <w:spacing w:after="120"/>
        <w:jc w:val="both"/>
        <w:rPr>
          <w:rFonts w:ascii="Times New Roman" w:hAnsi="Times New Roman" w:cs="Times New Roman"/>
          <w:sz w:val="24"/>
          <w:szCs w:val="24"/>
        </w:rPr>
      </w:pPr>
      <w:r>
        <w:rPr>
          <w:rFonts w:ascii="Times New Roman" w:hAnsi="Times New Roman" w:cs="Times New Roman"/>
          <w:b/>
          <w:bCs/>
          <w:sz w:val="24"/>
          <w:szCs w:val="24"/>
        </w:rPr>
        <w:t>Generálnou prokuratúrou SR</w:t>
      </w:r>
      <w:r w:rsidR="00653A95">
        <w:rPr>
          <w:rFonts w:ascii="Times New Roman" w:hAnsi="Times New Roman" w:cs="Times New Roman"/>
          <w:sz w:val="24"/>
          <w:szCs w:val="24"/>
        </w:rPr>
        <w:t xml:space="preserve"> </w:t>
      </w:r>
      <w:r w:rsidR="00653A95">
        <w:rPr>
          <w:rFonts w:ascii="Times New Roman" w:hAnsi="Times New Roman" w:cs="Times New Roman"/>
          <w:b/>
          <w:bCs/>
          <w:sz w:val="24"/>
          <w:szCs w:val="24"/>
        </w:rPr>
        <w:t>a Úniou miest Slovenska</w:t>
      </w:r>
      <w:r w:rsidR="00653A95">
        <w:rPr>
          <w:rFonts w:ascii="Times New Roman" w:hAnsi="Times New Roman" w:cs="Times New Roman"/>
          <w:sz w:val="24"/>
          <w:szCs w:val="24"/>
        </w:rPr>
        <w:t>, ktoré žiadajú z Čl. I návrhu zákona vypustiť tretiu časť „Žandársky zbor“.</w:t>
      </w:r>
    </w:p>
    <w:p w14:paraId="23891141" w14:textId="4C073476" w:rsidR="00653A95" w:rsidRDefault="00653A95" w:rsidP="00D86950">
      <w:pPr>
        <w:spacing w:after="120"/>
        <w:jc w:val="both"/>
        <w:rPr>
          <w:rFonts w:ascii="Times New Roman" w:hAnsi="Times New Roman" w:cs="Times New Roman"/>
          <w:sz w:val="24"/>
          <w:szCs w:val="24"/>
        </w:rPr>
      </w:pPr>
      <w:r>
        <w:rPr>
          <w:rFonts w:ascii="Times New Roman" w:hAnsi="Times New Roman" w:cs="Times New Roman"/>
          <w:sz w:val="24"/>
          <w:szCs w:val="24"/>
        </w:rPr>
        <w:t>Ministerstvo obrany SR túto zásadnú pripomienku neakceptuje, nakoľko smeruje proti samotnej podstate časti predkladaného návrhu zákona ako takého.</w:t>
      </w:r>
    </w:p>
    <w:p w14:paraId="6971F7AD" w14:textId="77D604CF" w:rsidR="00822909" w:rsidRDefault="00822909" w:rsidP="00D86950">
      <w:pPr>
        <w:spacing w:after="120"/>
        <w:jc w:val="both"/>
        <w:rPr>
          <w:rFonts w:ascii="Times New Roman" w:hAnsi="Times New Roman" w:cs="Times New Roman"/>
          <w:sz w:val="24"/>
          <w:szCs w:val="24"/>
        </w:rPr>
      </w:pPr>
      <w:r>
        <w:rPr>
          <w:rFonts w:ascii="Times New Roman" w:hAnsi="Times New Roman" w:cs="Times New Roman"/>
          <w:b/>
          <w:bCs/>
          <w:sz w:val="24"/>
          <w:szCs w:val="24"/>
        </w:rPr>
        <w:t>Kanceláriou verejného ochrancu práv</w:t>
      </w:r>
      <w:r>
        <w:rPr>
          <w:rFonts w:ascii="Times New Roman" w:hAnsi="Times New Roman" w:cs="Times New Roman"/>
          <w:sz w:val="24"/>
          <w:szCs w:val="24"/>
        </w:rPr>
        <w:t>, ktorá žiada v § 35 ods. 3 zmeniť druhú časť vety ustanovenia, ktorá znie „použitý donucovací prostriedok a intenzita jeho použitia neboli zjavne neprimerané nebezpečnosti útoku“, pretože spojenie „zjavne neprimerané“ dáva príslušníkom žandárskeho zboru oveľa širší priestor pre použitie sily a v § 35 ods. 10 rozšíriť okruh osôb, na ktoré sa vzťahujú osobitné obmedzenia aj o deti vo veku od 15 do 18 rokov.</w:t>
      </w:r>
    </w:p>
    <w:p w14:paraId="1654DD7E" w14:textId="101BED0C" w:rsidR="006409DB" w:rsidRDefault="00822909" w:rsidP="00D86950">
      <w:pPr>
        <w:spacing w:after="120"/>
        <w:jc w:val="both"/>
        <w:rPr>
          <w:rFonts w:ascii="Times New Roman" w:hAnsi="Times New Roman" w:cs="Times New Roman"/>
          <w:sz w:val="24"/>
          <w:szCs w:val="24"/>
        </w:rPr>
      </w:pPr>
      <w:r>
        <w:rPr>
          <w:rFonts w:ascii="Times New Roman" w:hAnsi="Times New Roman" w:cs="Times New Roman"/>
          <w:sz w:val="24"/>
          <w:szCs w:val="24"/>
        </w:rPr>
        <w:t xml:space="preserve">Ministerstvo </w:t>
      </w:r>
      <w:r w:rsidR="006409DB">
        <w:rPr>
          <w:rFonts w:ascii="Times New Roman" w:hAnsi="Times New Roman" w:cs="Times New Roman"/>
          <w:sz w:val="24"/>
          <w:szCs w:val="24"/>
        </w:rPr>
        <w:t xml:space="preserve">obrany SR </w:t>
      </w:r>
      <w:r w:rsidR="006409DB" w:rsidRPr="006409DB">
        <w:rPr>
          <w:rFonts w:ascii="Times New Roman" w:hAnsi="Times New Roman" w:cs="Times New Roman"/>
          <w:sz w:val="24"/>
          <w:szCs w:val="24"/>
        </w:rPr>
        <w:t>§ 35 ods. 3 upravilo tak, aby o tom, ktorý z donucovacích prostriedkov použije, rozhodoval žandár podľa konkrétnej situácie tak, aby dosiahol účel sledovaný služobným zákrokom. Na tom, že intenzita donucovacieho prostriedku nemá  byť zjavne neprimeraná Ministerstvo obrany SR trvá, pretože žandár v čase vykonávania zákroku môže vyhodnotiť iba zjavnú primeranosť použitia donucovacích prostriedkov a až následnou kontrolou použitia donucovacích prostriedkov je možné detailne skúmať primeranosť ich použitia.</w:t>
      </w:r>
    </w:p>
    <w:p w14:paraId="2D117CD7" w14:textId="74C4E9B2" w:rsidR="006409DB" w:rsidRPr="006409DB" w:rsidRDefault="006409DB" w:rsidP="00D86950">
      <w:pPr>
        <w:spacing w:after="120"/>
        <w:jc w:val="both"/>
        <w:rPr>
          <w:rFonts w:ascii="Times New Roman" w:hAnsi="Times New Roman" w:cs="Times New Roman"/>
          <w:sz w:val="24"/>
          <w:szCs w:val="24"/>
        </w:rPr>
      </w:pPr>
      <w:r w:rsidRPr="006409DB">
        <w:rPr>
          <w:rFonts w:ascii="Times New Roman" w:hAnsi="Times New Roman" w:cs="Times New Roman"/>
          <w:sz w:val="24"/>
          <w:szCs w:val="24"/>
        </w:rPr>
        <w:t>S návrhom na úpravu § 35 ods. 10, aby sa rozšíril okruh osôb, na ktoré sa vzťahujú osobitné obmedzenia aj o deti vo veku od 15 do 18 rokov Ministerstvo obrany SR neakceptuje. Ustanovenie je totožné s  § 65 zákona Národnej rady Slovenskej republiky č.  171/1993 Z. z. o Policajnom zbore v znení neskorších predpisov a § 35 zákona č. 124/1992 Zb. o Vojenskej polícii v znení neskorších predpisov. Zmenou vekovej hranice by dochádzalo k problémom v aplikačnej praxi, napríklad pri spoločnom zákroku žandára a príslušníka Policajného zboru by nemali rovnaké oprávnenia.</w:t>
      </w:r>
    </w:p>
    <w:p w14:paraId="1A619803" w14:textId="77777777" w:rsidR="006409DB" w:rsidRPr="00822909" w:rsidRDefault="006409DB" w:rsidP="00D86950">
      <w:pPr>
        <w:spacing w:after="120"/>
        <w:jc w:val="both"/>
        <w:rPr>
          <w:rFonts w:ascii="Times New Roman" w:hAnsi="Times New Roman" w:cs="Times New Roman"/>
          <w:sz w:val="24"/>
          <w:szCs w:val="24"/>
        </w:rPr>
      </w:pPr>
    </w:p>
    <w:p w14:paraId="066FE520" w14:textId="7055D490" w:rsidR="00653A95" w:rsidRDefault="00653A95" w:rsidP="00D86950">
      <w:pPr>
        <w:spacing w:after="120"/>
        <w:jc w:val="both"/>
        <w:rPr>
          <w:rFonts w:ascii="Times New Roman" w:hAnsi="Times New Roman" w:cs="Times New Roman"/>
          <w:sz w:val="24"/>
          <w:szCs w:val="24"/>
        </w:rPr>
      </w:pPr>
      <w:r>
        <w:rPr>
          <w:rFonts w:ascii="Times New Roman" w:hAnsi="Times New Roman" w:cs="Times New Roman"/>
          <w:b/>
          <w:bCs/>
          <w:sz w:val="24"/>
          <w:szCs w:val="24"/>
        </w:rPr>
        <w:t>Konferenciou biskupov Slovenska</w:t>
      </w:r>
      <w:r>
        <w:rPr>
          <w:rFonts w:ascii="Times New Roman" w:hAnsi="Times New Roman" w:cs="Times New Roman"/>
          <w:sz w:val="24"/>
          <w:szCs w:val="24"/>
        </w:rPr>
        <w:t xml:space="preserve">, ktorá navrhuje diskriminačné dôvody v návrhu zákona definovať vychádzajú z článku 12 ods. 2 Ústavy SR a vypustiť z čl. I § 45 ods. 6, § 47 ods. 13 a § 49 ods. 11 </w:t>
      </w:r>
      <w:r w:rsidR="00822909">
        <w:rPr>
          <w:rFonts w:ascii="Times New Roman" w:hAnsi="Times New Roman" w:cs="Times New Roman"/>
          <w:sz w:val="24"/>
          <w:szCs w:val="24"/>
        </w:rPr>
        <w:t>týkajúce sa občana, ktorý podstúpil zmenu pohlavia.</w:t>
      </w:r>
    </w:p>
    <w:p w14:paraId="6C2A94C9" w14:textId="65ACCDFE" w:rsidR="00822909" w:rsidRDefault="00822909" w:rsidP="00D86950">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Ministerstvo obrany SR </w:t>
      </w:r>
      <w:r w:rsidR="00D86950">
        <w:rPr>
          <w:rFonts w:ascii="Times New Roman" w:hAnsi="Times New Roman" w:cs="Times New Roman"/>
          <w:sz w:val="24"/>
          <w:szCs w:val="24"/>
        </w:rPr>
        <w:t xml:space="preserve">predmetné zásadné </w:t>
      </w:r>
      <w:r>
        <w:rPr>
          <w:rFonts w:ascii="Times New Roman" w:hAnsi="Times New Roman" w:cs="Times New Roman"/>
          <w:sz w:val="24"/>
          <w:szCs w:val="24"/>
        </w:rPr>
        <w:t>pripomienk</w:t>
      </w:r>
      <w:r w:rsidR="00D86950">
        <w:rPr>
          <w:rFonts w:ascii="Times New Roman" w:hAnsi="Times New Roman" w:cs="Times New Roman"/>
          <w:sz w:val="24"/>
          <w:szCs w:val="24"/>
        </w:rPr>
        <w:t>y</w:t>
      </w:r>
      <w:r>
        <w:rPr>
          <w:rFonts w:ascii="Times New Roman" w:hAnsi="Times New Roman" w:cs="Times New Roman"/>
          <w:sz w:val="24"/>
          <w:szCs w:val="24"/>
        </w:rPr>
        <w:t xml:space="preserve"> neakceptuje </w:t>
      </w:r>
      <w:r w:rsidR="00D86950">
        <w:rPr>
          <w:rFonts w:ascii="Times New Roman" w:hAnsi="Times New Roman" w:cs="Times New Roman"/>
          <w:sz w:val="24"/>
          <w:szCs w:val="24"/>
        </w:rPr>
        <w:t>z nasledovných dôvodov.</w:t>
      </w:r>
    </w:p>
    <w:p w14:paraId="7AE25C63" w14:textId="3F3F47DA" w:rsidR="00D86950" w:rsidRDefault="00D86950" w:rsidP="00D86950">
      <w:pPr>
        <w:spacing w:after="120"/>
        <w:jc w:val="both"/>
        <w:rPr>
          <w:rFonts w:ascii="Times New Roman" w:hAnsi="Times New Roman" w:cs="Times New Roman"/>
          <w:sz w:val="24"/>
          <w:szCs w:val="24"/>
        </w:rPr>
      </w:pPr>
      <w:r w:rsidRPr="00D86950">
        <w:rPr>
          <w:rFonts w:ascii="Times New Roman" w:hAnsi="Times New Roman" w:cs="Times New Roman"/>
          <w:sz w:val="24"/>
          <w:szCs w:val="24"/>
        </w:rPr>
        <w:t>Ustanovenie § 3 ods. 1 návrhu zákona zohľadňuje výpočet diskriminačných dôvodov, ktorý bol do § 2 ods. 1 zákona č. 365/2004 Z. z. o rovnakom zaobchádzaní v niektorých oblastiach a</w:t>
      </w:r>
      <w:r>
        <w:rPr>
          <w:rFonts w:ascii="Times New Roman" w:hAnsi="Times New Roman" w:cs="Times New Roman"/>
          <w:sz w:val="24"/>
          <w:szCs w:val="24"/>
        </w:rPr>
        <w:t> </w:t>
      </w:r>
      <w:r w:rsidRPr="00D86950">
        <w:rPr>
          <w:rFonts w:ascii="Times New Roman" w:hAnsi="Times New Roman" w:cs="Times New Roman"/>
          <w:sz w:val="24"/>
          <w:szCs w:val="24"/>
        </w:rPr>
        <w:t>o</w:t>
      </w:r>
      <w:r>
        <w:rPr>
          <w:rFonts w:ascii="Times New Roman" w:hAnsi="Times New Roman" w:cs="Times New Roman"/>
          <w:sz w:val="24"/>
          <w:szCs w:val="24"/>
        </w:rPr>
        <w:t> </w:t>
      </w:r>
      <w:r w:rsidRPr="00D86950">
        <w:rPr>
          <w:rFonts w:ascii="Times New Roman" w:hAnsi="Times New Roman" w:cs="Times New Roman"/>
          <w:sz w:val="24"/>
          <w:szCs w:val="24"/>
        </w:rPr>
        <w:t>ochrane pred diskrimináciou a o zmene a doplnení niektorých zákonov (antidiskriminačný zákon) zakomponovaný novelizáciou zákonom č. 85/2008 Z. z. a následne ďalej rozširovaný ďalšími novelami zohľadňujúcimi aktuálny vývoj v oblasti úpravy základných ľudských práv a slobôd.</w:t>
      </w:r>
      <w:r>
        <w:rPr>
          <w:rFonts w:ascii="Times New Roman" w:hAnsi="Times New Roman" w:cs="Times New Roman"/>
          <w:sz w:val="24"/>
          <w:szCs w:val="24"/>
        </w:rPr>
        <w:t xml:space="preserve"> </w:t>
      </w:r>
      <w:r w:rsidRPr="00D86950">
        <w:rPr>
          <w:rFonts w:ascii="Times New Roman" w:hAnsi="Times New Roman" w:cs="Times New Roman"/>
          <w:sz w:val="24"/>
          <w:szCs w:val="24"/>
        </w:rPr>
        <w:t>V danej súvislosti tiež odkazujeme na nález Ústavného súdu Slovenskej republiky sp.</w:t>
      </w:r>
      <w:r>
        <w:rPr>
          <w:rFonts w:ascii="Times New Roman" w:hAnsi="Times New Roman" w:cs="Times New Roman"/>
          <w:sz w:val="24"/>
          <w:szCs w:val="24"/>
        </w:rPr>
        <w:t> </w:t>
      </w:r>
      <w:r w:rsidRPr="00D86950">
        <w:rPr>
          <w:rFonts w:ascii="Times New Roman" w:hAnsi="Times New Roman" w:cs="Times New Roman"/>
          <w:sz w:val="24"/>
          <w:szCs w:val="24"/>
        </w:rPr>
        <w:t>zn. PL. ÚS 8/2014 zo dňa 27. mája 2015, v ktorom sa uvádza, že v prípade výpočtu diskriminačných dôvodov uvedených v čl. 12 ods. 2 Ústavy Slovenskej republiky „ide v podstate o jasné, presne vymedziteľné dôvody, avšak zároveň treba dodať, že taxatívny výpočet prvej vety čl. 12 ods. 2 ústavy sa premieňa na demonštratívny výpočet de facto, a to z dôvodu abstraktnosti zákazu diskriminácie pre „iné zmýšľanie“ a pre „iné postavenie“.“</w:t>
      </w:r>
      <w:r>
        <w:rPr>
          <w:rFonts w:ascii="Times New Roman" w:hAnsi="Times New Roman" w:cs="Times New Roman"/>
          <w:sz w:val="24"/>
          <w:szCs w:val="24"/>
        </w:rPr>
        <w:t xml:space="preserve"> </w:t>
      </w:r>
      <w:r w:rsidRPr="00D86950">
        <w:rPr>
          <w:rFonts w:ascii="Times New Roman" w:hAnsi="Times New Roman" w:cs="Times New Roman"/>
          <w:sz w:val="24"/>
          <w:szCs w:val="24"/>
        </w:rPr>
        <w:t>Vzhľadom na uvedené zastávame názor, že tak § 3 ods. 1 návrhu zákona, ako aj § 2 ods. 1 antidiskriminačného zákona nie sú v rozpore s Ústavou Slovenskej republiky, pretože diskriminačné dôvody „iné postavenie“ a „iné zmýšľanie“ rozširujú výpočet diskriminačných dôvodov aj o iné, v Ústave Slovenskej republiky a ani v antidiskriminačnom zákone neuvedené dôvody, pre ktoré by sa mohlo s jednotlivcom zaobchádzať odlišne.</w:t>
      </w:r>
    </w:p>
    <w:p w14:paraId="79D72388" w14:textId="3EDE8D5F" w:rsidR="00D86950" w:rsidRPr="00D86950" w:rsidRDefault="00D86950" w:rsidP="00D86950">
      <w:pPr>
        <w:spacing w:after="120"/>
        <w:jc w:val="both"/>
        <w:rPr>
          <w:rFonts w:ascii="Times New Roman" w:hAnsi="Times New Roman" w:cs="Times New Roman"/>
          <w:sz w:val="24"/>
          <w:szCs w:val="24"/>
        </w:rPr>
      </w:pPr>
      <w:r w:rsidRPr="005439B2">
        <w:rPr>
          <w:rFonts w:ascii="Times New Roman" w:eastAsia="Times New Roman" w:hAnsi="Times New Roman" w:cs="Times New Roman"/>
          <w:bCs/>
          <w:color w:val="000000"/>
          <w:sz w:val="24"/>
        </w:rPr>
        <w:t>Ustanovenie § 45 ods. 6 návrhu zákona sa v plnom rozsahu preberá z platného znenia zákona č. 570/2005 Z. z. o brannej povinnosti a o zmene a doplnení niektorých zákonov v znení neskorších predpisov, pričom predmetné ustanovenie je plne v súlade s platným právnym poriadkom Slovenskej republiky, právom Európskej únie a medzinárodnými zmluvami, ktorými je Slovenská republika viazaná.</w:t>
      </w:r>
    </w:p>
    <w:p w14:paraId="27D29058" w14:textId="043A92A1" w:rsidR="00D86950" w:rsidRPr="00D86950" w:rsidRDefault="00D86950" w:rsidP="00D86950">
      <w:pPr>
        <w:spacing w:after="120"/>
        <w:jc w:val="both"/>
        <w:rPr>
          <w:rFonts w:ascii="Times New Roman" w:eastAsia="Times New Roman" w:hAnsi="Times New Roman" w:cs="Times New Roman"/>
          <w:bCs/>
          <w:color w:val="000000"/>
          <w:sz w:val="24"/>
        </w:rPr>
      </w:pPr>
      <w:r w:rsidRPr="005439B2">
        <w:rPr>
          <w:rFonts w:ascii="Times New Roman" w:eastAsia="Times New Roman" w:hAnsi="Times New Roman" w:cs="Times New Roman"/>
          <w:bCs/>
          <w:color w:val="000000"/>
          <w:sz w:val="24"/>
        </w:rPr>
        <w:t>Výhrady</w:t>
      </w:r>
      <w:r>
        <w:rPr>
          <w:rFonts w:ascii="Times New Roman" w:eastAsia="Times New Roman" w:hAnsi="Times New Roman" w:cs="Times New Roman"/>
          <w:bCs/>
          <w:color w:val="000000"/>
          <w:sz w:val="24"/>
        </w:rPr>
        <w:t xml:space="preserve"> Konferencie biskupov Slovenska</w:t>
      </w:r>
      <w:r w:rsidRPr="005439B2">
        <w:rPr>
          <w:rFonts w:ascii="Times New Roman" w:eastAsia="Times New Roman" w:hAnsi="Times New Roman" w:cs="Times New Roman"/>
          <w:bCs/>
          <w:color w:val="000000"/>
          <w:sz w:val="24"/>
        </w:rPr>
        <w:t xml:space="preserve"> k § 47 ods. 13 a § 49 ods. 11 návrhu zákona </w:t>
      </w:r>
      <w:r>
        <w:rPr>
          <w:rFonts w:ascii="Times New Roman" w:eastAsia="Times New Roman" w:hAnsi="Times New Roman" w:cs="Times New Roman"/>
          <w:bCs/>
          <w:color w:val="000000"/>
          <w:sz w:val="24"/>
        </w:rPr>
        <w:t>Ministerstvo obrany SR berie na vedomie</w:t>
      </w:r>
      <w:r w:rsidRPr="005439B2">
        <w:rPr>
          <w:rFonts w:ascii="Times New Roman" w:eastAsia="Times New Roman" w:hAnsi="Times New Roman" w:cs="Times New Roman"/>
          <w:bCs/>
          <w:color w:val="000000"/>
          <w:sz w:val="24"/>
        </w:rPr>
        <w:t>.</w:t>
      </w:r>
    </w:p>
    <w:p w14:paraId="4B6AAE7B" w14:textId="56B47707" w:rsidR="00653A95" w:rsidRDefault="00653A95" w:rsidP="005649F2">
      <w:pPr>
        <w:jc w:val="both"/>
        <w:rPr>
          <w:rFonts w:ascii="Times New Roman" w:hAnsi="Times New Roman" w:cs="Times New Roman"/>
          <w:b/>
          <w:bCs/>
          <w:sz w:val="24"/>
          <w:szCs w:val="24"/>
        </w:rPr>
      </w:pPr>
    </w:p>
    <w:p w14:paraId="40872EBC" w14:textId="77777777" w:rsidR="00643453" w:rsidRDefault="00643453" w:rsidP="00643453">
      <w:pPr>
        <w:ind w:firstLine="708"/>
        <w:jc w:val="both"/>
        <w:rPr>
          <w:sz w:val="24"/>
          <w:szCs w:val="24"/>
        </w:rPr>
      </w:pPr>
    </w:p>
    <w:p w14:paraId="1D18A74F" w14:textId="77777777" w:rsidR="00643453" w:rsidRDefault="00643453" w:rsidP="00643453">
      <w:pPr>
        <w:ind w:left="567"/>
        <w:jc w:val="both"/>
        <w:rPr>
          <w:sz w:val="24"/>
          <w:szCs w:val="24"/>
        </w:rPr>
      </w:pPr>
    </w:p>
    <w:p w14:paraId="55D74057" w14:textId="77777777" w:rsidR="00643453" w:rsidRPr="00643453" w:rsidRDefault="00643453" w:rsidP="00643453">
      <w:pPr>
        <w:jc w:val="both"/>
        <w:rPr>
          <w:rFonts w:ascii="Times New Roman" w:hAnsi="Times New Roman" w:cs="Times New Roman"/>
          <w:b/>
          <w:sz w:val="32"/>
          <w:szCs w:val="32"/>
        </w:rPr>
      </w:pPr>
    </w:p>
    <w:sectPr w:rsidR="00643453" w:rsidRPr="00643453" w:rsidSect="00D84BD4">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C32D" w14:textId="77777777" w:rsidR="00A61321" w:rsidRDefault="00A61321" w:rsidP="00D84BD4">
      <w:pPr>
        <w:spacing w:after="0" w:line="240" w:lineRule="auto"/>
      </w:pPr>
      <w:r>
        <w:separator/>
      </w:r>
    </w:p>
  </w:endnote>
  <w:endnote w:type="continuationSeparator" w:id="0">
    <w:p w14:paraId="52FED5CC" w14:textId="77777777" w:rsidR="00A61321" w:rsidRDefault="00A61321" w:rsidP="00D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802352"/>
      <w:docPartObj>
        <w:docPartGallery w:val="Page Numbers (Bottom of Page)"/>
        <w:docPartUnique/>
      </w:docPartObj>
    </w:sdtPr>
    <w:sdtEndPr/>
    <w:sdtContent>
      <w:p w14:paraId="5433E510" w14:textId="7BBF7DFE" w:rsidR="00D84BD4" w:rsidRDefault="00D84BD4">
        <w:pPr>
          <w:pStyle w:val="Pta"/>
          <w:jc w:val="center"/>
        </w:pPr>
        <w:r>
          <w:fldChar w:fldCharType="begin"/>
        </w:r>
        <w:r>
          <w:instrText>PAGE   \* MERGEFORMAT</w:instrText>
        </w:r>
        <w:r>
          <w:fldChar w:fldCharType="separate"/>
        </w:r>
        <w:r>
          <w:t>2</w:t>
        </w:r>
        <w:r>
          <w:fldChar w:fldCharType="end"/>
        </w:r>
      </w:p>
    </w:sdtContent>
  </w:sdt>
  <w:p w14:paraId="0621AF39" w14:textId="77777777" w:rsidR="00D84BD4" w:rsidRDefault="00D84B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0BF2" w14:textId="77777777" w:rsidR="00A61321" w:rsidRDefault="00A61321" w:rsidP="00D84BD4">
      <w:pPr>
        <w:spacing w:after="0" w:line="240" w:lineRule="auto"/>
      </w:pPr>
      <w:r>
        <w:separator/>
      </w:r>
    </w:p>
  </w:footnote>
  <w:footnote w:type="continuationSeparator" w:id="0">
    <w:p w14:paraId="776A0EF9" w14:textId="77777777" w:rsidR="00A61321" w:rsidRDefault="00A61321" w:rsidP="00D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478"/>
    <w:multiLevelType w:val="hybridMultilevel"/>
    <w:tmpl w:val="0A2A2720"/>
    <w:lvl w:ilvl="0" w:tplc="901AE2E2">
      <w:start w:val="1"/>
      <w:numFmt w:val="decimal"/>
      <w:lvlText w:val="%1."/>
      <w:lvlJc w:val="left"/>
      <w:pPr>
        <w:ind w:left="720" w:hanging="360"/>
      </w:pPr>
      <w:rPr>
        <w:rFonts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BE"/>
    <w:rsid w:val="0023413E"/>
    <w:rsid w:val="00263482"/>
    <w:rsid w:val="00476247"/>
    <w:rsid w:val="005649F2"/>
    <w:rsid w:val="006409DB"/>
    <w:rsid w:val="00643453"/>
    <w:rsid w:val="00653A95"/>
    <w:rsid w:val="006560BE"/>
    <w:rsid w:val="006612D9"/>
    <w:rsid w:val="00674E4C"/>
    <w:rsid w:val="006A551B"/>
    <w:rsid w:val="00763767"/>
    <w:rsid w:val="00822909"/>
    <w:rsid w:val="00930516"/>
    <w:rsid w:val="00936E83"/>
    <w:rsid w:val="00A61321"/>
    <w:rsid w:val="00A8575B"/>
    <w:rsid w:val="00B44A5C"/>
    <w:rsid w:val="00C85539"/>
    <w:rsid w:val="00CD3458"/>
    <w:rsid w:val="00D35622"/>
    <w:rsid w:val="00D84BD4"/>
    <w:rsid w:val="00D86950"/>
    <w:rsid w:val="00EF24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27EA"/>
  <w15:docId w15:val="{8379104B-1ABB-4308-9B56-BA3D8B92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43453"/>
    <w:pPr>
      <w:spacing w:after="0" w:line="240" w:lineRule="auto"/>
      <w:ind w:left="720"/>
      <w:contextualSpacing/>
    </w:pPr>
    <w:rPr>
      <w:rFonts w:ascii="Times New Roman" w:eastAsia="Times New Roman" w:hAnsi="Times New Roman" w:cs="Times New Roman"/>
      <w:sz w:val="20"/>
      <w:szCs w:val="20"/>
      <w:lang w:eastAsia="sk-SK"/>
    </w:rPr>
  </w:style>
  <w:style w:type="paragraph" w:styleId="Bezriadkovania">
    <w:name w:val="No Spacing"/>
    <w:uiPriority w:val="1"/>
    <w:qFormat/>
    <w:rsid w:val="00643453"/>
    <w:pPr>
      <w:spacing w:after="0" w:line="240" w:lineRule="auto"/>
    </w:pPr>
    <w:rPr>
      <w:rFonts w:eastAsia="Times New Roman" w:cs="Times New Roman"/>
    </w:rPr>
  </w:style>
  <w:style w:type="paragraph" w:styleId="Textbubliny">
    <w:name w:val="Balloon Text"/>
    <w:basedOn w:val="Normlny"/>
    <w:link w:val="TextbublinyChar"/>
    <w:uiPriority w:val="99"/>
    <w:semiHidden/>
    <w:unhideWhenUsed/>
    <w:rsid w:val="00EF24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F248E"/>
    <w:rPr>
      <w:rFonts w:ascii="Segoe UI" w:hAnsi="Segoe UI" w:cs="Segoe UI"/>
      <w:sz w:val="18"/>
      <w:szCs w:val="18"/>
    </w:rPr>
  </w:style>
  <w:style w:type="paragraph" w:styleId="Hlavika">
    <w:name w:val="header"/>
    <w:basedOn w:val="Normlny"/>
    <w:link w:val="HlavikaChar"/>
    <w:uiPriority w:val="99"/>
    <w:unhideWhenUsed/>
    <w:rsid w:val="00D84B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4BD4"/>
  </w:style>
  <w:style w:type="paragraph" w:styleId="Pta">
    <w:name w:val="footer"/>
    <w:basedOn w:val="Normlny"/>
    <w:link w:val="PtaChar"/>
    <w:uiPriority w:val="99"/>
    <w:unhideWhenUsed/>
    <w:rsid w:val="00D84BD4"/>
    <w:pPr>
      <w:tabs>
        <w:tab w:val="center" w:pos="4536"/>
        <w:tab w:val="right" w:pos="9072"/>
      </w:tabs>
      <w:spacing w:after="0" w:line="240" w:lineRule="auto"/>
    </w:pPr>
  </w:style>
  <w:style w:type="character" w:customStyle="1" w:styleId="PtaChar">
    <w:name w:val="Päta Char"/>
    <w:basedOn w:val="Predvolenpsmoodseku"/>
    <w:link w:val="Pta"/>
    <w:uiPriority w:val="99"/>
    <w:rsid w:val="00D8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740</Words>
  <Characters>4220</Characters>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2024-08-09T07:05:00Z</cp:lastPrinted>
  <dcterms:created xsi:type="dcterms:W3CDTF">2025-02-10T14:47:00Z</dcterms:created>
  <dcterms:modified xsi:type="dcterms:W3CDTF">2025-02-13T10:49:00Z</dcterms:modified>
</cp:coreProperties>
</file>