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CB" w:rsidRPr="004858D5" w:rsidRDefault="007312CB" w:rsidP="007312CB">
      <w:pPr>
        <w:pStyle w:val="Normlnywebov"/>
        <w:autoSpaceDE w:val="0"/>
        <w:autoSpaceDN w:val="0"/>
        <w:jc w:val="center"/>
        <w:rPr>
          <w:b/>
          <w:bCs/>
        </w:rPr>
      </w:pPr>
      <w:r w:rsidRPr="004858D5">
        <w:rPr>
          <w:b/>
          <w:bCs/>
        </w:rPr>
        <w:t>DOLOŽKA ZLUČITEĽNOSTI</w:t>
      </w:r>
    </w:p>
    <w:p w:rsidR="007312CB" w:rsidRPr="004858D5" w:rsidRDefault="007312CB" w:rsidP="007312CB">
      <w:pPr>
        <w:pBdr>
          <w:bottom w:val="single" w:sz="12" w:space="1" w:color="auto"/>
        </w:pBdr>
        <w:jc w:val="center"/>
        <w:rPr>
          <w:b/>
        </w:rPr>
      </w:pPr>
      <w:r w:rsidRPr="004858D5">
        <w:rPr>
          <w:b/>
          <w:bCs/>
        </w:rPr>
        <w:t xml:space="preserve"> n</w:t>
      </w:r>
      <w:r w:rsidRPr="004858D5">
        <w:rPr>
          <w:b/>
        </w:rPr>
        <w:t>ávrhu zákona s právom Európskej únie</w:t>
      </w:r>
    </w:p>
    <w:p w:rsidR="007312CB" w:rsidRPr="004858D5" w:rsidRDefault="007312CB" w:rsidP="007312CB">
      <w:pPr>
        <w:widowControl w:val="0"/>
        <w:numPr>
          <w:ilvl w:val="0"/>
          <w:numId w:val="13"/>
        </w:numPr>
        <w:autoSpaceDE w:val="0"/>
        <w:autoSpaceDN w:val="0"/>
        <w:spacing w:after="120"/>
        <w:ind w:left="357" w:hanging="357"/>
        <w:jc w:val="both"/>
        <w:rPr>
          <w:b/>
          <w:bCs/>
        </w:rPr>
      </w:pPr>
      <w:r w:rsidRPr="004858D5">
        <w:rPr>
          <w:b/>
          <w:bCs/>
        </w:rPr>
        <w:t>Navrhovateľ zákona:</w:t>
      </w:r>
    </w:p>
    <w:p w:rsidR="007312CB" w:rsidRPr="004858D5" w:rsidRDefault="007312CB" w:rsidP="007312CB">
      <w:pPr>
        <w:widowControl w:val="0"/>
        <w:autoSpaceDE w:val="0"/>
        <w:autoSpaceDN w:val="0"/>
        <w:spacing w:before="240" w:after="120"/>
        <w:ind w:firstLine="357"/>
        <w:contextualSpacing/>
        <w:jc w:val="both"/>
      </w:pPr>
      <w:r w:rsidRPr="004858D5">
        <w:t>Vláda Slovenskej republiky.</w:t>
      </w:r>
    </w:p>
    <w:p w:rsidR="007312CB" w:rsidRPr="004858D5" w:rsidRDefault="007312CB" w:rsidP="007312CB">
      <w:pPr>
        <w:widowControl w:val="0"/>
        <w:autoSpaceDE w:val="0"/>
        <w:autoSpaceDN w:val="0"/>
        <w:spacing w:before="120" w:after="120"/>
        <w:ind w:firstLine="357"/>
        <w:contextualSpacing/>
        <w:jc w:val="both"/>
      </w:pPr>
    </w:p>
    <w:p w:rsidR="007312CB" w:rsidRPr="004858D5" w:rsidRDefault="007312CB" w:rsidP="007312CB">
      <w:pPr>
        <w:widowControl w:val="0"/>
        <w:numPr>
          <w:ilvl w:val="0"/>
          <w:numId w:val="13"/>
        </w:numPr>
        <w:autoSpaceDE w:val="0"/>
        <w:autoSpaceDN w:val="0"/>
        <w:spacing w:after="120"/>
        <w:ind w:left="357" w:hanging="357"/>
        <w:jc w:val="both"/>
        <w:rPr>
          <w:b/>
          <w:bCs/>
        </w:rPr>
      </w:pPr>
      <w:r w:rsidRPr="004858D5">
        <w:rPr>
          <w:b/>
          <w:bCs/>
        </w:rPr>
        <w:t xml:space="preserve">Názov návrhu zákona: </w:t>
      </w:r>
    </w:p>
    <w:p w:rsidR="007312CB" w:rsidRPr="004858D5" w:rsidRDefault="007312CB" w:rsidP="00BD5B49">
      <w:pPr>
        <w:pStyle w:val="Normlnywebov"/>
        <w:ind w:left="360"/>
        <w:jc w:val="both"/>
      </w:pPr>
      <w:r w:rsidRPr="004858D5">
        <w:t>Návrh zákona, ktorým sa dopĺňa zákon č. 566/2001 Z. z. o cenných papieroch a investičných službách a o zmene a doplnení niektorých zákonov (zákon o cenných papieroch) v znení neskorších predpisov a ktorým sa menia a dopĺňajú niektoré zákony.</w:t>
      </w:r>
    </w:p>
    <w:p w:rsidR="007312CB" w:rsidRPr="004858D5" w:rsidRDefault="007312CB" w:rsidP="007312CB">
      <w:pPr>
        <w:widowControl w:val="0"/>
        <w:autoSpaceDE w:val="0"/>
        <w:autoSpaceDN w:val="0"/>
        <w:ind w:left="357"/>
        <w:contextualSpacing/>
        <w:jc w:val="both"/>
        <w:rPr>
          <w:b/>
          <w:bCs/>
        </w:rPr>
      </w:pPr>
    </w:p>
    <w:p w:rsidR="007312CB" w:rsidRPr="004858D5" w:rsidRDefault="007312CB" w:rsidP="007312CB">
      <w:pPr>
        <w:pStyle w:val="Zkladntext"/>
        <w:numPr>
          <w:ilvl w:val="0"/>
          <w:numId w:val="13"/>
        </w:numPr>
        <w:jc w:val="both"/>
        <w:rPr>
          <w:b/>
          <w:bCs/>
          <w:color w:val="auto"/>
          <w:sz w:val="24"/>
          <w:szCs w:val="24"/>
        </w:rPr>
      </w:pPr>
      <w:r w:rsidRPr="004858D5">
        <w:rPr>
          <w:b/>
          <w:bCs/>
          <w:color w:val="auto"/>
          <w:sz w:val="24"/>
          <w:szCs w:val="24"/>
        </w:rPr>
        <w:t xml:space="preserve">Predmet návrhu zákona </w:t>
      </w:r>
      <w:r w:rsidRPr="004858D5">
        <w:rPr>
          <w:b/>
          <w:color w:val="auto"/>
          <w:sz w:val="24"/>
          <w:szCs w:val="24"/>
        </w:rPr>
        <w:t>je upravený v práve Európskej únie:</w:t>
      </w:r>
    </w:p>
    <w:p w:rsidR="007312CB" w:rsidRPr="004858D5" w:rsidRDefault="007312CB" w:rsidP="007312CB">
      <w:pPr>
        <w:pStyle w:val="Normlnywebov"/>
        <w:spacing w:before="120"/>
        <w:ind w:left="426"/>
      </w:pPr>
      <w:r w:rsidRPr="004858D5">
        <w:t>a) v primárnom práve:</w:t>
      </w:r>
      <w:bookmarkStart w:id="0" w:name="_GoBack"/>
      <w:bookmarkEnd w:id="0"/>
    </w:p>
    <w:p w:rsidR="007312CB" w:rsidRPr="004858D5" w:rsidRDefault="007312CB" w:rsidP="007312CB">
      <w:pPr>
        <w:pStyle w:val="Odsekzoznamu"/>
        <w:numPr>
          <w:ilvl w:val="0"/>
          <w:numId w:val="21"/>
        </w:numPr>
      </w:pPr>
      <w:r w:rsidRPr="004858D5">
        <w:t>čl. 3 ods. 1 písm. b), čl. 4, čl. 26 ods. 2, čl. 49 až 66, čl. 114 Zmluvy o fungovaní Európskej únie (Ú. v. EÚ C 202, 7.6. 2016),</w:t>
      </w:r>
    </w:p>
    <w:p w:rsidR="007312CB" w:rsidRPr="004858D5" w:rsidRDefault="007312CB" w:rsidP="007312CB">
      <w:pPr>
        <w:pStyle w:val="Odsekzoznamu"/>
      </w:pPr>
    </w:p>
    <w:p w:rsidR="007312CB" w:rsidRPr="004858D5" w:rsidRDefault="007312CB" w:rsidP="007312CB">
      <w:pPr>
        <w:pStyle w:val="Odsekzoznamu"/>
        <w:numPr>
          <w:ilvl w:val="0"/>
          <w:numId w:val="21"/>
        </w:numPr>
      </w:pPr>
      <w:r w:rsidRPr="004858D5">
        <w:t>Protokol č. 4 o Štatúte Európskeho systému centrálnych bánk a Európskej centrálnej banky pripojený k Zmluve o fungovaní Európskej únie (Ú. v. EÚ C 202, 7.6.2016).</w:t>
      </w:r>
    </w:p>
    <w:p w:rsidR="007312CB" w:rsidRPr="004858D5" w:rsidRDefault="007312CB" w:rsidP="007312CB">
      <w:pPr>
        <w:pStyle w:val="Odsekzoznamu"/>
        <w:ind w:left="1117"/>
      </w:pPr>
    </w:p>
    <w:p w:rsidR="007312CB" w:rsidRPr="004858D5" w:rsidRDefault="007312CB" w:rsidP="007312CB">
      <w:pPr>
        <w:pStyle w:val="Odsekzoznamu"/>
        <w:ind w:left="1117"/>
      </w:pPr>
    </w:p>
    <w:p w:rsidR="007312CB" w:rsidRPr="004858D5" w:rsidRDefault="007312CB" w:rsidP="007312CB">
      <w:pPr>
        <w:pStyle w:val="Odsekzoznamu"/>
        <w:ind w:left="709"/>
        <w:jc w:val="both"/>
      </w:pPr>
      <w:r w:rsidRPr="004858D5">
        <w:t xml:space="preserve">b) v sekundárnom práve: </w:t>
      </w:r>
    </w:p>
    <w:p w:rsidR="009171F6" w:rsidRPr="004858D5" w:rsidRDefault="009171F6" w:rsidP="007312CB">
      <w:pPr>
        <w:pStyle w:val="Odsekzoznamu"/>
        <w:ind w:left="709"/>
        <w:jc w:val="both"/>
        <w:rPr>
          <w:color w:val="000000"/>
        </w:rPr>
      </w:pPr>
    </w:p>
    <w:p w:rsidR="009171F6" w:rsidRPr="004858D5" w:rsidRDefault="009171F6" w:rsidP="009171F6">
      <w:pPr>
        <w:pStyle w:val="Odsekzoznamu"/>
        <w:numPr>
          <w:ilvl w:val="0"/>
          <w:numId w:val="14"/>
        </w:numPr>
        <w:ind w:left="709" w:hanging="283"/>
        <w:jc w:val="both"/>
        <w:rPr>
          <w:color w:val="000000"/>
        </w:rPr>
      </w:pPr>
      <w:r w:rsidRPr="004858D5">
        <w:rPr>
          <w:color w:val="000000"/>
        </w:rPr>
        <w:t xml:space="preserve">smernica Európskeho parlamentu a Rady (EÚ) 2023/2864 z 13. decembra 2023, ktorou sa menia určité smernice, pokiaľ ide o zriadenie a fungovanie jednotného európskeho miesta prístupu (Ú. v. EÚ L, 2023/2864, 20.12.2023) gestor: MF SR, </w:t>
      </w:r>
      <w:proofErr w:type="spellStart"/>
      <w:r w:rsidRPr="004858D5">
        <w:rPr>
          <w:color w:val="000000"/>
        </w:rPr>
        <w:t>spolugestor</w:t>
      </w:r>
      <w:proofErr w:type="spellEnd"/>
      <w:r w:rsidRPr="004858D5">
        <w:rPr>
          <w:color w:val="000000"/>
        </w:rPr>
        <w:t>: NBS,</w:t>
      </w:r>
    </w:p>
    <w:p w:rsidR="009171F6" w:rsidRPr="004858D5" w:rsidRDefault="009171F6" w:rsidP="009171F6">
      <w:pPr>
        <w:pStyle w:val="Odsekzoznamu"/>
        <w:ind w:left="709"/>
        <w:jc w:val="both"/>
        <w:rPr>
          <w:color w:val="000000"/>
        </w:rPr>
      </w:pPr>
    </w:p>
    <w:p w:rsidR="009171F6" w:rsidRDefault="009171F6" w:rsidP="009171F6">
      <w:pPr>
        <w:pStyle w:val="Odsekzoznamu"/>
        <w:numPr>
          <w:ilvl w:val="0"/>
          <w:numId w:val="14"/>
        </w:numPr>
        <w:ind w:left="709" w:hanging="283"/>
        <w:jc w:val="both"/>
        <w:rPr>
          <w:color w:val="000000"/>
        </w:rPr>
      </w:pPr>
      <w:r w:rsidRPr="004858D5">
        <w:rPr>
          <w:color w:val="000000"/>
        </w:rPr>
        <w:t>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 (Ú. v. EÚ L, 2024/896, 20.3.2024), gestor: MF SR, NBS,</w:t>
      </w:r>
    </w:p>
    <w:p w:rsidR="00DD23E6" w:rsidRPr="00DD23E6" w:rsidRDefault="00DD23E6" w:rsidP="00DD23E6">
      <w:pPr>
        <w:pStyle w:val="Odsekzoznamu"/>
        <w:rPr>
          <w:color w:val="000000"/>
        </w:rPr>
      </w:pPr>
    </w:p>
    <w:p w:rsidR="00DD23E6" w:rsidRPr="004858D5" w:rsidRDefault="00DD23E6" w:rsidP="00DD23E6">
      <w:pPr>
        <w:pStyle w:val="Odsekzoznamu"/>
        <w:numPr>
          <w:ilvl w:val="0"/>
          <w:numId w:val="14"/>
        </w:numPr>
        <w:ind w:left="709" w:hanging="283"/>
        <w:jc w:val="both"/>
        <w:rPr>
          <w:color w:val="000000"/>
        </w:rPr>
      </w:pPr>
      <w:r>
        <w:rPr>
          <w:color w:val="000000"/>
        </w:rPr>
        <w:t>v</w:t>
      </w:r>
      <w:r w:rsidRPr="00DD23E6">
        <w:rPr>
          <w:color w:val="000000"/>
        </w:rPr>
        <w:t>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r>
        <w:rPr>
          <w:color w:val="000000"/>
        </w:rPr>
        <w:t>, gestor: MF SR,</w:t>
      </w:r>
    </w:p>
    <w:p w:rsidR="007312CB" w:rsidRPr="004858D5" w:rsidRDefault="007312CB" w:rsidP="007312CB">
      <w:pPr>
        <w:spacing w:after="120"/>
        <w:jc w:val="both"/>
        <w:rPr>
          <w:strike/>
        </w:rPr>
      </w:pPr>
    </w:p>
    <w:p w:rsidR="007312CB" w:rsidRPr="004858D5" w:rsidRDefault="007312CB" w:rsidP="007312CB">
      <w:pPr>
        <w:pStyle w:val="Odsekzoznamu"/>
        <w:numPr>
          <w:ilvl w:val="0"/>
          <w:numId w:val="20"/>
        </w:numPr>
        <w:jc w:val="both"/>
      </w:pPr>
      <w:r w:rsidRPr="004858D5">
        <w:rPr>
          <w:color w:val="000000"/>
        </w:rPr>
        <w:t xml:space="preserve">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w:t>
      </w:r>
      <w:r w:rsidRPr="004858D5">
        <w:rPr>
          <w:color w:val="000000"/>
        </w:rPr>
        <w:lastRenderedPageBreak/>
        <w:t>kap.</w:t>
      </w:r>
      <w:r w:rsidRPr="004858D5">
        <w:rPr>
          <w:color w:val="000000"/>
          <w:spacing w:val="12"/>
        </w:rPr>
        <w:t xml:space="preserve"> </w:t>
      </w:r>
      <w:r w:rsidRPr="004858D5">
        <w:rPr>
          <w:color w:val="000000"/>
        </w:rPr>
        <w:t>6/zv.</w:t>
      </w:r>
      <w:r w:rsidRPr="004858D5">
        <w:rPr>
          <w:color w:val="000000"/>
          <w:spacing w:val="12"/>
        </w:rPr>
        <w:t xml:space="preserve"> </w:t>
      </w:r>
      <w:r w:rsidRPr="004858D5">
        <w:rPr>
          <w:color w:val="000000"/>
        </w:rPr>
        <w:t xml:space="preserve">4;   Ú. v. EÚ L 35, 11.2.2003) v platnom znení, gestor: MF SR, </w:t>
      </w:r>
      <w:proofErr w:type="spellStart"/>
      <w:r w:rsidR="00830CEC" w:rsidRPr="004858D5">
        <w:rPr>
          <w:color w:val="000000"/>
        </w:rPr>
        <w:t>spolugestor</w:t>
      </w:r>
      <w:proofErr w:type="spellEnd"/>
      <w:r w:rsidR="00830CEC" w:rsidRPr="004858D5">
        <w:rPr>
          <w:color w:val="000000"/>
        </w:rPr>
        <w:t xml:space="preserve">: </w:t>
      </w:r>
      <w:r w:rsidRPr="004858D5">
        <w:rPr>
          <w:color w:val="000000"/>
        </w:rPr>
        <w:t>NBS,</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rPr>
          <w:color w:val="000000"/>
        </w:rPr>
        <w:t>smernica Európskeho parlamentu a Rady 2004/25/ES z 21. apríla 2004 o ponukách</w:t>
      </w:r>
      <w:r w:rsidRPr="004858D5">
        <w:rPr>
          <w:color w:val="000000"/>
          <w:spacing w:val="8"/>
        </w:rPr>
        <w:t xml:space="preserve"> </w:t>
      </w:r>
      <w:r w:rsidRPr="004858D5">
        <w:rPr>
          <w:color w:val="000000"/>
        </w:rPr>
        <w:t>na prevzatie</w:t>
      </w:r>
      <w:r w:rsidRPr="004858D5">
        <w:rPr>
          <w:color w:val="000000"/>
          <w:spacing w:val="12"/>
        </w:rPr>
        <w:t xml:space="preserve"> </w:t>
      </w:r>
      <w:r w:rsidRPr="004858D5">
        <w:rPr>
          <w:color w:val="000000"/>
        </w:rPr>
        <w:t>(Mimoriadne</w:t>
      </w:r>
      <w:r w:rsidRPr="004858D5">
        <w:rPr>
          <w:color w:val="000000"/>
          <w:spacing w:val="12"/>
        </w:rPr>
        <w:t xml:space="preserve"> </w:t>
      </w:r>
      <w:r w:rsidRPr="004858D5">
        <w:rPr>
          <w:color w:val="000000"/>
        </w:rPr>
        <w:t>vydanie</w:t>
      </w:r>
      <w:r w:rsidRPr="004858D5">
        <w:rPr>
          <w:color w:val="000000"/>
          <w:spacing w:val="12"/>
        </w:rPr>
        <w:t xml:space="preserve"> </w:t>
      </w:r>
      <w:r w:rsidRPr="004858D5">
        <w:rPr>
          <w:color w:val="000000"/>
        </w:rPr>
        <w:t>Ú.</w:t>
      </w:r>
      <w:r w:rsidRPr="004858D5">
        <w:rPr>
          <w:color w:val="000000"/>
          <w:spacing w:val="12"/>
        </w:rPr>
        <w:t xml:space="preserve"> </w:t>
      </w:r>
      <w:r w:rsidRPr="004858D5">
        <w:rPr>
          <w:color w:val="000000"/>
        </w:rPr>
        <w:t>v.</w:t>
      </w:r>
      <w:r w:rsidRPr="004858D5">
        <w:rPr>
          <w:color w:val="000000"/>
          <w:spacing w:val="12"/>
        </w:rPr>
        <w:t xml:space="preserve"> </w:t>
      </w:r>
      <w:r w:rsidRPr="004858D5">
        <w:rPr>
          <w:color w:val="000000"/>
        </w:rPr>
        <w:t>EÚ</w:t>
      </w:r>
      <w:r w:rsidRPr="004858D5">
        <w:rPr>
          <w:color w:val="000000"/>
          <w:spacing w:val="12"/>
        </w:rPr>
        <w:t xml:space="preserve">, </w:t>
      </w:r>
      <w:r w:rsidRPr="004858D5">
        <w:rPr>
          <w:color w:val="000000"/>
        </w:rPr>
        <w:t>kap.</w:t>
      </w:r>
      <w:r w:rsidRPr="004858D5">
        <w:rPr>
          <w:color w:val="000000"/>
          <w:spacing w:val="12"/>
        </w:rPr>
        <w:t xml:space="preserve"> </w:t>
      </w:r>
      <w:r w:rsidRPr="004858D5">
        <w:rPr>
          <w:color w:val="000000"/>
        </w:rPr>
        <w:t>17/zv.</w:t>
      </w:r>
      <w:r w:rsidRPr="004858D5">
        <w:rPr>
          <w:color w:val="000000"/>
          <w:spacing w:val="12"/>
        </w:rPr>
        <w:t xml:space="preserve"> </w:t>
      </w:r>
      <w:r w:rsidRPr="004858D5">
        <w:rPr>
          <w:color w:val="000000"/>
        </w:rPr>
        <w:t>2; Ú.</w:t>
      </w:r>
      <w:r w:rsidRPr="004858D5">
        <w:rPr>
          <w:color w:val="000000"/>
          <w:spacing w:val="12"/>
        </w:rPr>
        <w:t xml:space="preserve"> </w:t>
      </w:r>
      <w:r w:rsidRPr="004858D5">
        <w:rPr>
          <w:color w:val="000000"/>
        </w:rPr>
        <w:t>v.</w:t>
      </w:r>
      <w:r w:rsidRPr="004858D5">
        <w:rPr>
          <w:color w:val="000000"/>
          <w:spacing w:val="12"/>
        </w:rPr>
        <w:t xml:space="preserve"> </w:t>
      </w:r>
      <w:r w:rsidRPr="004858D5">
        <w:rPr>
          <w:color w:val="000000"/>
        </w:rPr>
        <w:t>EÚ</w:t>
      </w:r>
      <w:r w:rsidRPr="004858D5">
        <w:rPr>
          <w:color w:val="000000"/>
          <w:spacing w:val="12"/>
        </w:rPr>
        <w:t xml:space="preserve"> </w:t>
      </w:r>
      <w:r w:rsidRPr="004858D5">
        <w:rPr>
          <w:color w:val="000000"/>
        </w:rPr>
        <w:t>L</w:t>
      </w:r>
      <w:r w:rsidRPr="004858D5">
        <w:rPr>
          <w:color w:val="000000"/>
          <w:spacing w:val="12"/>
        </w:rPr>
        <w:t xml:space="preserve"> </w:t>
      </w:r>
      <w:r w:rsidRPr="004858D5">
        <w:rPr>
          <w:color w:val="000000"/>
        </w:rPr>
        <w:t>142,</w:t>
      </w:r>
      <w:r w:rsidRPr="004858D5">
        <w:rPr>
          <w:color w:val="000000"/>
          <w:spacing w:val="12"/>
        </w:rPr>
        <w:t xml:space="preserve"> </w:t>
      </w:r>
      <w:r w:rsidRPr="004858D5">
        <w:rPr>
          <w:color w:val="000000"/>
        </w:rPr>
        <w:t>30.4.2004)</w:t>
      </w:r>
      <w:r w:rsidRPr="004858D5">
        <w:rPr>
          <w:color w:val="000000"/>
          <w:spacing w:val="12"/>
        </w:rPr>
        <w:t xml:space="preserve"> </w:t>
      </w:r>
      <w:r w:rsidRPr="004858D5">
        <w:rPr>
          <w:color w:val="000000"/>
        </w:rPr>
        <w:t xml:space="preserve">v platnom znení, gestor: MF SR, </w:t>
      </w:r>
      <w:proofErr w:type="spellStart"/>
      <w:r w:rsidRPr="004858D5">
        <w:rPr>
          <w:color w:val="000000"/>
        </w:rPr>
        <w:t>spolugestor</w:t>
      </w:r>
      <w:proofErr w:type="spellEnd"/>
      <w:r w:rsidRPr="004858D5">
        <w:rPr>
          <w:color w:val="000000"/>
        </w:rPr>
        <w:t>: MS SR,</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t xml:space="preserve">smernica Európskeho parlamentu a Rady 2004/109/ES z 15. decembra 2004 o harmonizácii požiadaviek na transparentnosť v súvislosti s informáciami o emitentoch, ktorých cenné papiere sú prijaté na obchodovanie na regulovanom trhu, a ktorou sa mení a dopĺňa smernica 2001/34/ES (Ú. v. EÚ L 390, 31.12.2004) v platnom znení, gestor: </w:t>
      </w:r>
      <w:r w:rsidRPr="004858D5">
        <w:rPr>
          <w:color w:val="000000"/>
        </w:rPr>
        <w:t>MF SR,</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rPr>
          <w:color w:val="000000"/>
        </w:rPr>
      </w:pPr>
      <w:r w:rsidRPr="004858D5">
        <w:rPr>
          <w:color w:val="000000"/>
        </w:rPr>
        <w:t>smernica</w:t>
      </w:r>
      <w:r w:rsidRPr="004858D5">
        <w:rPr>
          <w:color w:val="000000"/>
          <w:spacing w:val="13"/>
        </w:rPr>
        <w:t xml:space="preserve"> </w:t>
      </w:r>
      <w:r w:rsidRPr="004858D5">
        <w:rPr>
          <w:color w:val="000000"/>
        </w:rPr>
        <w:t>Európskeho</w:t>
      </w:r>
      <w:r w:rsidRPr="004858D5">
        <w:rPr>
          <w:color w:val="000000"/>
          <w:spacing w:val="13"/>
        </w:rPr>
        <w:t xml:space="preserve"> </w:t>
      </w:r>
      <w:r w:rsidRPr="004858D5">
        <w:rPr>
          <w:color w:val="000000"/>
        </w:rPr>
        <w:t>parlamentu</w:t>
      </w:r>
      <w:r w:rsidRPr="004858D5">
        <w:rPr>
          <w:color w:val="000000"/>
          <w:spacing w:val="13"/>
        </w:rPr>
        <w:t xml:space="preserve"> </w:t>
      </w:r>
      <w:r w:rsidRPr="004858D5">
        <w:rPr>
          <w:color w:val="000000"/>
        </w:rPr>
        <w:t>a</w:t>
      </w:r>
      <w:r w:rsidRPr="004858D5">
        <w:rPr>
          <w:color w:val="000000"/>
          <w:spacing w:val="13"/>
        </w:rPr>
        <w:t xml:space="preserve"> </w:t>
      </w:r>
      <w:r w:rsidRPr="004858D5">
        <w:rPr>
          <w:color w:val="000000"/>
        </w:rPr>
        <w:t>Rady</w:t>
      </w:r>
      <w:r w:rsidRPr="004858D5">
        <w:rPr>
          <w:color w:val="000000"/>
          <w:spacing w:val="13"/>
        </w:rPr>
        <w:t xml:space="preserve"> </w:t>
      </w:r>
      <w:r w:rsidRPr="004858D5">
        <w:rPr>
          <w:color w:val="000000"/>
        </w:rPr>
        <w:t>2006/43/ES</w:t>
      </w:r>
      <w:r w:rsidRPr="004858D5">
        <w:rPr>
          <w:color w:val="000000"/>
          <w:spacing w:val="13"/>
        </w:rPr>
        <w:t xml:space="preserve"> </w:t>
      </w:r>
      <w:r w:rsidRPr="004858D5">
        <w:rPr>
          <w:color w:val="000000"/>
        </w:rPr>
        <w:t>zo</w:t>
      </w:r>
      <w:r w:rsidRPr="004858D5">
        <w:rPr>
          <w:color w:val="000000"/>
          <w:spacing w:val="13"/>
        </w:rPr>
        <w:t xml:space="preserve"> </w:t>
      </w:r>
      <w:r w:rsidRPr="004858D5">
        <w:rPr>
          <w:color w:val="000000"/>
        </w:rPr>
        <w:t>17.</w:t>
      </w:r>
      <w:r w:rsidRPr="004858D5">
        <w:rPr>
          <w:color w:val="000000"/>
          <w:spacing w:val="13"/>
        </w:rPr>
        <w:t xml:space="preserve"> </w:t>
      </w:r>
      <w:r w:rsidRPr="004858D5">
        <w:rPr>
          <w:color w:val="000000"/>
        </w:rPr>
        <w:t>mája</w:t>
      </w:r>
      <w:r w:rsidRPr="004858D5">
        <w:rPr>
          <w:color w:val="000000"/>
          <w:spacing w:val="13"/>
        </w:rPr>
        <w:t xml:space="preserve"> </w:t>
      </w:r>
      <w:r w:rsidRPr="004858D5">
        <w:rPr>
          <w:color w:val="000000"/>
        </w:rPr>
        <w:t>2006</w:t>
      </w:r>
      <w:r w:rsidRPr="004858D5">
        <w:rPr>
          <w:color w:val="000000"/>
          <w:spacing w:val="13"/>
        </w:rPr>
        <w:t xml:space="preserve"> </w:t>
      </w:r>
      <w:r w:rsidRPr="004858D5">
        <w:rPr>
          <w:color w:val="000000"/>
        </w:rPr>
        <w:t>o</w:t>
      </w:r>
      <w:r w:rsidRPr="004858D5">
        <w:rPr>
          <w:color w:val="000000"/>
          <w:spacing w:val="13"/>
        </w:rPr>
        <w:t xml:space="preserve"> </w:t>
      </w:r>
      <w:r w:rsidRPr="004858D5">
        <w:rPr>
          <w:color w:val="000000"/>
        </w:rPr>
        <w:t>štatutárnom audite</w:t>
      </w:r>
      <w:r w:rsidRPr="004858D5">
        <w:rPr>
          <w:color w:val="000000"/>
          <w:spacing w:val="20"/>
        </w:rPr>
        <w:t xml:space="preserve"> </w:t>
      </w:r>
      <w:r w:rsidRPr="004858D5">
        <w:rPr>
          <w:color w:val="000000"/>
        </w:rPr>
        <w:t>ročných</w:t>
      </w:r>
      <w:r w:rsidRPr="004858D5">
        <w:rPr>
          <w:color w:val="000000"/>
          <w:spacing w:val="20"/>
        </w:rPr>
        <w:t xml:space="preserve"> </w:t>
      </w:r>
      <w:r w:rsidRPr="004858D5">
        <w:rPr>
          <w:color w:val="000000"/>
        </w:rPr>
        <w:t>účtovných</w:t>
      </w:r>
      <w:r w:rsidRPr="004858D5">
        <w:rPr>
          <w:color w:val="000000"/>
          <w:spacing w:val="20"/>
        </w:rPr>
        <w:t xml:space="preserve"> </w:t>
      </w:r>
      <w:r w:rsidRPr="004858D5">
        <w:rPr>
          <w:color w:val="000000"/>
        </w:rPr>
        <w:t>závierok</w:t>
      </w:r>
      <w:r w:rsidRPr="004858D5">
        <w:rPr>
          <w:color w:val="000000"/>
          <w:spacing w:val="20"/>
        </w:rPr>
        <w:t xml:space="preserve"> </w:t>
      </w:r>
      <w:r w:rsidRPr="004858D5">
        <w:rPr>
          <w:color w:val="000000"/>
        </w:rPr>
        <w:t>a</w:t>
      </w:r>
      <w:r w:rsidRPr="004858D5">
        <w:rPr>
          <w:color w:val="000000"/>
          <w:spacing w:val="20"/>
        </w:rPr>
        <w:t xml:space="preserve"> </w:t>
      </w:r>
      <w:r w:rsidRPr="004858D5">
        <w:rPr>
          <w:color w:val="000000"/>
        </w:rPr>
        <w:t>konsolidovaných</w:t>
      </w:r>
      <w:r w:rsidRPr="004858D5">
        <w:rPr>
          <w:color w:val="000000"/>
          <w:spacing w:val="20"/>
        </w:rPr>
        <w:t xml:space="preserve"> </w:t>
      </w:r>
      <w:r w:rsidRPr="004858D5">
        <w:rPr>
          <w:color w:val="000000"/>
        </w:rPr>
        <w:t>účtovných</w:t>
      </w:r>
      <w:r w:rsidRPr="004858D5">
        <w:rPr>
          <w:color w:val="000000"/>
          <w:spacing w:val="20"/>
        </w:rPr>
        <w:t xml:space="preserve"> </w:t>
      </w:r>
      <w:r w:rsidRPr="004858D5">
        <w:rPr>
          <w:color w:val="000000"/>
        </w:rPr>
        <w:t>závierok,</w:t>
      </w:r>
      <w:r w:rsidRPr="004858D5">
        <w:rPr>
          <w:color w:val="000000"/>
          <w:spacing w:val="20"/>
        </w:rPr>
        <w:t xml:space="preserve"> </w:t>
      </w:r>
      <w:r w:rsidRPr="004858D5">
        <w:rPr>
          <w:color w:val="000000"/>
        </w:rPr>
        <w:t>ktorou</w:t>
      </w:r>
      <w:r w:rsidRPr="004858D5">
        <w:rPr>
          <w:color w:val="000000"/>
          <w:spacing w:val="20"/>
        </w:rPr>
        <w:t xml:space="preserve"> </w:t>
      </w:r>
      <w:r w:rsidRPr="004858D5">
        <w:rPr>
          <w:color w:val="000000"/>
        </w:rPr>
        <w:t>sa menia</w:t>
      </w:r>
      <w:r w:rsidRPr="004858D5">
        <w:rPr>
          <w:color w:val="000000"/>
          <w:spacing w:val="63"/>
        </w:rPr>
        <w:t xml:space="preserve"> </w:t>
      </w:r>
      <w:r w:rsidRPr="004858D5">
        <w:rPr>
          <w:color w:val="000000"/>
        </w:rPr>
        <w:t>a</w:t>
      </w:r>
      <w:r w:rsidRPr="004858D5">
        <w:rPr>
          <w:color w:val="000000"/>
          <w:spacing w:val="63"/>
        </w:rPr>
        <w:t xml:space="preserve"> </w:t>
      </w:r>
      <w:r w:rsidRPr="004858D5">
        <w:rPr>
          <w:color w:val="000000"/>
        </w:rPr>
        <w:t>dopĺňajú</w:t>
      </w:r>
      <w:r w:rsidRPr="004858D5">
        <w:rPr>
          <w:color w:val="000000"/>
          <w:spacing w:val="63"/>
        </w:rPr>
        <w:t xml:space="preserve"> </w:t>
      </w:r>
      <w:r w:rsidRPr="004858D5">
        <w:rPr>
          <w:color w:val="000000"/>
        </w:rPr>
        <w:t>smernice</w:t>
      </w:r>
      <w:r w:rsidRPr="004858D5">
        <w:rPr>
          <w:color w:val="000000"/>
          <w:spacing w:val="63"/>
        </w:rPr>
        <w:t xml:space="preserve"> </w:t>
      </w:r>
      <w:r w:rsidRPr="004858D5">
        <w:rPr>
          <w:color w:val="000000"/>
        </w:rPr>
        <w:t>Rady</w:t>
      </w:r>
      <w:r w:rsidRPr="004858D5">
        <w:rPr>
          <w:color w:val="000000"/>
          <w:spacing w:val="63"/>
        </w:rPr>
        <w:t xml:space="preserve"> </w:t>
      </w:r>
      <w:r w:rsidRPr="004858D5">
        <w:rPr>
          <w:color w:val="000000"/>
        </w:rPr>
        <w:t>78/660/EHS</w:t>
      </w:r>
      <w:r w:rsidRPr="004858D5">
        <w:rPr>
          <w:color w:val="000000"/>
          <w:spacing w:val="63"/>
        </w:rPr>
        <w:t xml:space="preserve"> </w:t>
      </w:r>
      <w:r w:rsidRPr="004858D5">
        <w:rPr>
          <w:color w:val="000000"/>
        </w:rPr>
        <w:t>a</w:t>
      </w:r>
      <w:r w:rsidRPr="004858D5">
        <w:rPr>
          <w:color w:val="000000"/>
          <w:spacing w:val="63"/>
        </w:rPr>
        <w:t xml:space="preserve"> </w:t>
      </w:r>
      <w:r w:rsidRPr="004858D5">
        <w:rPr>
          <w:color w:val="000000"/>
        </w:rPr>
        <w:t>83/349/EHS</w:t>
      </w:r>
      <w:r w:rsidRPr="004858D5">
        <w:rPr>
          <w:color w:val="000000"/>
          <w:spacing w:val="63"/>
        </w:rPr>
        <w:t xml:space="preserve"> </w:t>
      </w:r>
      <w:r w:rsidRPr="004858D5">
        <w:rPr>
          <w:color w:val="000000"/>
        </w:rPr>
        <w:t>a ktorou sa zrušuje smernica Rady 84/253/EHS (Ú. v. EÚ L 157, 9. 6. 2006) v platnom znení, gestor: MF SR,</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 smernica Európskeho parlamentu a Rady 2007/36/ES z  11. júla 2007 o výkone určitých práv akcionárov spoločností registrovaných na regulovanom trhu (Ú. v. EÚ L 184, 14.7.2007) v platnom znení, gestor: MS SR, </w:t>
      </w:r>
      <w:proofErr w:type="spellStart"/>
      <w:r w:rsidRPr="004858D5">
        <w:rPr>
          <w:color w:val="000000"/>
        </w:rPr>
        <w:t>spolugestor</w:t>
      </w:r>
      <w:proofErr w:type="spellEnd"/>
      <w:r w:rsidRPr="004858D5">
        <w:rPr>
          <w:color w:val="000000"/>
        </w:rPr>
        <w:t>: MF SR, NBÚ,</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2009/65/ES z 13. júla 2009 o koordinácii zákonov, iných právnych predpisov a správnych opatrení týkajúcich sa podnikov kolektívneho investovania do prevoditeľných cenných papierov (PKIPCP) (prepracované znenie) (Ú. v. EÚ L 302, 17.11.2009)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2009/138/ES z 25. novembra 2009 o začatí a vykonávaní poistenia a zaistenia (Solventnosť II) (prepracované znenie) (Ú. v. EÚ L 335, 17.12.2009)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2011/61/EÚ z  8. júna 2011 o správcoch alternatívnych investičných fondov a o zmene a doplnení smerníc 2003/41/ES a 2009/65/ES a nariadení (ES) č. 1060/2009 a (EÚ) č. 1095/2010 (Ú. v. EÚ L 174, 1.7.2011) v platnom znení, gestor: MF SR, </w:t>
      </w:r>
      <w:proofErr w:type="spellStart"/>
      <w:r w:rsidRPr="004858D5">
        <w:rPr>
          <w:color w:val="000000"/>
        </w:rPr>
        <w:t>spolugestor</w:t>
      </w:r>
      <w:proofErr w:type="spellEnd"/>
      <w:r w:rsidRPr="004858D5">
        <w:rPr>
          <w:color w:val="000000"/>
        </w:rPr>
        <w:t>: NBS, MPSVR SR,</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smernica</w:t>
      </w:r>
      <w:r w:rsidRPr="004858D5">
        <w:rPr>
          <w:color w:val="000000"/>
          <w:spacing w:val="56"/>
        </w:rPr>
        <w:t xml:space="preserve"> </w:t>
      </w:r>
      <w:r w:rsidRPr="004858D5">
        <w:rPr>
          <w:color w:val="000000"/>
        </w:rPr>
        <w:t>Európskeho</w:t>
      </w:r>
      <w:r w:rsidRPr="004858D5">
        <w:rPr>
          <w:color w:val="000000"/>
          <w:spacing w:val="56"/>
        </w:rPr>
        <w:t xml:space="preserve"> </w:t>
      </w:r>
      <w:r w:rsidRPr="004858D5">
        <w:rPr>
          <w:color w:val="000000"/>
        </w:rPr>
        <w:t>parlamentu</w:t>
      </w:r>
      <w:r w:rsidRPr="004858D5">
        <w:rPr>
          <w:color w:val="000000"/>
          <w:spacing w:val="56"/>
        </w:rPr>
        <w:t xml:space="preserve"> </w:t>
      </w:r>
      <w:r w:rsidRPr="004858D5">
        <w:rPr>
          <w:color w:val="000000"/>
        </w:rPr>
        <w:t>a</w:t>
      </w:r>
      <w:r w:rsidRPr="004858D5">
        <w:rPr>
          <w:color w:val="000000"/>
          <w:spacing w:val="56"/>
        </w:rPr>
        <w:t xml:space="preserve"> </w:t>
      </w:r>
      <w:r w:rsidRPr="004858D5">
        <w:rPr>
          <w:color w:val="000000"/>
        </w:rPr>
        <w:t>Rady</w:t>
      </w:r>
      <w:r w:rsidRPr="004858D5">
        <w:rPr>
          <w:color w:val="000000"/>
          <w:spacing w:val="56"/>
        </w:rPr>
        <w:t xml:space="preserve"> </w:t>
      </w:r>
      <w:r w:rsidRPr="004858D5">
        <w:rPr>
          <w:color w:val="000000"/>
        </w:rPr>
        <w:t>2013/34/EÚ</w:t>
      </w:r>
      <w:r w:rsidRPr="004858D5">
        <w:rPr>
          <w:color w:val="000000"/>
          <w:spacing w:val="56"/>
        </w:rPr>
        <w:t xml:space="preserve"> </w:t>
      </w:r>
      <w:r w:rsidRPr="004858D5">
        <w:rPr>
          <w:color w:val="000000"/>
        </w:rPr>
        <w:t>z</w:t>
      </w:r>
      <w:r w:rsidRPr="004858D5">
        <w:rPr>
          <w:color w:val="000000"/>
          <w:spacing w:val="56"/>
        </w:rPr>
        <w:t xml:space="preserve"> </w:t>
      </w:r>
      <w:r w:rsidRPr="004858D5">
        <w:rPr>
          <w:color w:val="000000"/>
        </w:rPr>
        <w:t>26.</w:t>
      </w:r>
      <w:r w:rsidRPr="004858D5">
        <w:rPr>
          <w:color w:val="000000"/>
          <w:spacing w:val="56"/>
        </w:rPr>
        <w:t xml:space="preserve"> </w:t>
      </w:r>
      <w:r w:rsidRPr="004858D5">
        <w:rPr>
          <w:color w:val="000000"/>
        </w:rPr>
        <w:t>júna</w:t>
      </w:r>
      <w:r w:rsidRPr="004858D5">
        <w:rPr>
          <w:color w:val="000000"/>
          <w:spacing w:val="56"/>
        </w:rPr>
        <w:t xml:space="preserve"> </w:t>
      </w:r>
      <w:r w:rsidRPr="004858D5">
        <w:rPr>
          <w:color w:val="000000"/>
        </w:rPr>
        <w:t>2013</w:t>
      </w:r>
      <w:r w:rsidRPr="004858D5">
        <w:rPr>
          <w:color w:val="000000"/>
          <w:spacing w:val="56"/>
        </w:rPr>
        <w:t xml:space="preserve"> </w:t>
      </w:r>
      <w:r w:rsidRPr="004858D5">
        <w:rPr>
          <w:color w:val="000000"/>
        </w:rPr>
        <w:t>o</w:t>
      </w:r>
      <w:r w:rsidRPr="004858D5">
        <w:rPr>
          <w:color w:val="000000"/>
          <w:spacing w:val="56"/>
        </w:rPr>
        <w:t xml:space="preserve"> </w:t>
      </w:r>
      <w:r w:rsidRPr="004858D5">
        <w:rPr>
          <w:color w:val="000000"/>
        </w:rPr>
        <w:t>ročných účtovných závierkach, konsolidovaných účtovných závierkach a súvisiacich správach určitých druhov podnikov, ktorou sa mení smernica Európskeho parlamentu a Rady 2006/43/ES a zrušujú smernice Rady 78/660/EHS a 83/349/EHS (Ú. v. EÚ L 182, 29.6.2013) v platnom znení, gestor: MF SR,</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2013/36/EÚ z  26. júna 2013 o prístupe k činnosti úverových inštitúcií a </w:t>
      </w:r>
      <w:proofErr w:type="spellStart"/>
      <w:r w:rsidRPr="004858D5">
        <w:rPr>
          <w:color w:val="000000"/>
        </w:rPr>
        <w:t>prudenciálnom</w:t>
      </w:r>
      <w:proofErr w:type="spellEnd"/>
      <w:r w:rsidRPr="004858D5">
        <w:rPr>
          <w:color w:val="000000"/>
        </w:rPr>
        <w:t xml:space="preserve"> dohľade nad úverovými inštitúciami, o zmene smernice 2002/87/ES a o zrušení smerníc 2006/48/ES a 2006/49/ES (Ú. v. EÚ L 176, 27.6.2013) v platnom znení, gestor: MF SR, </w:t>
      </w:r>
      <w:proofErr w:type="spellStart"/>
      <w:r w:rsidRPr="004858D5">
        <w:rPr>
          <w:color w:val="000000"/>
        </w:rPr>
        <w:t>spolugestor</w:t>
      </w:r>
      <w:proofErr w:type="spellEnd"/>
      <w:r w:rsidRPr="004858D5">
        <w:rPr>
          <w:color w:val="000000"/>
        </w:rPr>
        <w:t xml:space="preserve">: NBS, </w:t>
      </w:r>
    </w:p>
    <w:p w:rsidR="007312CB" w:rsidRPr="004858D5" w:rsidRDefault="007312CB" w:rsidP="007312CB">
      <w:pPr>
        <w:pStyle w:val="Odsekzoznamu"/>
        <w:ind w:left="709"/>
        <w:jc w:val="both"/>
        <w:rPr>
          <w:color w:val="000000"/>
        </w:rPr>
      </w:pP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lastRenderedPageBreak/>
        <w:t xml:space="preserve">smernica Európskeho parlamentu a Rady 2014/65/EÚ z 15. mája 2014 o trhoch s finančnými nástrojmi, ktorou sa mení smernica 2002/92/ES a smernica 2011/61/EÚ (prepracované znenie) (Ú. v. EÚ L 173, 12.6.2014)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rPr>
          <w:color w:val="000000"/>
        </w:rPr>
        <w:t xml:space="preserve">smernica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jc w:val="both"/>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(EÚ) 2016/97 z 20. januára 2016 o distribúcii poistenia (prepracované znenie) (Ú. v. EÚ L 26, 2.2.2016) v platnom znení, gestor: MF SR, </w:t>
      </w:r>
      <w:proofErr w:type="spellStart"/>
      <w:r w:rsidR="001A7768" w:rsidRPr="004858D5">
        <w:rPr>
          <w:color w:val="000000"/>
        </w:rPr>
        <w:t>spolugestor</w:t>
      </w:r>
      <w:proofErr w:type="spellEnd"/>
      <w:r w:rsidR="001A7768" w:rsidRPr="004858D5">
        <w:rPr>
          <w:color w:val="000000"/>
        </w:rPr>
        <w:t xml:space="preserve">: </w:t>
      </w:r>
      <w:r w:rsidRPr="004858D5">
        <w:rPr>
          <w:color w:val="000000"/>
        </w:rPr>
        <w:t>NBS,</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rPr>
          <w:color w:val="000000"/>
        </w:rPr>
        <w:t xml:space="preserve">smernica Európskeho parlamentu a Rady (EÚ) 2016/2341 zo 14. decembra 2016 o činnostiach inštitúcií zamestnaneckého dôchodkového zabezpečenia (IZDZ) a o dohľade nad nimi (prepracované znenie) (Ú. v. EÚ L 354, 23.12.2016) v platnom znení, gestor: MPSVR SR, </w:t>
      </w:r>
      <w:proofErr w:type="spellStart"/>
      <w:r w:rsidRPr="004858D5">
        <w:rPr>
          <w:color w:val="000000"/>
        </w:rPr>
        <w:t>spolugestor</w:t>
      </w:r>
      <w:proofErr w:type="spellEnd"/>
      <w:r w:rsidRPr="004858D5">
        <w:rPr>
          <w:color w:val="000000"/>
        </w:rPr>
        <w:t>: MF SR, NBS,</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(EÚ) 2017/828 zo 17. mája 2017, ktorou sa mení smernica 2007/36/ES, pokiaľ ide o podnietenie dlhodobého zapojenia akcionárov (Ú. v. EÚ L 132, 20.5.2017), gestor: MS SR, </w:t>
      </w:r>
      <w:proofErr w:type="spellStart"/>
      <w:r w:rsidRPr="004858D5">
        <w:rPr>
          <w:color w:val="000000"/>
        </w:rPr>
        <w:t>spolugestor</w:t>
      </w:r>
      <w:proofErr w:type="spellEnd"/>
      <w:r w:rsidRPr="004858D5">
        <w:rPr>
          <w:color w:val="000000"/>
        </w:rPr>
        <w:t xml:space="preserve">: MF SR, </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w:t>
      </w:r>
      <w:r w:rsidRPr="004858D5">
        <w:t xml:space="preserve">(EÚ) 2017/1132 zo 14. júna 2017 týkajúca sa niektorých aspektov práva obchodných spoločností (kodifikované znenie) (Ú. v. EÚ L 169, 30. 6. 2017) v platnom znení, gestor: MS SR, </w:t>
      </w:r>
      <w:proofErr w:type="spellStart"/>
      <w:r w:rsidRPr="004858D5">
        <w:rPr>
          <w:color w:val="000000"/>
        </w:rPr>
        <w:t>spolugestor</w:t>
      </w:r>
      <w:proofErr w:type="spellEnd"/>
      <w:r w:rsidRPr="004858D5">
        <w:rPr>
          <w:color w:val="000000"/>
        </w:rPr>
        <w:t xml:space="preserve">: MF SR, </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(EÚ) 2019/2034 z 27. novembra 2019 o </w:t>
      </w:r>
      <w:proofErr w:type="spellStart"/>
      <w:r w:rsidRPr="004858D5">
        <w:rPr>
          <w:color w:val="000000"/>
        </w:rPr>
        <w:t>prudenciálnom</w:t>
      </w:r>
      <w:proofErr w:type="spellEnd"/>
      <w:r w:rsidRPr="004858D5">
        <w:rPr>
          <w:color w:val="000000"/>
        </w:rPr>
        <w:t xml:space="preserve"> dohľade nad investičnými spoločnosťami a o zmene smerníc 2002/87/ES, 2009/65/ES, 2011/61/EÚ, 2013/36/EÚ, 2014/59/EÚ a 2014/65/EÚ (Ú. v. EÚ L 314, 5.12.2019)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 xml:space="preserve">smernica Európskeho Parlamentu a Rady (EÚ) 2019/2162 z 27. novembra 2019 o emisii krytých dlhopisov a verejnom dohľade nad krytými dlhopismi a ktorou sa menia smernice 2009/65/ES a 2014/59/EÚ (Ú. v. EÚ L 328, 18.12.2019) v platnom znení, gestor: MF SR, </w:t>
      </w:r>
      <w:proofErr w:type="spellStart"/>
      <w:r w:rsidRPr="004858D5">
        <w:rPr>
          <w:color w:val="000000"/>
        </w:rPr>
        <w:t>spolugestor</w:t>
      </w:r>
      <w:proofErr w:type="spellEnd"/>
      <w:r w:rsidRPr="004858D5">
        <w:rPr>
          <w:color w:val="000000"/>
        </w:rPr>
        <w:t>: NBS,</w:t>
      </w:r>
    </w:p>
    <w:p w:rsidR="007312CB" w:rsidRPr="004858D5" w:rsidRDefault="007312CB" w:rsidP="007312CB">
      <w:pPr>
        <w:pStyle w:val="Odsekzoznamu"/>
        <w:ind w:left="709"/>
        <w:jc w:val="both"/>
        <w:rPr>
          <w:color w:val="000000"/>
        </w:rPr>
      </w:pPr>
    </w:p>
    <w:p w:rsidR="007312CB" w:rsidRDefault="00640E9D" w:rsidP="00640E9D">
      <w:pPr>
        <w:pStyle w:val="Odsekzoznamu"/>
        <w:numPr>
          <w:ilvl w:val="0"/>
          <w:numId w:val="14"/>
        </w:numPr>
        <w:ind w:left="709" w:hanging="283"/>
        <w:jc w:val="both"/>
        <w:rPr>
          <w:color w:val="000000"/>
        </w:rPr>
      </w:pPr>
      <w:r>
        <w:rPr>
          <w:color w:val="000000"/>
        </w:rPr>
        <w:t>smernica Európskeho parlamentu a Rady</w:t>
      </w:r>
      <w:r w:rsidRPr="00640E9D">
        <w:rPr>
          <w:color w:val="000000"/>
        </w:rPr>
        <w:t xml:space="preserve"> (EÚ) 2021/2101 z 24. novembra 2021, ktorou sa mení smernica 2013/34/EÚ, pokiaľ ide o zverejňovanie informácií o dani z príjmov určitými podnikmi a pobočkami (Ú. v. EÚ L 429, 1.12.2021)</w:t>
      </w:r>
      <w:r>
        <w:rPr>
          <w:color w:val="000000"/>
        </w:rPr>
        <w:t>, gestor: MF SR,</w:t>
      </w:r>
    </w:p>
    <w:p w:rsidR="00640E9D" w:rsidRPr="004858D5" w:rsidRDefault="00640E9D" w:rsidP="007312CB">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gestor: MF SR, NBS,</w:t>
      </w:r>
    </w:p>
    <w:p w:rsidR="00B12995" w:rsidRPr="004858D5" w:rsidRDefault="00B12995" w:rsidP="00B12995">
      <w:pPr>
        <w:pStyle w:val="Odsekzoznamu"/>
        <w:ind w:left="709"/>
        <w:jc w:val="both"/>
        <w:rPr>
          <w:color w:val="000000"/>
        </w:rPr>
      </w:pPr>
    </w:p>
    <w:p w:rsidR="007312CB" w:rsidRPr="004858D5" w:rsidRDefault="007312CB" w:rsidP="007312CB">
      <w:pPr>
        <w:pStyle w:val="Odsekzoznamu"/>
        <w:numPr>
          <w:ilvl w:val="0"/>
          <w:numId w:val="14"/>
        </w:numPr>
        <w:ind w:left="709" w:hanging="283"/>
        <w:jc w:val="both"/>
        <w:rPr>
          <w:color w:val="000000"/>
        </w:rPr>
      </w:pPr>
      <w:r w:rsidRPr="004858D5">
        <w:rPr>
          <w:color w:val="000000"/>
        </w:rPr>
        <w:lastRenderedPageBreak/>
        <w:t>nariadenie Európskeho parlamentu a Rady (EÚ) 2023/2869 z 13. decembra 2023, ktorým sa menia určité nariadenia, pokiaľ ide o zriadenie a fungovanie jednotného európskeho miesta prístupu (Ú. v. EÚ L, 2023/2869, 20.12.2023), gestor: MF SR, NBS,</w:t>
      </w:r>
    </w:p>
    <w:p w:rsidR="00B12995" w:rsidRPr="004858D5" w:rsidRDefault="00B12995" w:rsidP="00B12995">
      <w:pPr>
        <w:pStyle w:val="Odsekzoznamu"/>
        <w:ind w:left="709"/>
        <w:jc w:val="both"/>
        <w:rPr>
          <w:color w:val="000000"/>
        </w:rPr>
      </w:pPr>
    </w:p>
    <w:p w:rsidR="007312CB" w:rsidRPr="004858D5" w:rsidRDefault="007312CB" w:rsidP="007312CB">
      <w:pPr>
        <w:pStyle w:val="Odsekzoznamu"/>
        <w:numPr>
          <w:ilvl w:val="0"/>
          <w:numId w:val="14"/>
        </w:numPr>
        <w:ind w:left="709" w:hanging="283"/>
        <w:jc w:val="both"/>
      </w:pPr>
      <w:r w:rsidRPr="004858D5">
        <w:t xml:space="preserve">nariadenie Európskeho parlamentu a Rady (EÚ) č. 537/2014 zo 16. apríla 2014 o osobitných požiadavkách týkajúcich sa štatutárneho auditu subjektov verejného záujmu a zrušení rozhodnutia Komisie 2005/909/ES </w:t>
      </w:r>
      <w:r w:rsidRPr="004858D5">
        <w:rPr>
          <w:color w:val="000000"/>
        </w:rPr>
        <w:t>(Ú.</w:t>
      </w:r>
      <w:r w:rsidRPr="004858D5">
        <w:rPr>
          <w:color w:val="000000"/>
          <w:spacing w:val="-8"/>
        </w:rPr>
        <w:t xml:space="preserve"> </w:t>
      </w:r>
      <w:r w:rsidRPr="004858D5">
        <w:rPr>
          <w:color w:val="000000"/>
        </w:rPr>
        <w:t>v.</w:t>
      </w:r>
      <w:r w:rsidRPr="004858D5">
        <w:rPr>
          <w:color w:val="000000"/>
          <w:spacing w:val="-8"/>
        </w:rPr>
        <w:t xml:space="preserve"> </w:t>
      </w:r>
      <w:r w:rsidRPr="004858D5">
        <w:rPr>
          <w:color w:val="000000"/>
        </w:rPr>
        <w:t>EÚ</w:t>
      </w:r>
      <w:r w:rsidRPr="004858D5">
        <w:rPr>
          <w:color w:val="000000"/>
          <w:spacing w:val="-8"/>
        </w:rPr>
        <w:t xml:space="preserve"> </w:t>
      </w:r>
      <w:r w:rsidRPr="004858D5">
        <w:rPr>
          <w:color w:val="000000"/>
        </w:rPr>
        <w:t>L</w:t>
      </w:r>
      <w:r w:rsidRPr="004858D5">
        <w:rPr>
          <w:color w:val="000000"/>
          <w:spacing w:val="-8"/>
        </w:rPr>
        <w:t xml:space="preserve"> 158</w:t>
      </w:r>
      <w:r w:rsidRPr="004858D5">
        <w:rPr>
          <w:color w:val="000000"/>
        </w:rPr>
        <w:t>,</w:t>
      </w:r>
      <w:r w:rsidRPr="004858D5">
        <w:rPr>
          <w:color w:val="000000"/>
          <w:spacing w:val="-8"/>
        </w:rPr>
        <w:t xml:space="preserve"> </w:t>
      </w:r>
      <w:r w:rsidRPr="004858D5">
        <w:rPr>
          <w:color w:val="000000"/>
        </w:rPr>
        <w:t xml:space="preserve">27.5.2014) v platnom znení, gestor MF SR, </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t xml:space="preserve">delegované nariadenie Komisie (EÚ) 2019/815 zo 17. decembra 2018, ktorým sa dopĺňa smernica Európskeho parlamentu a Rady (EÚ) 2004/109/ES, pokiaľ ide o regulačné technické predpisy o špecifikácii jednotného elektronického formátu vykazovania </w:t>
      </w:r>
      <w:r w:rsidRPr="004858D5">
        <w:rPr>
          <w:color w:val="000000"/>
        </w:rPr>
        <w:t>(Ú.</w:t>
      </w:r>
      <w:r w:rsidRPr="004858D5">
        <w:rPr>
          <w:color w:val="000000"/>
          <w:spacing w:val="-8"/>
        </w:rPr>
        <w:t xml:space="preserve"> </w:t>
      </w:r>
      <w:r w:rsidRPr="004858D5">
        <w:rPr>
          <w:color w:val="000000"/>
        </w:rPr>
        <w:t>v.</w:t>
      </w:r>
      <w:r w:rsidRPr="004858D5">
        <w:rPr>
          <w:color w:val="000000"/>
          <w:spacing w:val="-8"/>
        </w:rPr>
        <w:t xml:space="preserve"> </w:t>
      </w:r>
      <w:r w:rsidRPr="004858D5">
        <w:rPr>
          <w:color w:val="000000"/>
        </w:rPr>
        <w:t>EÚ</w:t>
      </w:r>
      <w:r w:rsidRPr="004858D5">
        <w:rPr>
          <w:color w:val="000000"/>
          <w:spacing w:val="-8"/>
        </w:rPr>
        <w:t xml:space="preserve"> </w:t>
      </w:r>
      <w:r w:rsidRPr="004858D5">
        <w:rPr>
          <w:color w:val="000000"/>
        </w:rPr>
        <w:t>L</w:t>
      </w:r>
      <w:r w:rsidRPr="004858D5">
        <w:rPr>
          <w:color w:val="000000"/>
          <w:spacing w:val="-8"/>
        </w:rPr>
        <w:t xml:space="preserve"> 143</w:t>
      </w:r>
      <w:r w:rsidRPr="004858D5">
        <w:rPr>
          <w:color w:val="000000"/>
        </w:rPr>
        <w:t>,</w:t>
      </w:r>
      <w:r w:rsidRPr="004858D5">
        <w:rPr>
          <w:color w:val="000000"/>
          <w:spacing w:val="-8"/>
        </w:rPr>
        <w:t xml:space="preserve"> 29</w:t>
      </w:r>
      <w:r w:rsidRPr="004858D5">
        <w:rPr>
          <w:color w:val="000000"/>
        </w:rPr>
        <w:t>.5.2019) v platnom znení,</w:t>
      </w:r>
      <w:r w:rsidRPr="004858D5">
        <w:rPr>
          <w:color w:val="000000"/>
          <w:spacing w:val="-8"/>
        </w:rPr>
        <w:t xml:space="preserve"> </w:t>
      </w:r>
      <w:r w:rsidRPr="004858D5">
        <w:rPr>
          <w:color w:val="000000"/>
        </w:rPr>
        <w:t>gestori: MF SR, NBS,</w:t>
      </w:r>
    </w:p>
    <w:p w:rsidR="007312CB" w:rsidRPr="004858D5" w:rsidRDefault="007312CB" w:rsidP="007312CB">
      <w:pPr>
        <w:pStyle w:val="Odsekzoznamu"/>
        <w:ind w:left="709"/>
        <w:jc w:val="both"/>
      </w:pPr>
    </w:p>
    <w:p w:rsidR="007312CB" w:rsidRPr="004858D5" w:rsidRDefault="007312CB" w:rsidP="007312CB">
      <w:pPr>
        <w:pStyle w:val="Odsekzoznamu"/>
        <w:numPr>
          <w:ilvl w:val="0"/>
          <w:numId w:val="14"/>
        </w:numPr>
        <w:ind w:left="709" w:hanging="283"/>
        <w:jc w:val="both"/>
      </w:pPr>
      <w:r w:rsidRPr="004858D5">
        <w:t xml:space="preserve">nariadenie Európskeho parlamentu a Rady (EÚ) 2020/852 z 18. júna 2020 o vytvorení rámca na uľahčenie udržateľných investícií a o zmene naradenia (EÚ) 2019/2088 </w:t>
      </w:r>
      <w:r w:rsidRPr="004858D5">
        <w:rPr>
          <w:color w:val="000000"/>
        </w:rPr>
        <w:t>(Ú. v. EÚ L 198, 22.6.2020), gestori: MF SR, NBS.</w:t>
      </w:r>
    </w:p>
    <w:p w:rsidR="007312CB" w:rsidRPr="004858D5" w:rsidRDefault="007312CB" w:rsidP="007312CB">
      <w:pPr>
        <w:pStyle w:val="Odsekzoznamu"/>
        <w:ind w:left="1117"/>
        <w:jc w:val="both"/>
      </w:pPr>
    </w:p>
    <w:p w:rsidR="007312CB" w:rsidRPr="004858D5" w:rsidRDefault="007312CB" w:rsidP="007312CB">
      <w:pPr>
        <w:pStyle w:val="Normlnywebov"/>
        <w:numPr>
          <w:ilvl w:val="0"/>
          <w:numId w:val="15"/>
        </w:numPr>
        <w:spacing w:before="0" w:beforeAutospacing="0" w:after="0" w:afterAutospacing="0"/>
        <w:ind w:left="754" w:hanging="357"/>
        <w:jc w:val="both"/>
      </w:pPr>
      <w:r w:rsidRPr="004858D5">
        <w:t>Judikatúra Súdneho dvora Európskej únie:</w:t>
      </w:r>
    </w:p>
    <w:p w:rsidR="007312CB" w:rsidRPr="004858D5" w:rsidRDefault="007312CB" w:rsidP="007312CB">
      <w:pPr>
        <w:pStyle w:val="Normlnywebov"/>
        <w:spacing w:before="0" w:beforeAutospacing="0" w:after="0" w:afterAutospacing="0"/>
        <w:ind w:left="754"/>
        <w:jc w:val="both"/>
      </w:pPr>
    </w:p>
    <w:p w:rsidR="007312CB" w:rsidRPr="004858D5" w:rsidRDefault="007312CB" w:rsidP="007312CB">
      <w:pPr>
        <w:pStyle w:val="Normlnywebov"/>
        <w:numPr>
          <w:ilvl w:val="0"/>
          <w:numId w:val="16"/>
        </w:numPr>
        <w:spacing w:before="0" w:beforeAutospacing="0" w:after="120" w:afterAutospacing="0"/>
        <w:ind w:left="709" w:hanging="283"/>
        <w:jc w:val="both"/>
      </w:pPr>
      <w:r w:rsidRPr="004858D5">
        <w:t xml:space="preserve">rozhodnutie Súdneho dvora vo veci C - 206/16, </w:t>
      </w:r>
      <w:proofErr w:type="spellStart"/>
      <w:r w:rsidRPr="004858D5">
        <w:t>Marco</w:t>
      </w:r>
      <w:proofErr w:type="spellEnd"/>
      <w:r w:rsidRPr="004858D5">
        <w:t xml:space="preserve"> </w:t>
      </w:r>
      <w:proofErr w:type="spellStart"/>
      <w:r w:rsidRPr="004858D5">
        <w:t>Tronchetti</w:t>
      </w:r>
      <w:proofErr w:type="spellEnd"/>
      <w:r w:rsidRPr="004858D5">
        <w:t xml:space="preserve"> </w:t>
      </w:r>
      <w:proofErr w:type="spellStart"/>
      <w:r w:rsidRPr="004858D5">
        <w:t>Provera</w:t>
      </w:r>
      <w:proofErr w:type="spellEnd"/>
      <w:r w:rsidRPr="004858D5">
        <w:t xml:space="preserve"> </w:t>
      </w:r>
      <w:proofErr w:type="spellStart"/>
      <w:r w:rsidRPr="004858D5">
        <w:t>SpA</w:t>
      </w:r>
      <w:proofErr w:type="spellEnd"/>
      <w:r w:rsidRPr="004858D5">
        <w:t xml:space="preserve">, a i. proti </w:t>
      </w:r>
      <w:proofErr w:type="spellStart"/>
      <w:r w:rsidRPr="004858D5">
        <w:t>Commissione</w:t>
      </w:r>
      <w:proofErr w:type="spellEnd"/>
      <w:r w:rsidRPr="004858D5">
        <w:t xml:space="preserve"> </w:t>
      </w:r>
      <w:proofErr w:type="spellStart"/>
      <w:r w:rsidRPr="004858D5">
        <w:t>Nazionale</w:t>
      </w:r>
      <w:proofErr w:type="spellEnd"/>
      <w:r w:rsidRPr="004858D5">
        <w:t xml:space="preserve"> per </w:t>
      </w:r>
      <w:proofErr w:type="spellStart"/>
      <w:r w:rsidRPr="004858D5">
        <w:t>le</w:t>
      </w:r>
      <w:proofErr w:type="spellEnd"/>
      <w:r w:rsidRPr="004858D5">
        <w:t xml:space="preserve"> </w:t>
      </w:r>
      <w:proofErr w:type="spellStart"/>
      <w:r w:rsidRPr="004858D5">
        <w:t>Società</w:t>
      </w:r>
      <w:proofErr w:type="spellEnd"/>
      <w:r w:rsidRPr="004858D5">
        <w:t xml:space="preserve"> e la </w:t>
      </w:r>
      <w:proofErr w:type="spellStart"/>
      <w:r w:rsidRPr="004858D5">
        <w:t>Borsa</w:t>
      </w:r>
      <w:proofErr w:type="spellEnd"/>
      <w:r w:rsidRPr="004858D5">
        <w:t xml:space="preserve"> (</w:t>
      </w:r>
      <w:proofErr w:type="spellStart"/>
      <w:r w:rsidRPr="004858D5">
        <w:t>Consob</w:t>
      </w:r>
      <w:proofErr w:type="spellEnd"/>
      <w:r w:rsidRPr="004858D5">
        <w:t>), [2017].</w:t>
      </w:r>
    </w:p>
    <w:p w:rsidR="007312CB" w:rsidRPr="004858D5" w:rsidRDefault="007312CB" w:rsidP="00A05CFE">
      <w:pPr>
        <w:pStyle w:val="Normlnywebov"/>
        <w:spacing w:after="120"/>
        <w:ind w:left="709"/>
        <w:jc w:val="both"/>
      </w:pPr>
      <w:r w:rsidRPr="004858D5">
        <w:t xml:space="preserve">Výrok rozhodnutia:  </w:t>
      </w:r>
    </w:p>
    <w:p w:rsidR="007312CB" w:rsidRPr="004858D5" w:rsidRDefault="007312CB" w:rsidP="00A05CFE">
      <w:pPr>
        <w:pStyle w:val="Normlnywebov"/>
        <w:spacing w:after="120"/>
        <w:ind w:left="709"/>
        <w:jc w:val="both"/>
      </w:pPr>
      <w:r w:rsidRPr="004858D5">
        <w:t xml:space="preserve">Článok 5 ods. 4 druhý </w:t>
      </w:r>
      <w:proofErr w:type="spellStart"/>
      <w:r w:rsidRPr="004858D5">
        <w:t>pododsek</w:t>
      </w:r>
      <w:proofErr w:type="spellEnd"/>
      <w:r w:rsidRPr="004858D5">
        <w:t xml:space="preserve"> smernice Európskeho parlamentu a Rady 2004/25/ES z 21. apríla 2004 o ponukách na prevzatie sa má vykladať v tom zmysle, že nebráni vnútroštátnej právnej úprave, akou je tá v konaní vo veci samej, ktorá oprávňuje vnútroštátny orgán dohľadu zvýšiť cenu ponuky na prevzatie v prípade „</w:t>
      </w:r>
      <w:proofErr w:type="spellStart"/>
      <w:r w:rsidRPr="004858D5">
        <w:t>kolúzie</w:t>
      </w:r>
      <w:proofErr w:type="spellEnd"/>
      <w:r w:rsidRPr="004858D5">
        <w:t>“, pričom nešpecifikuje konania, ktoré tento pojem charakterizujú, za predpokladu, že výklad uvedeného pojmu možno prostredníctvom výkladových metód uznaných vnútroštátnym právom vyvodiť dostatočne jasným, presným a predvídateľným spôsobom z tejto právnej úpravy.</w:t>
      </w:r>
    </w:p>
    <w:p w:rsidR="007312CB" w:rsidRPr="004858D5" w:rsidRDefault="007312CB" w:rsidP="00A05CFE">
      <w:pPr>
        <w:pStyle w:val="Normlnywebov"/>
        <w:numPr>
          <w:ilvl w:val="0"/>
          <w:numId w:val="16"/>
        </w:numPr>
        <w:spacing w:before="0" w:beforeAutospacing="0" w:after="120" w:afterAutospacing="0"/>
        <w:ind w:left="709" w:hanging="283"/>
        <w:jc w:val="both"/>
      </w:pPr>
      <w:r w:rsidRPr="004858D5">
        <w:t xml:space="preserve">rozsudok Súdneho dvora vo veci C-414/18, </w:t>
      </w:r>
      <w:proofErr w:type="spellStart"/>
      <w:r w:rsidRPr="004858D5">
        <w:t>Iccrea</w:t>
      </w:r>
      <w:proofErr w:type="spellEnd"/>
      <w:r w:rsidRPr="004858D5">
        <w:t xml:space="preserve"> </w:t>
      </w:r>
      <w:proofErr w:type="spellStart"/>
      <w:r w:rsidRPr="004858D5">
        <w:t>Banca</w:t>
      </w:r>
      <w:proofErr w:type="spellEnd"/>
      <w:r w:rsidRPr="004858D5">
        <w:t xml:space="preserve"> </w:t>
      </w:r>
      <w:proofErr w:type="spellStart"/>
      <w:r w:rsidRPr="004858D5">
        <w:t>SpA</w:t>
      </w:r>
      <w:proofErr w:type="spellEnd"/>
      <w:r w:rsidRPr="004858D5">
        <w:t xml:space="preserve"> </w:t>
      </w:r>
      <w:proofErr w:type="spellStart"/>
      <w:r w:rsidRPr="004858D5">
        <w:t>Istituto</w:t>
      </w:r>
      <w:proofErr w:type="spellEnd"/>
      <w:r w:rsidRPr="004858D5">
        <w:t xml:space="preserve"> </w:t>
      </w:r>
      <w:proofErr w:type="spellStart"/>
      <w:r w:rsidRPr="004858D5">
        <w:t>Centrale</w:t>
      </w:r>
      <w:proofErr w:type="spellEnd"/>
      <w:r w:rsidRPr="004858D5">
        <w:t xml:space="preserve"> del </w:t>
      </w:r>
      <w:proofErr w:type="spellStart"/>
      <w:r w:rsidRPr="004858D5">
        <w:t>Credito</w:t>
      </w:r>
      <w:proofErr w:type="spellEnd"/>
      <w:r w:rsidRPr="004858D5">
        <w:t xml:space="preserve"> </w:t>
      </w:r>
      <w:proofErr w:type="spellStart"/>
      <w:r w:rsidRPr="004858D5">
        <w:t>Cooperativo</w:t>
      </w:r>
      <w:proofErr w:type="spellEnd"/>
      <w:r w:rsidRPr="004858D5">
        <w:t xml:space="preserve"> proti </w:t>
      </w:r>
      <w:proofErr w:type="spellStart"/>
      <w:r w:rsidRPr="004858D5">
        <w:t>Banca</w:t>
      </w:r>
      <w:proofErr w:type="spellEnd"/>
      <w:r w:rsidRPr="004858D5">
        <w:t xml:space="preserve"> </w:t>
      </w:r>
      <w:proofErr w:type="spellStart"/>
      <w:r w:rsidRPr="004858D5">
        <w:t>d’Italia</w:t>
      </w:r>
      <w:proofErr w:type="spellEnd"/>
      <w:r w:rsidRPr="004858D5">
        <w:t>, [2019]</w:t>
      </w:r>
    </w:p>
    <w:p w:rsidR="007312CB" w:rsidRPr="004858D5" w:rsidRDefault="007312CB" w:rsidP="00A05CFE">
      <w:pPr>
        <w:pStyle w:val="Normlnywebov"/>
        <w:spacing w:after="120"/>
        <w:ind w:left="709"/>
        <w:jc w:val="both"/>
      </w:pPr>
      <w:r w:rsidRPr="004858D5">
        <w:t>Výrok rozhodnutia</w:t>
      </w:r>
    </w:p>
    <w:p w:rsidR="007312CB" w:rsidRPr="004858D5" w:rsidRDefault="007312CB" w:rsidP="00A05CFE">
      <w:pPr>
        <w:pStyle w:val="Normlnywebov"/>
        <w:spacing w:after="120"/>
        <w:ind w:left="709"/>
        <w:jc w:val="both"/>
      </w:pPr>
      <w:r w:rsidRPr="004858D5">
        <w:t xml:space="preserve">Článok 103 ods. 2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2014/59/EÚ, pokiaľ ide o príspevky ex  </w:t>
      </w:r>
      <w:proofErr w:type="spellStart"/>
      <w:r w:rsidRPr="004858D5">
        <w:t>ante</w:t>
      </w:r>
      <w:proofErr w:type="spellEnd"/>
      <w:r w:rsidRPr="004858D5">
        <w:t xml:space="preserve"> do mechanizmov financovania riešenia krízových situácií, sa majú vykladať v tom zmysle, že záväzky, ktoré sú výsledkom transakcií medzi bankou druhého stupňa a členmi skupiny, ktorú tvorí s družstevnými bankami, ktorým poskytuje </w:t>
      </w:r>
      <w:r w:rsidRPr="004858D5">
        <w:lastRenderedPageBreak/>
        <w:t>rôzne služby bez toho, aby ich kontrolovala, a nepokrývajúce úvery poskytnuté na nesúťažnom a neziskovom základe s cieľom podporiť ciele verejnej politiky ústrednej alebo regionálnej štátnej správy členského štátu, nie sú vylúčené z výpočtu príspevkov do vnútroštátneho fondu na riešenie krízových situácií uvedených v tomto článku 103 ods. 2.</w:t>
      </w:r>
    </w:p>
    <w:p w:rsidR="007312CB" w:rsidRPr="004858D5" w:rsidRDefault="007312CB" w:rsidP="007312CB">
      <w:pPr>
        <w:pStyle w:val="Normlnywebov"/>
        <w:numPr>
          <w:ilvl w:val="0"/>
          <w:numId w:val="16"/>
        </w:numPr>
        <w:spacing w:before="0" w:beforeAutospacing="0" w:after="120" w:afterAutospacing="0"/>
        <w:ind w:left="709" w:hanging="142"/>
        <w:jc w:val="both"/>
        <w:rPr>
          <w:color w:val="000000"/>
        </w:rPr>
      </w:pPr>
      <w:r w:rsidRPr="004858D5">
        <w:t>rozhodnutie Súdneho dvora vo veci</w:t>
      </w:r>
      <w:r w:rsidRPr="004858D5">
        <w:rPr>
          <w:color w:val="000000"/>
        </w:rPr>
        <w:t xml:space="preserve"> C</w:t>
      </w:r>
      <w:r w:rsidRPr="004858D5">
        <w:rPr>
          <w:color w:val="000000"/>
        </w:rPr>
        <w:noBreakHyphen/>
        <w:t xml:space="preserve">724/20, </w:t>
      </w:r>
      <w:proofErr w:type="spellStart"/>
      <w:r w:rsidRPr="004858D5">
        <w:rPr>
          <w:color w:val="000000"/>
        </w:rPr>
        <w:t>Paget</w:t>
      </w:r>
      <w:proofErr w:type="spellEnd"/>
      <w:r w:rsidRPr="004858D5">
        <w:rPr>
          <w:color w:val="000000"/>
        </w:rPr>
        <w:t xml:space="preserve"> </w:t>
      </w:r>
      <w:proofErr w:type="spellStart"/>
      <w:r w:rsidRPr="004858D5">
        <w:rPr>
          <w:color w:val="000000"/>
        </w:rPr>
        <w:t>Approbois</w:t>
      </w:r>
      <w:proofErr w:type="spellEnd"/>
      <w:r w:rsidRPr="004858D5">
        <w:rPr>
          <w:color w:val="000000"/>
        </w:rPr>
        <w:t xml:space="preserve"> SAS proti </w:t>
      </w:r>
      <w:proofErr w:type="spellStart"/>
      <w:r w:rsidRPr="004858D5">
        <w:rPr>
          <w:color w:val="000000"/>
        </w:rPr>
        <w:t>Depeyre</w:t>
      </w:r>
      <w:proofErr w:type="spellEnd"/>
      <w:r w:rsidRPr="004858D5">
        <w:rPr>
          <w:color w:val="000000"/>
        </w:rPr>
        <w:t xml:space="preserve"> </w:t>
      </w:r>
      <w:proofErr w:type="spellStart"/>
      <w:r w:rsidRPr="004858D5">
        <w:rPr>
          <w:color w:val="000000"/>
        </w:rPr>
        <w:t>entreprises</w:t>
      </w:r>
      <w:proofErr w:type="spellEnd"/>
      <w:r w:rsidRPr="004858D5">
        <w:rPr>
          <w:color w:val="000000"/>
        </w:rPr>
        <w:t xml:space="preserve"> SARL, </w:t>
      </w:r>
      <w:proofErr w:type="spellStart"/>
      <w:r w:rsidRPr="004858D5">
        <w:rPr>
          <w:color w:val="000000"/>
        </w:rPr>
        <w:t>Alpha</w:t>
      </w:r>
      <w:proofErr w:type="spellEnd"/>
      <w:r w:rsidRPr="004858D5">
        <w:rPr>
          <w:color w:val="000000"/>
        </w:rPr>
        <w:t xml:space="preserve"> </w:t>
      </w:r>
      <w:proofErr w:type="spellStart"/>
      <w:r w:rsidRPr="004858D5">
        <w:rPr>
          <w:color w:val="000000"/>
        </w:rPr>
        <w:t>Insurance</w:t>
      </w:r>
      <w:proofErr w:type="spellEnd"/>
      <w:r w:rsidRPr="004858D5">
        <w:rPr>
          <w:color w:val="000000"/>
        </w:rPr>
        <w:t xml:space="preserve"> A/S, </w:t>
      </w:r>
      <w:r w:rsidRPr="004858D5">
        <w:t>[2022].</w:t>
      </w:r>
    </w:p>
    <w:p w:rsidR="007312CB" w:rsidRPr="004858D5" w:rsidRDefault="007312CB" w:rsidP="007312CB">
      <w:pPr>
        <w:pStyle w:val="Normlnywebov"/>
        <w:spacing w:after="120"/>
        <w:ind w:left="1069"/>
      </w:pPr>
      <w:r w:rsidRPr="004858D5">
        <w:t>Výrok rozhodnutia</w:t>
      </w:r>
    </w:p>
    <w:p w:rsidR="007312CB" w:rsidRPr="004858D5" w:rsidRDefault="007312CB" w:rsidP="00A05CFE">
      <w:pPr>
        <w:pStyle w:val="Normlnywebov"/>
        <w:spacing w:after="120"/>
        <w:ind w:left="567"/>
        <w:jc w:val="both"/>
      </w:pPr>
      <w:r w:rsidRPr="004858D5">
        <w:t>1.      Článok 292 smernice Európskeho parlamentu a Rady 2009/138/ES z 25. novembra 2009 o začatí a vykonávaní poistenia a zaistenia (Solventnosť II) sa má vykladať v tom zmysle, že výraz „neukončený súdny spor týkajúci sa aktív alebo práv, ktorých bola poisťovňa zbavená“, uvedený v tomto článku, zahŕňa aj prebiehajúce konanie, ktorého predmetom je nárok na náhradu poistnej škody, ktorý si poistenec uplatňoval z titulu škody spôsobenej v jednom členskom štáte voči poisťovni, ktorá sa nachádza v likvidácii v inom členskom štáte.</w:t>
      </w:r>
    </w:p>
    <w:p w:rsidR="007312CB" w:rsidRPr="004858D5" w:rsidRDefault="007312CB" w:rsidP="00A05CFE">
      <w:pPr>
        <w:pStyle w:val="Normlnywebov"/>
        <w:spacing w:after="120"/>
        <w:ind w:left="567"/>
        <w:jc w:val="both"/>
      </w:pPr>
      <w:r w:rsidRPr="004858D5">
        <w:t>2.      Článok 292 smernice 2009/138 sa má vykladať v tom zmysle, že právo členského štátu, v ktorom prebieha konanie, má v zmysle tohto článku upravovať všetky účinky likvidácie na toto konanie. Predovšetkým sa majú uplatniť ustanovenia práva tohto členského štátu, ktoré po prvé stanovujú, že vyhlásenie likvidácie má za následok prerušenie prebiehajúceho konania, po druhé podmieňujú pokračovanie v súdnom konaní prihlásením pohľadávky veriteľa z titulu poistného plnenia voči poisťovni a prizvaním orgánov poverených výkonom likvidácie do konania, a po tretie zakazujú vydať rozhodnutie zaväzujúce na zaplatenie náhrady škody, keďže predmetom prebiehajúceho konania môže byť už iba zistenie pohľadávky a stanovenie jej výšky, čím takéto ustanovenia v zásade nezasahujú do právomoci vyhradenej právu domovského členského štátu podľa článku 274 ods. 2 uvedenej smernice.</w:t>
      </w:r>
    </w:p>
    <w:p w:rsidR="007312CB" w:rsidRPr="004858D5" w:rsidRDefault="007312CB" w:rsidP="007312CB">
      <w:pPr>
        <w:pStyle w:val="Normlnywebov"/>
        <w:numPr>
          <w:ilvl w:val="0"/>
          <w:numId w:val="16"/>
        </w:numPr>
        <w:spacing w:before="0" w:beforeAutospacing="0" w:after="120" w:afterAutospacing="0"/>
        <w:ind w:left="567" w:hanging="11"/>
        <w:jc w:val="both"/>
      </w:pPr>
      <w:r w:rsidRPr="004858D5">
        <w:t>rozhodnutie Súdneho dvora vo veci C</w:t>
      </w:r>
      <w:r w:rsidRPr="004858D5">
        <w:noBreakHyphen/>
        <w:t xml:space="preserve">605/18, </w:t>
      </w:r>
      <w:proofErr w:type="spellStart"/>
      <w:r w:rsidRPr="004858D5">
        <w:t>Adler</w:t>
      </w:r>
      <w:proofErr w:type="spellEnd"/>
      <w:r w:rsidRPr="004858D5">
        <w:t xml:space="preserve"> </w:t>
      </w:r>
      <w:proofErr w:type="spellStart"/>
      <w:r w:rsidRPr="004858D5">
        <w:t>Real</w:t>
      </w:r>
      <w:proofErr w:type="spellEnd"/>
      <w:r w:rsidRPr="004858D5">
        <w:t xml:space="preserve"> </w:t>
      </w:r>
      <w:proofErr w:type="spellStart"/>
      <w:r w:rsidRPr="004858D5">
        <w:t>Estate</w:t>
      </w:r>
      <w:proofErr w:type="spellEnd"/>
      <w:r w:rsidRPr="004858D5">
        <w:t xml:space="preserve"> AG, </w:t>
      </w:r>
      <w:proofErr w:type="spellStart"/>
      <w:r w:rsidRPr="004858D5">
        <w:t>Petrus</w:t>
      </w:r>
      <w:proofErr w:type="spellEnd"/>
      <w:r w:rsidRPr="004858D5">
        <w:t xml:space="preserve"> </w:t>
      </w:r>
      <w:proofErr w:type="spellStart"/>
      <w:r w:rsidRPr="004858D5">
        <w:t>Advisers</w:t>
      </w:r>
      <w:proofErr w:type="spellEnd"/>
      <w:r w:rsidRPr="004858D5">
        <w:t xml:space="preserve"> LLP, GM proti </w:t>
      </w:r>
      <w:proofErr w:type="spellStart"/>
      <w:r w:rsidRPr="004858D5">
        <w:t>Finanzmarktaufsichtsbehörde</w:t>
      </w:r>
      <w:proofErr w:type="spellEnd"/>
      <w:r w:rsidRPr="004858D5">
        <w:t xml:space="preserve"> (FMA), [2021].</w:t>
      </w:r>
    </w:p>
    <w:p w:rsidR="007312CB" w:rsidRPr="004858D5" w:rsidRDefault="007312CB" w:rsidP="007312CB">
      <w:pPr>
        <w:pStyle w:val="Normlnywebov"/>
        <w:spacing w:after="120"/>
        <w:ind w:left="1429"/>
      </w:pPr>
      <w:r w:rsidRPr="004858D5">
        <w:t>Výrok rozhodnutia</w:t>
      </w:r>
    </w:p>
    <w:p w:rsidR="007312CB" w:rsidRPr="004858D5" w:rsidRDefault="007312CB" w:rsidP="00A05CFE">
      <w:pPr>
        <w:pStyle w:val="Normlnywebov"/>
        <w:spacing w:after="120"/>
        <w:ind w:left="567"/>
        <w:jc w:val="both"/>
      </w:pPr>
      <w:r w:rsidRPr="004858D5">
        <w:t xml:space="preserve">Článok 3 ods. 1a štvrtý </w:t>
      </w:r>
      <w:proofErr w:type="spellStart"/>
      <w:r w:rsidRPr="004858D5">
        <w:t>pododsek</w:t>
      </w:r>
      <w:proofErr w:type="spellEnd"/>
      <w:r w:rsidRPr="004858D5">
        <w:t xml:space="preserve"> písm. iii) smernice Európskeho parlamentu a Rady 2004/109/ES z 15. decembra 2004 o harmonizácii požiadaviek na transparentnosť v súvislosti s informáciami o emitentoch, ktorých cenné papiere sú prijaté na obchodovanie na regulovanom trhu, a ktorou sa mení a dopĺňa smernica 2001/34/ES, zmenenej smernicou Európskeho parlamentu a Rady 2013/50/EÚ z 22. októbra 2013, sa má vykladať v tom zmysle, že bráni právnej úprave členského štátu, ktorá podriaďuje držiteľov akcií alebo fyzické alebo právnické osoby uvedené v článku 10 a 13 smernice 2004/109, zmenenej smernicou 2013/50, prísnejším požiadavkám v zmysle tohto štvrtého </w:t>
      </w:r>
      <w:proofErr w:type="spellStart"/>
      <w:r w:rsidRPr="004858D5">
        <w:t>pododseku</w:t>
      </w:r>
      <w:proofErr w:type="spellEnd"/>
      <w:r w:rsidRPr="004858D5">
        <w:t xml:space="preserve"> týkajúcim sa oznámení o významných podieloch, ako sú požiadavky upravené smernicou 2004/109, zmenenou smernicou 2013/50, a ktoré vyplývajú zo zákonov, iných právnych predpisov alebo správnych opatrení prijatých najmä v súvislosti s verejnými ponukami na prevzatie, avšak zároveň orgánu tohto členského štátu, ktorý bol určený v súlade s článkom 4 smernice Európskeho parlamentu a Rady 2004/25/ES z 21. apríla </w:t>
      </w:r>
      <w:r w:rsidRPr="004858D5">
        <w:lastRenderedPageBreak/>
        <w:t>2004 o ponukách na prevzatie, nepriznáva právomoc potrebnú na zabezpečenie dodržiavania takýchto požiadaviek.</w:t>
      </w:r>
    </w:p>
    <w:p w:rsidR="007312CB" w:rsidRPr="004858D5" w:rsidRDefault="007312CB" w:rsidP="007312CB">
      <w:pPr>
        <w:pStyle w:val="Normlnywebov"/>
        <w:spacing w:after="120"/>
        <w:ind w:left="426"/>
      </w:pPr>
    </w:p>
    <w:p w:rsidR="007312CB" w:rsidRPr="004858D5" w:rsidRDefault="007312CB" w:rsidP="007312CB">
      <w:pPr>
        <w:numPr>
          <w:ilvl w:val="0"/>
          <w:numId w:val="17"/>
        </w:numPr>
        <w:spacing w:after="120"/>
        <w:jc w:val="both"/>
        <w:rPr>
          <w:b/>
          <w:bCs/>
        </w:rPr>
      </w:pPr>
      <w:r w:rsidRPr="004858D5">
        <w:rPr>
          <w:b/>
          <w:bCs/>
        </w:rPr>
        <w:t>Záväzky Slovenskej republiky vo vzťahu k Európskej únii:</w:t>
      </w:r>
    </w:p>
    <w:p w:rsidR="007312CB" w:rsidRPr="004858D5" w:rsidRDefault="007312CB" w:rsidP="007312CB">
      <w:pPr>
        <w:numPr>
          <w:ilvl w:val="0"/>
          <w:numId w:val="18"/>
        </w:numPr>
        <w:jc w:val="both"/>
        <w:rPr>
          <w:lang w:eastAsia="cs-CZ"/>
        </w:rPr>
      </w:pPr>
      <w:r w:rsidRPr="004858D5">
        <w:rPr>
          <w:lang w:eastAsia="cs-CZ"/>
        </w:rPr>
        <w:t>Lehota na prebratie smernice (EÚ) 2023/2864 bola určená do 10. júla 2025 na dosiahnutie súladu s článkom 3 a 10. januára 2026 na dosiahnutie súladu s touto smernicou.</w:t>
      </w:r>
    </w:p>
    <w:p w:rsidR="007312CB" w:rsidRPr="004858D5" w:rsidRDefault="007312CB" w:rsidP="007312CB">
      <w:pPr>
        <w:ind w:left="709"/>
        <w:jc w:val="both"/>
        <w:rPr>
          <w:shd w:val="clear" w:color="auto" w:fill="FFFFFF"/>
        </w:rPr>
      </w:pPr>
      <w:r w:rsidRPr="004858D5">
        <w:t>Lehota na prebratie smernice (EÚ) 2017/1132 nebola stanovená. Smernica (EÚ) 2017/1132 zrušila smernicu 2009/101/ES</w:t>
      </w:r>
      <w:r w:rsidRPr="004858D5">
        <w:rPr>
          <w:shd w:val="clear" w:color="auto" w:fill="FFFFFF"/>
        </w:rPr>
        <w:t xml:space="preserve"> bez vplyvu na povinnosť členského štátu týkajúcu sa lehôt na transpozíciu smerníc do vnútroštátneho práva.</w:t>
      </w:r>
    </w:p>
    <w:p w:rsidR="007312CB" w:rsidRDefault="007312CB" w:rsidP="007312CB">
      <w:pPr>
        <w:ind w:left="709"/>
        <w:jc w:val="both"/>
      </w:pPr>
      <w:r w:rsidRPr="004858D5">
        <w:t>Lehota na prebratie smernice 2013/34/EÚ bola určená do 20. júla 2015.</w:t>
      </w:r>
    </w:p>
    <w:p w:rsidR="00640E9D" w:rsidRPr="004858D5" w:rsidRDefault="00640E9D" w:rsidP="007312CB">
      <w:pPr>
        <w:ind w:left="709"/>
        <w:jc w:val="both"/>
        <w:rPr>
          <w:lang w:eastAsia="cs-CZ"/>
        </w:rPr>
      </w:pPr>
      <w:r>
        <w:t>Lehota na prebratie smernice 2021/2101/EÚ bola určená do</w:t>
      </w:r>
      <w:r w:rsidRPr="00640E9D">
        <w:t xml:space="preserve"> 22. júna 2023</w:t>
      </w:r>
      <w:r>
        <w:t>.</w:t>
      </w:r>
    </w:p>
    <w:p w:rsidR="007312CB" w:rsidRPr="004858D5" w:rsidRDefault="007312CB" w:rsidP="007312CB">
      <w:pPr>
        <w:ind w:left="709"/>
        <w:jc w:val="both"/>
      </w:pPr>
      <w:r w:rsidRPr="004858D5">
        <w:t>Lehota na prebratie smernice 2014/59/EÚ bola stanovená do 31. decembra 2014.</w:t>
      </w:r>
    </w:p>
    <w:p w:rsidR="005833D1" w:rsidRPr="004858D5" w:rsidRDefault="007312CB" w:rsidP="005833D1">
      <w:pPr>
        <w:ind w:left="709"/>
        <w:jc w:val="both"/>
      </w:pPr>
      <w:r w:rsidRPr="004858D5">
        <w:t>Lehota na prebratie smernice 2014/65/EÚ v platnom znení bola stanovená do 3</w:t>
      </w:r>
      <w:r w:rsidR="00202620" w:rsidRPr="004858D5">
        <w:t>. júla 2016</w:t>
      </w:r>
      <w:r w:rsidRPr="004858D5">
        <w:t xml:space="preserve">. Lehota na uplatňovanie smernice bola stanovená do 3. </w:t>
      </w:r>
      <w:r w:rsidR="00FC3B2E" w:rsidRPr="004858D5">
        <w:t>januára</w:t>
      </w:r>
      <w:r w:rsidRPr="004858D5">
        <w:t xml:space="preserve"> 2018, okrem článku 92, ktorý sa uplatňuje od 3. júla 2015.</w:t>
      </w:r>
    </w:p>
    <w:p w:rsidR="007312CB" w:rsidRPr="004858D5" w:rsidRDefault="007312CB" w:rsidP="005833D1">
      <w:pPr>
        <w:ind w:left="709"/>
        <w:jc w:val="both"/>
      </w:pPr>
      <w:r w:rsidRPr="004858D5">
        <w:t>Lehota na prebratie smernice</w:t>
      </w:r>
      <w:r w:rsidR="000A6E9E" w:rsidRPr="004858D5">
        <w:t xml:space="preserve"> </w:t>
      </w:r>
      <w:r w:rsidR="000A6E9E" w:rsidRPr="004858D5">
        <w:rPr>
          <w:lang w:eastAsia="cs-CZ"/>
        </w:rPr>
        <w:t>(EÚ)</w:t>
      </w:r>
      <w:r w:rsidRPr="004858D5">
        <w:t xml:space="preserve"> 2016/97</w:t>
      </w:r>
      <w:r w:rsidR="00B12995" w:rsidRPr="004858D5">
        <w:t xml:space="preserve"> </w:t>
      </w:r>
      <w:r w:rsidRPr="004858D5">
        <w:t>bola stanovená do 23. februára 2018.</w:t>
      </w:r>
    </w:p>
    <w:p w:rsidR="007312CB" w:rsidRPr="004858D5" w:rsidRDefault="007312CB" w:rsidP="005833D1">
      <w:pPr>
        <w:ind w:left="709"/>
        <w:jc w:val="both"/>
      </w:pPr>
      <w:r w:rsidRPr="004858D5">
        <w:t>Lehota na prebratie smernice</w:t>
      </w:r>
      <w:r w:rsidR="000A6E9E" w:rsidRPr="004858D5">
        <w:t xml:space="preserve"> </w:t>
      </w:r>
      <w:r w:rsidR="000A6E9E" w:rsidRPr="004858D5">
        <w:rPr>
          <w:lang w:eastAsia="cs-CZ"/>
        </w:rPr>
        <w:t>(EÚ)</w:t>
      </w:r>
      <w:r w:rsidR="000A6E9E" w:rsidRPr="004858D5">
        <w:t xml:space="preserve">  2017/828 </w:t>
      </w:r>
      <w:r w:rsidRPr="004858D5">
        <w:t>bola určená do 10. júna 2019.</w:t>
      </w:r>
    </w:p>
    <w:p w:rsidR="007312CB" w:rsidRPr="004858D5" w:rsidRDefault="007312CB" w:rsidP="007312CB">
      <w:pPr>
        <w:ind w:left="709"/>
        <w:jc w:val="both"/>
      </w:pPr>
      <w:r w:rsidRPr="004858D5">
        <w:t>Lehota na prebratie smernice 2004/109/ES bola určená do 20. januára 2007.</w:t>
      </w:r>
    </w:p>
    <w:p w:rsidR="007312CB" w:rsidRPr="004858D5" w:rsidRDefault="007312CB" w:rsidP="007312CB">
      <w:pPr>
        <w:ind w:left="426"/>
        <w:jc w:val="both"/>
      </w:pPr>
    </w:p>
    <w:p w:rsidR="007312CB" w:rsidRPr="004858D5" w:rsidRDefault="007312CB" w:rsidP="007312CB">
      <w:pPr>
        <w:spacing w:after="120" w:line="276" w:lineRule="auto"/>
        <w:ind w:left="360"/>
        <w:jc w:val="both"/>
      </w:pPr>
      <w:r w:rsidRPr="004858D5">
        <w:t>b) Proti SR bolo začaté konanie o porušení Zmluvy o fungovaní Európskej únie podľa čl. 258 až 260 a to:</w:t>
      </w:r>
    </w:p>
    <w:p w:rsidR="007312CB" w:rsidRPr="004858D5" w:rsidRDefault="007312CB" w:rsidP="005E66E4">
      <w:pPr>
        <w:pStyle w:val="Odsekzoznamu"/>
        <w:numPr>
          <w:ilvl w:val="0"/>
          <w:numId w:val="19"/>
        </w:numPr>
        <w:spacing w:after="120" w:line="276" w:lineRule="auto"/>
        <w:jc w:val="both"/>
      </w:pPr>
      <w:r w:rsidRPr="004858D5">
        <w:t>formálna výzva Slovenskej republike INFR(2023)2077 z dôvodu nesplnenia povinností vyplývajúcich zo smernice 2009/138/ES</w:t>
      </w:r>
      <w:r w:rsidR="00615D31">
        <w:t xml:space="preserve"> v platnom znení</w:t>
      </w:r>
      <w:r w:rsidR="00D410A8">
        <w:t xml:space="preserve"> – predložený návrh nereflektuje na uvedené konanie. </w:t>
      </w:r>
    </w:p>
    <w:p w:rsidR="005E66E4" w:rsidRDefault="007312CB" w:rsidP="005E66E4">
      <w:pPr>
        <w:pStyle w:val="Odsekzoznamu"/>
        <w:numPr>
          <w:ilvl w:val="0"/>
          <w:numId w:val="19"/>
        </w:numPr>
        <w:jc w:val="both"/>
      </w:pPr>
      <w:r w:rsidRPr="004858D5">
        <w:t>formálna výzva Slovenskej republike (INFR(2024)2186) z dôvodu nesplnenia povinností vypl</w:t>
      </w:r>
      <w:r w:rsidR="009171F6" w:rsidRPr="004858D5">
        <w:t>ývajúcich zo smernice 2014/59/EÚ</w:t>
      </w:r>
      <w:r w:rsidR="00615D31">
        <w:t xml:space="preserve"> v platnom znení</w:t>
      </w:r>
      <w:r w:rsidR="00D410A8">
        <w:t xml:space="preserve"> </w:t>
      </w:r>
      <w:r w:rsidR="005E66E4" w:rsidRPr="005E66E4">
        <w:t xml:space="preserve">– predložený návrh nereflektuje na uvedené konanie. </w:t>
      </w:r>
    </w:p>
    <w:p w:rsidR="005E66E4" w:rsidRPr="005E66E4" w:rsidRDefault="005E66E4" w:rsidP="005E66E4">
      <w:pPr>
        <w:pStyle w:val="Odsekzoznamu"/>
      </w:pPr>
    </w:p>
    <w:p w:rsidR="007312CB" w:rsidRPr="004858D5" w:rsidRDefault="007312CB" w:rsidP="005833D1">
      <w:pPr>
        <w:tabs>
          <w:tab w:val="num" w:pos="709"/>
        </w:tabs>
        <w:spacing w:after="120"/>
        <w:ind w:left="360"/>
        <w:jc w:val="both"/>
        <w:rPr>
          <w:strike/>
        </w:rPr>
      </w:pPr>
      <w:r w:rsidRPr="004858D5">
        <w:t>c) Smernica 2013/34/EÚ bola prebratá do zákona č. 431/2002 Z. z. o účtovníctve v znení neskorších predpisov, zákona č. 333/2014 Z. z., ktorým sa mení a dopĺňa zákon č. 595/2003 Z. z. o dani z príjmov v znení neskorších predpisov a ktorým sa menia a dopĺňajú niektoré zákony, zákona č. 423/2015 Z. z. o štatutárnom audite a o zmene a doplnení zákona č. 431/2002 Z. z. o účtovníctve v znení neskorších predpisov v znení neskorších predpisov, zákona č. 500/2001 Z. z., ktorým sa mení a dopĺňa Obchodný zákonník v znení neskorších predpisov.</w:t>
      </w:r>
    </w:p>
    <w:p w:rsidR="007312CB" w:rsidRDefault="007312CB" w:rsidP="007312CB">
      <w:pPr>
        <w:ind w:left="425"/>
        <w:jc w:val="both"/>
        <w:rPr>
          <w:lang w:eastAsia="cs-CZ"/>
        </w:rPr>
      </w:pPr>
    </w:p>
    <w:p w:rsidR="00640E9D" w:rsidRDefault="00640E9D" w:rsidP="007312CB">
      <w:pPr>
        <w:ind w:left="425"/>
        <w:jc w:val="both"/>
        <w:rPr>
          <w:lang w:eastAsia="cs-CZ"/>
        </w:rPr>
      </w:pPr>
      <w:r>
        <w:rPr>
          <w:lang w:eastAsia="cs-CZ"/>
        </w:rPr>
        <w:t>Smernica (EÚ) 2021/2101 bola prebratá do zákona č.</w:t>
      </w:r>
      <w:r w:rsidRPr="00640E9D">
        <w:rPr>
          <w:lang w:eastAsia="cs-CZ"/>
        </w:rPr>
        <w:t xml:space="preserve"> 431/2002 Z. z. o účtovníctve v znení neskorších predpisov</w:t>
      </w:r>
      <w:r w:rsidR="005A1E6F">
        <w:rPr>
          <w:lang w:eastAsia="cs-CZ"/>
        </w:rPr>
        <w:t>,</w:t>
      </w:r>
      <w:r w:rsidRPr="00640E9D">
        <w:rPr>
          <w:lang w:eastAsia="cs-CZ"/>
        </w:rPr>
        <w:t xml:space="preserve"> zákona č. 513/1991 Zb. Obchodný zákonník v znení neskorších predpisov</w:t>
      </w:r>
      <w:r w:rsidR="005A1E6F">
        <w:rPr>
          <w:lang w:eastAsia="cs-CZ"/>
        </w:rPr>
        <w:t xml:space="preserve"> a do zákona č. </w:t>
      </w:r>
      <w:r w:rsidR="005A1E6F" w:rsidRPr="005A1E6F">
        <w:rPr>
          <w:lang w:eastAsia="cs-CZ"/>
        </w:rPr>
        <w:t>530/2023 Z. z. o obchodnom registri a o zmene a doplnení niektorých zákonov v znení neskorších predpisov.</w:t>
      </w:r>
    </w:p>
    <w:p w:rsidR="00640E9D" w:rsidRPr="004858D5" w:rsidRDefault="00640E9D" w:rsidP="007312CB">
      <w:pPr>
        <w:ind w:left="425"/>
        <w:jc w:val="both"/>
        <w:rPr>
          <w:lang w:eastAsia="cs-CZ"/>
        </w:rPr>
      </w:pPr>
    </w:p>
    <w:p w:rsidR="007312CB" w:rsidRPr="004858D5" w:rsidRDefault="007312CB" w:rsidP="007312CB">
      <w:pPr>
        <w:ind w:left="425"/>
        <w:jc w:val="both"/>
        <w:rPr>
          <w:lang w:eastAsia="cs-CZ"/>
        </w:rPr>
      </w:pPr>
      <w:r w:rsidRPr="004858D5">
        <w:t xml:space="preserve">Smernica (EÚ) 2017/1132 </w:t>
      </w:r>
      <w:r w:rsidR="00615D31">
        <w:t xml:space="preserve">v platnom znení </w:t>
      </w:r>
      <w:r w:rsidRPr="004858D5">
        <w:t xml:space="preserve">bola prebratá do zákona č. 513/1991 Zb. Obchodný zákonník v znení neskorších predpisov, </w:t>
      </w:r>
      <w:r w:rsidRPr="004858D5">
        <w:rPr>
          <w:lang w:eastAsia="cs-CZ"/>
        </w:rPr>
        <w:t xml:space="preserve">zákona č. 530/2003 Z. z. o obchodnom registri a o zmene a doplnení niektorých zákonov v znení neskorších predpisov, </w:t>
      </w:r>
      <w:r w:rsidRPr="004858D5">
        <w:t xml:space="preserve">zákona č. 431/2002 Z. z. o účtovníctve v znení neskorších predpisov, zákona č. 371/2014 Z. z. o </w:t>
      </w:r>
      <w:r w:rsidRPr="004858D5">
        <w:lastRenderedPageBreak/>
        <w:t>riešení krízových situácií na finančnom trhu a o zmene a doplnení niektorých zákonov v znení neskorších predpisov.</w:t>
      </w:r>
    </w:p>
    <w:p w:rsidR="007312CB" w:rsidRPr="004858D5" w:rsidRDefault="007312CB" w:rsidP="007312CB">
      <w:pPr>
        <w:ind w:left="425"/>
        <w:jc w:val="both"/>
      </w:pPr>
    </w:p>
    <w:p w:rsidR="007312CB" w:rsidRPr="004858D5" w:rsidRDefault="007312CB" w:rsidP="007312CB">
      <w:pPr>
        <w:ind w:left="426"/>
        <w:jc w:val="both"/>
      </w:pPr>
      <w:r w:rsidRPr="004858D5">
        <w:t xml:space="preserve">Smernica 2014/65/EÚ </w:t>
      </w:r>
      <w:r w:rsidR="00615D31">
        <w:t xml:space="preserve">v platnom znení </w:t>
      </w:r>
      <w:r w:rsidRPr="004858D5">
        <w:t xml:space="preserve">bola prebratá do zákona č. 566/2001 </w:t>
      </w:r>
      <w:proofErr w:type="spellStart"/>
      <w:r w:rsidRPr="004858D5">
        <w:t>Z.z</w:t>
      </w:r>
      <w:proofErr w:type="spellEnd"/>
      <w:r w:rsidRPr="004858D5">
        <w:t xml:space="preserve">. o cenných papieroch a investičných službách a o zmene a doplnení niektorých zákonov (zákon o cenných papieroch) v znení neskorších predpisov, do zákona č. 429/2002 </w:t>
      </w:r>
      <w:proofErr w:type="spellStart"/>
      <w:r w:rsidRPr="004858D5">
        <w:t>Z.z</w:t>
      </w:r>
      <w:proofErr w:type="spellEnd"/>
      <w:r w:rsidRPr="004858D5">
        <w:t xml:space="preserve">. o burze cenných papierov v znení neskorších predpisov, do zákona č. 747/2004 </w:t>
      </w:r>
      <w:proofErr w:type="spellStart"/>
      <w:r w:rsidRPr="004858D5">
        <w:t>Z.z</w:t>
      </w:r>
      <w:proofErr w:type="spellEnd"/>
      <w:r w:rsidRPr="004858D5">
        <w:t xml:space="preserve">. o dohľade nad finančným trhom a o zmene a doplnení niektorých zákonov v znení neskorších predpisov, do zákona č. 186/2009 </w:t>
      </w:r>
      <w:proofErr w:type="spellStart"/>
      <w:r w:rsidRPr="004858D5">
        <w:t>Z.z</w:t>
      </w:r>
      <w:proofErr w:type="spellEnd"/>
      <w:r w:rsidRPr="004858D5">
        <w:t xml:space="preserve">. o finančnom sprostredkovaní a finančnom poradenstve a o zmene a doplnení niektorých zákonov v znení neskorších predpisov, do zákona č. 203/2011 </w:t>
      </w:r>
      <w:proofErr w:type="spellStart"/>
      <w:r w:rsidRPr="004858D5">
        <w:t>Z.z</w:t>
      </w:r>
      <w:proofErr w:type="spellEnd"/>
      <w:r w:rsidRPr="004858D5">
        <w:t xml:space="preserve">. o kolektívnom investovaní v znení neskorších predpisov, do zákona č. 483/2001 </w:t>
      </w:r>
      <w:proofErr w:type="spellStart"/>
      <w:r w:rsidRPr="004858D5">
        <w:t>Z.z</w:t>
      </w:r>
      <w:proofErr w:type="spellEnd"/>
      <w:r w:rsidRPr="004858D5">
        <w:t xml:space="preserve">. o bankách a o zmene a doplnení niektorých zákonov v znení neskorších predpisov, do zákona č. 250/2007 </w:t>
      </w:r>
      <w:proofErr w:type="spellStart"/>
      <w:r w:rsidRPr="004858D5">
        <w:t>Z.z</w:t>
      </w:r>
      <w:proofErr w:type="spellEnd"/>
      <w:r w:rsidRPr="004858D5">
        <w:t xml:space="preserve">. o ochrane spotrebiteľa a o zmene zákona Slovenskej národnej rady č. 372/1990 Zb. o priestupkoch v znení neskorších predpisov v znení neskorších predpisov a do zákona č. 423/2015 </w:t>
      </w:r>
      <w:proofErr w:type="spellStart"/>
      <w:r w:rsidRPr="004858D5">
        <w:t>Z.z</w:t>
      </w:r>
      <w:proofErr w:type="spellEnd"/>
      <w:r w:rsidRPr="004858D5">
        <w:t xml:space="preserve">. o štatutárnom audite a o zmene a doplnení zákona č. 431/2002 </w:t>
      </w:r>
      <w:proofErr w:type="spellStart"/>
      <w:r w:rsidRPr="004858D5">
        <w:t>Z.z</w:t>
      </w:r>
      <w:proofErr w:type="spellEnd"/>
      <w:r w:rsidRPr="004858D5">
        <w:t>. o účtovníctve v znení neskorších predpisov v znení neskorších predpisov.</w:t>
      </w:r>
    </w:p>
    <w:p w:rsidR="007312CB" w:rsidRPr="004858D5" w:rsidRDefault="007312CB" w:rsidP="00B53887">
      <w:pPr>
        <w:jc w:val="both"/>
      </w:pPr>
    </w:p>
    <w:p w:rsidR="007312CB" w:rsidRPr="004858D5" w:rsidRDefault="007312CB" w:rsidP="007312CB">
      <w:pPr>
        <w:ind w:left="426"/>
        <w:jc w:val="both"/>
      </w:pPr>
      <w:r w:rsidRPr="004858D5">
        <w:t>Smernica 2017/828/EÚ bola prebratá do zákona č. 513/1991 Zb. Obchodný zákonník v znení neskorších predpisov, do zákona č. 566/2001 Z. z. . o cenných papieroch a investičných službách a o zmene a doplnení niektorých zákonov (zákon o cenných papieroch) v znení neskorších predpisov, do zákona č. 429/2002 Z. z. o burze cenných papierov v znení neskorších predpisov, do zákona č. 650/2004 Z. z. o doplnkovom dôchodkovom sporení a o zmene a doplnení niektorých zákonov v znení neskorších predpisov, do zákona č. 203/2011 Z. z. o kolektívnom investovaní v znení neskorších predpisov, do zákona č. 39/2015 Z. z. o poisťovníctve a o zmene a doplnení niektorých zákonov v znení neskorších predpisov.</w:t>
      </w:r>
    </w:p>
    <w:p w:rsidR="007312CB" w:rsidRPr="004858D5" w:rsidRDefault="007312CB" w:rsidP="007312CB">
      <w:pPr>
        <w:jc w:val="both"/>
      </w:pPr>
    </w:p>
    <w:p w:rsidR="007312CB" w:rsidRPr="004858D5" w:rsidRDefault="007312CB" w:rsidP="007312CB">
      <w:pPr>
        <w:ind w:left="426"/>
        <w:jc w:val="both"/>
      </w:pPr>
      <w:r w:rsidRPr="004858D5">
        <w:t xml:space="preserve">Smernica 2014/59/EÚ </w:t>
      </w:r>
      <w:r w:rsidR="00615D31">
        <w:t xml:space="preserve">v platnom znení </w:t>
      </w:r>
      <w:r w:rsidRPr="004858D5">
        <w:t>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 a do zákona č. 7/2005 Z. z. o konkurze a reštrukturalizácii a o zmene a doplnení niektorých zákonov v znení neskorších predpisov.</w:t>
      </w:r>
    </w:p>
    <w:p w:rsidR="007312CB" w:rsidRPr="004858D5" w:rsidRDefault="007312CB" w:rsidP="007312CB">
      <w:pPr>
        <w:jc w:val="both"/>
      </w:pPr>
    </w:p>
    <w:p w:rsidR="007312CB" w:rsidRPr="004858D5" w:rsidRDefault="007312CB" w:rsidP="007312CB">
      <w:pPr>
        <w:ind w:left="426"/>
        <w:jc w:val="both"/>
      </w:pPr>
      <w:r w:rsidRPr="004858D5">
        <w:t>Smernica 2016/97/EÚ</w:t>
      </w:r>
      <w:r w:rsidR="00615D31">
        <w:t xml:space="preserve"> v platnom znení</w:t>
      </w:r>
      <w:r w:rsidRPr="004858D5">
        <w:t xml:space="preserve"> bola prebratá do zákona č. 186/2009 Z. z. o finančnom sprostredkovaní a finančnom poradenstve a o zmene a doplnení niektorých zákonov v znení neskorších predpisov a do zákona č. 39/2015 Z. z. poisťovníctve a o zmene a doplnení niektorých zákon</w:t>
      </w:r>
      <w:r w:rsidR="005C183E" w:rsidRPr="004858D5">
        <w:t xml:space="preserve">ov v znení neskorších predpisov, do zákona č. 266/2005 Z. z. o ochrane spotrebiteľa pri finančných službách na diaľku a o zmene a doplnení niektorých zákonov v znení neskorších predpisov, do zákona č. 747/2004 </w:t>
      </w:r>
      <w:proofErr w:type="spellStart"/>
      <w:r w:rsidR="005C183E" w:rsidRPr="004858D5">
        <w:t>Z.z</w:t>
      </w:r>
      <w:proofErr w:type="spellEnd"/>
      <w:r w:rsidR="005C183E" w:rsidRPr="004858D5">
        <w:t xml:space="preserve">. o dohľade nad finančným trhom a o zmene a doplnení niektorých zákonov v znení neskorších predpisov, do zákona č. 250/2007 </w:t>
      </w:r>
      <w:proofErr w:type="spellStart"/>
      <w:r w:rsidR="005C183E" w:rsidRPr="004858D5">
        <w:t>Z.z</w:t>
      </w:r>
      <w:proofErr w:type="spellEnd"/>
      <w:r w:rsidR="005C183E" w:rsidRPr="004858D5">
        <w:t>. o ochrane spotrebiteľa a o zmene zákona Slovenskej národnej rady č. 372/1990 Zb. o priestupkoch v znení neskorších predpisov v znení neskorších predpisov, do zákona č. 40/1964 Zb. Občiansky zákonník v znení niektorých predpisov</w:t>
      </w:r>
      <w:r w:rsidR="00A62F36" w:rsidRPr="004858D5">
        <w:t xml:space="preserve"> a do vyhlášky č. 39/2018 Ministerstva financií Slovenskej republiky z 14. </w:t>
      </w:r>
      <w:r w:rsidR="00A62F36" w:rsidRPr="004858D5">
        <w:lastRenderedPageBreak/>
        <w:t>februára 2018 o osobitnom finančnom vzdelávaní osôb vykonávajúcich finančné sprostredkovanie a finančné poradenstvo.</w:t>
      </w:r>
    </w:p>
    <w:p w:rsidR="007312CB" w:rsidRPr="004858D5" w:rsidRDefault="007312CB" w:rsidP="007312CB">
      <w:pPr>
        <w:ind w:left="426"/>
        <w:jc w:val="both"/>
      </w:pPr>
    </w:p>
    <w:p w:rsidR="007312CB" w:rsidRPr="004858D5" w:rsidRDefault="007312CB" w:rsidP="007312CB">
      <w:pPr>
        <w:ind w:left="426"/>
        <w:jc w:val="both"/>
      </w:pPr>
      <w:r w:rsidRPr="004858D5">
        <w:t>Smernica 2004/109/ES</w:t>
      </w:r>
      <w:r w:rsidR="00615D31">
        <w:t xml:space="preserve"> v platnom znení</w:t>
      </w:r>
      <w:r w:rsidRPr="004858D5">
        <w:t xml:space="preserve"> bola prebratá do zákona č. 566/2001 Z. z. o cenných papieroch a investičných službách a o zmene a doplnení niektorých zákonov (zákon o cenných papieroch) v znení neskorších predpisov</w:t>
      </w:r>
      <w:r w:rsidR="00107C7D" w:rsidRPr="004858D5">
        <w:t>,</w:t>
      </w:r>
      <w:r w:rsidR="00C64FFF" w:rsidRPr="004858D5">
        <w:t xml:space="preserve"> do zákona č. 483/2001 Z. z. o bankách a o zmene a doplnení niektorých zákonov v znení neskorších predpisov, </w:t>
      </w:r>
      <w:r w:rsidRPr="004858D5">
        <w:t>do zákona č. 429/2002 Z. z. o burze cenných papier</w:t>
      </w:r>
      <w:r w:rsidR="00107C7D" w:rsidRPr="004858D5">
        <w:t>ov v znení neskorších predpisov, do zákona č. 747/2004 Z.</w:t>
      </w:r>
      <w:r w:rsidR="00C64FFF" w:rsidRPr="004858D5">
        <w:t xml:space="preserve"> </w:t>
      </w:r>
      <w:r w:rsidR="00107C7D" w:rsidRPr="004858D5">
        <w:t>z. o dohľade nad finančným trhom a o zmene a doplnení niektorých zákonov v znení neskorších predpisov, do zákona Národnej rady Slovenskej republiky č. 566/1992 Zb. o Národnej banke Slovenska v znení neskorších predpisov, do zákona č. 203/2011 Z.</w:t>
      </w:r>
      <w:r w:rsidR="00C64FFF" w:rsidRPr="004858D5">
        <w:t xml:space="preserve"> </w:t>
      </w:r>
      <w:r w:rsidR="00107C7D" w:rsidRPr="004858D5">
        <w:t xml:space="preserve">z. o kolektívnom investovaní v </w:t>
      </w:r>
      <w:r w:rsidR="001E1F0D" w:rsidRPr="004858D5">
        <w:t>znení neskorších predpisov</w:t>
      </w:r>
      <w:r w:rsidR="00107C7D" w:rsidRPr="004858D5">
        <w:t>, do zákona č. 431/2002 Z. z. o účtovníctve v znení neskorších predpisov a do zákona č. 513/1991 Zb. Obchodný zákonník v znení neskorších predpisov.</w:t>
      </w:r>
    </w:p>
    <w:p w:rsidR="007312CB" w:rsidRPr="004858D5" w:rsidRDefault="007312CB" w:rsidP="007312CB">
      <w:pPr>
        <w:ind w:left="426"/>
        <w:jc w:val="both"/>
      </w:pPr>
    </w:p>
    <w:p w:rsidR="007312CB" w:rsidRPr="004858D5" w:rsidRDefault="00920D5D" w:rsidP="00920D5D">
      <w:pPr>
        <w:ind w:left="426" w:hanging="426"/>
        <w:jc w:val="both"/>
      </w:pPr>
      <w:r w:rsidRPr="004858D5">
        <w:rPr>
          <w:b/>
          <w:bCs/>
        </w:rPr>
        <w:t xml:space="preserve">5.     </w:t>
      </w:r>
      <w:r w:rsidR="007312CB" w:rsidRPr="004858D5">
        <w:rPr>
          <w:b/>
          <w:bCs/>
        </w:rPr>
        <w:t>Návrh zákona je zlučiteľný s právom Európskej únie:</w:t>
      </w:r>
    </w:p>
    <w:p w:rsidR="007312CB" w:rsidRPr="004858D5" w:rsidRDefault="007312CB" w:rsidP="007312CB">
      <w:pPr>
        <w:pStyle w:val="Odsekzoznamu"/>
        <w:numPr>
          <w:ilvl w:val="1"/>
          <w:numId w:val="17"/>
        </w:numPr>
        <w:tabs>
          <w:tab w:val="num" w:pos="709"/>
        </w:tabs>
        <w:spacing w:before="120"/>
        <w:jc w:val="both"/>
      </w:pPr>
      <w:r w:rsidRPr="004858D5">
        <w:t>Úplne.</w:t>
      </w:r>
    </w:p>
    <w:p w:rsidR="007312CB" w:rsidRPr="004858D5" w:rsidRDefault="007312CB" w:rsidP="007312CB"/>
    <w:p w:rsidR="00233B1B" w:rsidRPr="004858D5" w:rsidRDefault="00233B1B" w:rsidP="007312CB"/>
    <w:sectPr w:rsidR="00233B1B" w:rsidRPr="004858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30" w:rsidRDefault="00900230" w:rsidP="003F4409">
      <w:r>
        <w:separator/>
      </w:r>
    </w:p>
  </w:endnote>
  <w:endnote w:type="continuationSeparator" w:id="0">
    <w:p w:rsidR="00900230" w:rsidRDefault="00900230" w:rsidP="003F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96717"/>
      <w:docPartObj>
        <w:docPartGallery w:val="Page Numbers (Bottom of Page)"/>
        <w:docPartUnique/>
      </w:docPartObj>
    </w:sdtPr>
    <w:sdtEndPr/>
    <w:sdtContent>
      <w:p w:rsidR="003F4409" w:rsidRDefault="003F4409">
        <w:pPr>
          <w:pStyle w:val="Pta"/>
          <w:jc w:val="right"/>
        </w:pPr>
        <w:r>
          <w:fldChar w:fldCharType="begin"/>
        </w:r>
        <w:r>
          <w:instrText>PAGE   \* MERGEFORMAT</w:instrText>
        </w:r>
        <w:r>
          <w:fldChar w:fldCharType="separate"/>
        </w:r>
        <w:r w:rsidR="00BD5B49">
          <w:rPr>
            <w:noProof/>
          </w:rPr>
          <w:t>8</w:t>
        </w:r>
        <w:r>
          <w:fldChar w:fldCharType="end"/>
        </w:r>
      </w:p>
    </w:sdtContent>
  </w:sdt>
  <w:p w:rsidR="003F4409" w:rsidRDefault="003F44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30" w:rsidRDefault="00900230" w:rsidP="003F4409">
      <w:r>
        <w:separator/>
      </w:r>
    </w:p>
  </w:footnote>
  <w:footnote w:type="continuationSeparator" w:id="0">
    <w:p w:rsidR="00900230" w:rsidRDefault="00900230" w:rsidP="003F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2CD28C3"/>
    <w:multiLevelType w:val="hybridMultilevel"/>
    <w:tmpl w:val="EDE64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32E07393"/>
    <w:multiLevelType w:val="hybridMultilevel"/>
    <w:tmpl w:val="36DACB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8E41359"/>
    <w:multiLevelType w:val="hybridMultilevel"/>
    <w:tmpl w:val="F49A4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7" w15:restartNumberingAfterBreak="0">
    <w:nsid w:val="49AB5AA0"/>
    <w:multiLevelType w:val="hybridMultilevel"/>
    <w:tmpl w:val="EF228A9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4E067BF5"/>
    <w:multiLevelType w:val="hybridMultilevel"/>
    <w:tmpl w:val="CB086BD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9" w15:restartNumberingAfterBreak="0">
    <w:nsid w:val="52733BEA"/>
    <w:multiLevelType w:val="hybridMultilevel"/>
    <w:tmpl w:val="67327BE0"/>
    <w:lvl w:ilvl="0" w:tplc="2B26D6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7B27F5D"/>
    <w:multiLevelType w:val="hybridMultilevel"/>
    <w:tmpl w:val="EC6EF012"/>
    <w:lvl w:ilvl="0" w:tplc="E3A0330C">
      <w:start w:val="3"/>
      <w:numFmt w:val="lowerLetter"/>
      <w:lvlText w:val="%1)"/>
      <w:lvlJc w:val="left"/>
      <w:pPr>
        <w:tabs>
          <w:tab w:val="num" w:pos="757"/>
        </w:tabs>
        <w:ind w:left="757" w:hanging="360"/>
      </w:pPr>
      <w:rPr>
        <w:rFonts w:cs="Times New Roman" w:hint="default"/>
      </w:rPr>
    </w:lvl>
    <w:lvl w:ilvl="1" w:tplc="857C8F5C">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2" w15:restartNumberingAfterBreak="0">
    <w:nsid w:val="5D0B44FF"/>
    <w:multiLevelType w:val="hybridMultilevel"/>
    <w:tmpl w:val="98B49B3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7F721CE8"/>
    <w:multiLevelType w:val="hybridMultilevel"/>
    <w:tmpl w:val="0930DD1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6"/>
  </w:num>
  <w:num w:numId="4">
    <w:abstractNumId w:val="8"/>
  </w:num>
  <w:num w:numId="5">
    <w:abstractNumId w:val="12"/>
  </w:num>
  <w:num w:numId="6">
    <w:abstractNumId w:val="10"/>
  </w:num>
  <w:num w:numId="7">
    <w:abstractNumId w:val="2"/>
  </w:num>
  <w:num w:numId="8">
    <w:abstractNumId w:val="14"/>
  </w:num>
  <w:num w:numId="9">
    <w:abstractNumId w:val="3"/>
  </w:num>
  <w:num w:numId="10">
    <w:abstractNumId w:val="0"/>
  </w:num>
  <w:num w:numId="11">
    <w:abstractNumId w:val="9"/>
  </w:num>
  <w:num w:numId="12">
    <w:abstractNumId w:val="4"/>
  </w:num>
  <w:num w:numId="13">
    <w:abstractNumId w:val="13"/>
    <w:lvlOverride w:ilvl="0">
      <w:startOverride w:val="1"/>
    </w:lvlOverride>
  </w:num>
  <w:num w:numId="14">
    <w:abstractNumId w:val="8"/>
  </w:num>
  <w:num w:numId="15">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52"/>
    <w:rsid w:val="00002E37"/>
    <w:rsid w:val="000073D5"/>
    <w:rsid w:val="000234CC"/>
    <w:rsid w:val="000300B8"/>
    <w:rsid w:val="00032027"/>
    <w:rsid w:val="00034CCB"/>
    <w:rsid w:val="00035C13"/>
    <w:rsid w:val="0005775B"/>
    <w:rsid w:val="000635AA"/>
    <w:rsid w:val="0007137E"/>
    <w:rsid w:val="00071C20"/>
    <w:rsid w:val="00096552"/>
    <w:rsid w:val="000A6E9E"/>
    <w:rsid w:val="000C0AD5"/>
    <w:rsid w:val="000D6943"/>
    <w:rsid w:val="000F3655"/>
    <w:rsid w:val="000F55C8"/>
    <w:rsid w:val="00107C7D"/>
    <w:rsid w:val="001159C8"/>
    <w:rsid w:val="0013026B"/>
    <w:rsid w:val="00145759"/>
    <w:rsid w:val="00145E8D"/>
    <w:rsid w:val="001529D3"/>
    <w:rsid w:val="00172346"/>
    <w:rsid w:val="00185E05"/>
    <w:rsid w:val="0019191B"/>
    <w:rsid w:val="001A0628"/>
    <w:rsid w:val="001A7768"/>
    <w:rsid w:val="001A7AC4"/>
    <w:rsid w:val="001C6866"/>
    <w:rsid w:val="001D36D7"/>
    <w:rsid w:val="001E1F0D"/>
    <w:rsid w:val="001E3B07"/>
    <w:rsid w:val="001E7328"/>
    <w:rsid w:val="00202620"/>
    <w:rsid w:val="00213B08"/>
    <w:rsid w:val="00215010"/>
    <w:rsid w:val="00233B1B"/>
    <w:rsid w:val="00242734"/>
    <w:rsid w:val="0024648B"/>
    <w:rsid w:val="002547E5"/>
    <w:rsid w:val="00263D63"/>
    <w:rsid w:val="00264ABE"/>
    <w:rsid w:val="00265999"/>
    <w:rsid w:val="00272C51"/>
    <w:rsid w:val="00276124"/>
    <w:rsid w:val="00296E64"/>
    <w:rsid w:val="002B5A06"/>
    <w:rsid w:val="002B61B0"/>
    <w:rsid w:val="002D50CA"/>
    <w:rsid w:val="002E3E2F"/>
    <w:rsid w:val="002F76FC"/>
    <w:rsid w:val="002F7B25"/>
    <w:rsid w:val="003113B7"/>
    <w:rsid w:val="00314A15"/>
    <w:rsid w:val="0035668C"/>
    <w:rsid w:val="00367D50"/>
    <w:rsid w:val="00376AEC"/>
    <w:rsid w:val="003A76F3"/>
    <w:rsid w:val="003F3DEE"/>
    <w:rsid w:val="003F4409"/>
    <w:rsid w:val="00404994"/>
    <w:rsid w:val="00461819"/>
    <w:rsid w:val="0048539E"/>
    <w:rsid w:val="004858D5"/>
    <w:rsid w:val="00495639"/>
    <w:rsid w:val="004A1CA4"/>
    <w:rsid w:val="004A325C"/>
    <w:rsid w:val="004A756E"/>
    <w:rsid w:val="004C41DC"/>
    <w:rsid w:val="004C4272"/>
    <w:rsid w:val="004C7B6A"/>
    <w:rsid w:val="0050634E"/>
    <w:rsid w:val="00512BF5"/>
    <w:rsid w:val="0051680A"/>
    <w:rsid w:val="00527757"/>
    <w:rsid w:val="0053499D"/>
    <w:rsid w:val="00543D66"/>
    <w:rsid w:val="005833D1"/>
    <w:rsid w:val="005A1E6F"/>
    <w:rsid w:val="005A4DF6"/>
    <w:rsid w:val="005C183E"/>
    <w:rsid w:val="005C3674"/>
    <w:rsid w:val="005C6E55"/>
    <w:rsid w:val="005E66E4"/>
    <w:rsid w:val="00606BCF"/>
    <w:rsid w:val="00615D31"/>
    <w:rsid w:val="00617BDD"/>
    <w:rsid w:val="00635E88"/>
    <w:rsid w:val="00640E9D"/>
    <w:rsid w:val="00650102"/>
    <w:rsid w:val="006807F1"/>
    <w:rsid w:val="006A5D56"/>
    <w:rsid w:val="006E372E"/>
    <w:rsid w:val="0071228F"/>
    <w:rsid w:val="00714A57"/>
    <w:rsid w:val="00715DF4"/>
    <w:rsid w:val="00716461"/>
    <w:rsid w:val="007312CB"/>
    <w:rsid w:val="00774F84"/>
    <w:rsid w:val="00781410"/>
    <w:rsid w:val="007914CC"/>
    <w:rsid w:val="007A4949"/>
    <w:rsid w:val="007C358A"/>
    <w:rsid w:val="00801159"/>
    <w:rsid w:val="0081166B"/>
    <w:rsid w:val="008150E1"/>
    <w:rsid w:val="00817B63"/>
    <w:rsid w:val="00830CEC"/>
    <w:rsid w:val="008428BD"/>
    <w:rsid w:val="00846BDF"/>
    <w:rsid w:val="008861B4"/>
    <w:rsid w:val="00893D9A"/>
    <w:rsid w:val="008B2132"/>
    <w:rsid w:val="008C614E"/>
    <w:rsid w:val="008F6DAC"/>
    <w:rsid w:val="00900230"/>
    <w:rsid w:val="00905E96"/>
    <w:rsid w:val="009171F6"/>
    <w:rsid w:val="00920D5D"/>
    <w:rsid w:val="00937332"/>
    <w:rsid w:val="00973985"/>
    <w:rsid w:val="009B6C3C"/>
    <w:rsid w:val="009C58FB"/>
    <w:rsid w:val="009D1A77"/>
    <w:rsid w:val="009E577D"/>
    <w:rsid w:val="009E5F86"/>
    <w:rsid w:val="009F6F91"/>
    <w:rsid w:val="00A05CFE"/>
    <w:rsid w:val="00A120A8"/>
    <w:rsid w:val="00A13934"/>
    <w:rsid w:val="00A53200"/>
    <w:rsid w:val="00A53867"/>
    <w:rsid w:val="00A61950"/>
    <w:rsid w:val="00A62F36"/>
    <w:rsid w:val="00A63454"/>
    <w:rsid w:val="00A66641"/>
    <w:rsid w:val="00A80895"/>
    <w:rsid w:val="00AA19A0"/>
    <w:rsid w:val="00AB1DB8"/>
    <w:rsid w:val="00AE59EC"/>
    <w:rsid w:val="00B0289B"/>
    <w:rsid w:val="00B034CA"/>
    <w:rsid w:val="00B12995"/>
    <w:rsid w:val="00B12D57"/>
    <w:rsid w:val="00B3146D"/>
    <w:rsid w:val="00B337F4"/>
    <w:rsid w:val="00B530AD"/>
    <w:rsid w:val="00B537AF"/>
    <w:rsid w:val="00B53887"/>
    <w:rsid w:val="00B6059D"/>
    <w:rsid w:val="00B73912"/>
    <w:rsid w:val="00B8677E"/>
    <w:rsid w:val="00B95B61"/>
    <w:rsid w:val="00BD02B7"/>
    <w:rsid w:val="00BD243B"/>
    <w:rsid w:val="00BD5B49"/>
    <w:rsid w:val="00BE1A22"/>
    <w:rsid w:val="00BE29FB"/>
    <w:rsid w:val="00BF42A9"/>
    <w:rsid w:val="00BF5B1B"/>
    <w:rsid w:val="00C0135E"/>
    <w:rsid w:val="00C02B36"/>
    <w:rsid w:val="00C03683"/>
    <w:rsid w:val="00C343EC"/>
    <w:rsid w:val="00C431C0"/>
    <w:rsid w:val="00C63E15"/>
    <w:rsid w:val="00C64FFF"/>
    <w:rsid w:val="00CB4193"/>
    <w:rsid w:val="00D11BD6"/>
    <w:rsid w:val="00D12566"/>
    <w:rsid w:val="00D32366"/>
    <w:rsid w:val="00D410A8"/>
    <w:rsid w:val="00D638FC"/>
    <w:rsid w:val="00D6572F"/>
    <w:rsid w:val="00DA1FDA"/>
    <w:rsid w:val="00DB09EB"/>
    <w:rsid w:val="00DC00BA"/>
    <w:rsid w:val="00DD23E6"/>
    <w:rsid w:val="00DD779B"/>
    <w:rsid w:val="00DE31F4"/>
    <w:rsid w:val="00E07F35"/>
    <w:rsid w:val="00E1271A"/>
    <w:rsid w:val="00E2588B"/>
    <w:rsid w:val="00E324D2"/>
    <w:rsid w:val="00E405E2"/>
    <w:rsid w:val="00E408CB"/>
    <w:rsid w:val="00EB7055"/>
    <w:rsid w:val="00EB74D3"/>
    <w:rsid w:val="00EC7172"/>
    <w:rsid w:val="00EE1F4C"/>
    <w:rsid w:val="00EE6A0E"/>
    <w:rsid w:val="00EF14D8"/>
    <w:rsid w:val="00F2409D"/>
    <w:rsid w:val="00F30005"/>
    <w:rsid w:val="00F30EFD"/>
    <w:rsid w:val="00F749F7"/>
    <w:rsid w:val="00F7757E"/>
    <w:rsid w:val="00FC3B2E"/>
    <w:rsid w:val="00FC634E"/>
    <w:rsid w:val="00FC75F2"/>
    <w:rsid w:val="00FD2C9D"/>
    <w:rsid w:val="00FD6974"/>
    <w:rsid w:val="00FF5D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BEB16-DB28-4E16-B5C6-8246AE8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4AB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tavec cíl se seznamem,Odstavec se seznamem1"/>
    <w:basedOn w:val="Normlny"/>
    <w:link w:val="OdsekzoznamuChar"/>
    <w:uiPriority w:val="99"/>
    <w:qFormat/>
    <w:rsid w:val="00096552"/>
    <w:pPr>
      <w:ind w:left="720"/>
      <w:contextualSpacing/>
    </w:pPr>
  </w:style>
  <w:style w:type="character" w:customStyle="1" w:styleId="OdsekzoznamuChar">
    <w:name w:val="Odsek zoznamu Char"/>
    <w:aliases w:val="body Char,Odsek zoznamu2 Char,Odstavec cíl se seznamem Char,Odstavec se seznamem1 Char"/>
    <w:basedOn w:val="Predvolenpsmoodseku"/>
    <w:link w:val="Odsekzoznamu"/>
    <w:uiPriority w:val="99"/>
    <w:locked/>
    <w:rsid w:val="00096552"/>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qFormat/>
    <w:rsid w:val="00096552"/>
    <w:pPr>
      <w:spacing w:before="100" w:beforeAutospacing="1" w:after="100" w:afterAutospacing="1"/>
    </w:pPr>
  </w:style>
  <w:style w:type="paragraph" w:styleId="Zarkazkladnhotextu">
    <w:name w:val="Body Text Indent"/>
    <w:basedOn w:val="Normlny"/>
    <w:link w:val="ZarkazkladnhotextuChar"/>
    <w:uiPriority w:val="99"/>
    <w:rsid w:val="00096552"/>
    <w:pPr>
      <w:ind w:firstLine="340"/>
      <w:jc w:val="both"/>
    </w:pPr>
    <w:rPr>
      <w:szCs w:val="20"/>
    </w:rPr>
  </w:style>
  <w:style w:type="character" w:customStyle="1" w:styleId="ZarkazkladnhotextuChar">
    <w:name w:val="Zarážka základného textu Char"/>
    <w:basedOn w:val="Predvolenpsmoodseku"/>
    <w:link w:val="Zarkazkladnhotextu"/>
    <w:uiPriority w:val="99"/>
    <w:rsid w:val="00096552"/>
    <w:rPr>
      <w:rFonts w:ascii="Times New Roman" w:eastAsia="Times New Roman" w:hAnsi="Times New Roman" w:cs="Times New Roman"/>
      <w:sz w:val="24"/>
      <w:szCs w:val="20"/>
      <w:lang w:eastAsia="sk-SK"/>
    </w:rPr>
  </w:style>
  <w:style w:type="paragraph" w:customStyle="1" w:styleId="Zkladntext">
    <w:name w:val="Zkladn text"/>
    <w:uiPriority w:val="99"/>
    <w:qFormat/>
    <w:rsid w:val="00096552"/>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kladntext0">
    <w:name w:val="Body Text"/>
    <w:basedOn w:val="Normlny"/>
    <w:link w:val="ZkladntextChar"/>
    <w:uiPriority w:val="99"/>
    <w:unhideWhenUsed/>
    <w:rsid w:val="00096552"/>
    <w:pPr>
      <w:spacing w:after="120"/>
    </w:pPr>
  </w:style>
  <w:style w:type="character" w:customStyle="1" w:styleId="ZkladntextChar">
    <w:name w:val="Základný text Char"/>
    <w:basedOn w:val="Predvolenpsmoodseku"/>
    <w:link w:val="Zkladntext0"/>
    <w:uiPriority w:val="99"/>
    <w:rsid w:val="00096552"/>
    <w:rPr>
      <w:rFonts w:ascii="Times New Roman" w:eastAsia="Times New Roman" w:hAnsi="Times New Roman" w:cs="Times New Roman"/>
      <w:sz w:val="24"/>
      <w:szCs w:val="24"/>
      <w:lang w:eastAsia="sk-SK"/>
    </w:rPr>
  </w:style>
  <w:style w:type="character" w:customStyle="1" w:styleId="awspan1">
    <w:name w:val="awspan1"/>
    <w:basedOn w:val="Predvolenpsmoodseku"/>
    <w:rsid w:val="00096552"/>
    <w:rPr>
      <w:rFonts w:cs="Times New Roman"/>
      <w:color w:val="000000"/>
      <w:sz w:val="24"/>
      <w:szCs w:val="24"/>
    </w:rPr>
  </w:style>
  <w:style w:type="paragraph" w:styleId="Hlavika">
    <w:name w:val="header"/>
    <w:basedOn w:val="Normlny"/>
    <w:link w:val="HlavikaChar"/>
    <w:uiPriority w:val="99"/>
    <w:unhideWhenUsed/>
    <w:rsid w:val="003F4409"/>
    <w:pPr>
      <w:tabs>
        <w:tab w:val="center" w:pos="4536"/>
        <w:tab w:val="right" w:pos="9072"/>
      </w:tabs>
    </w:pPr>
  </w:style>
  <w:style w:type="character" w:customStyle="1" w:styleId="HlavikaChar">
    <w:name w:val="Hlavička Char"/>
    <w:basedOn w:val="Predvolenpsmoodseku"/>
    <w:link w:val="Hlavika"/>
    <w:uiPriority w:val="99"/>
    <w:rsid w:val="003F440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F4409"/>
    <w:pPr>
      <w:tabs>
        <w:tab w:val="center" w:pos="4536"/>
        <w:tab w:val="right" w:pos="9072"/>
      </w:tabs>
    </w:pPr>
  </w:style>
  <w:style w:type="character" w:customStyle="1" w:styleId="PtaChar">
    <w:name w:val="Päta Char"/>
    <w:basedOn w:val="Predvolenpsmoodseku"/>
    <w:link w:val="Pta"/>
    <w:uiPriority w:val="99"/>
    <w:rsid w:val="003F4409"/>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FD6974"/>
    <w:rPr>
      <w:i/>
      <w:iCs/>
    </w:rPr>
  </w:style>
  <w:style w:type="paragraph" w:styleId="Textbubliny">
    <w:name w:val="Balloon Text"/>
    <w:basedOn w:val="Normlny"/>
    <w:link w:val="TextbublinyChar"/>
    <w:uiPriority w:val="99"/>
    <w:semiHidden/>
    <w:unhideWhenUsed/>
    <w:rsid w:val="00DB09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09E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912373">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
    <w:div w:id="1632830046">
      <w:bodyDiv w:val="1"/>
      <w:marLeft w:val="0"/>
      <w:marRight w:val="0"/>
      <w:marTop w:val="0"/>
      <w:marBottom w:val="0"/>
      <w:divBdr>
        <w:top w:val="none" w:sz="0" w:space="0" w:color="auto"/>
        <w:left w:val="none" w:sz="0" w:space="0" w:color="auto"/>
        <w:bottom w:val="none" w:sz="0" w:space="0" w:color="auto"/>
        <w:right w:val="none" w:sz="0" w:space="0" w:color="auto"/>
      </w:divBdr>
    </w:div>
    <w:div w:id="21066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dolozka_zlucitelnosti_MPK"/>
    <f:field ref="objsubject" par="" edit="true" text=""/>
    <f:field ref="objcreatedby" par="" text="Matulová, Silvia, Ing."/>
    <f:field ref="objcreatedat" par="" text="13.10.2023 10:30:07"/>
    <f:field ref="objchangedby" par="" text="Administrator, System"/>
    <f:field ref="objmodifiedat" par="" text="13.10.2023 10:30: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3207</Words>
  <Characters>18282</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Precuchova Georgina</cp:lastModifiedBy>
  <cp:revision>11</cp:revision>
  <cp:lastPrinted>2024-09-30T07:14:00Z</cp:lastPrinted>
  <dcterms:created xsi:type="dcterms:W3CDTF">2025-01-09T14:21:00Z</dcterms:created>
  <dcterms:modified xsi:type="dcterms:W3CDTF">2025-02-25T11:11:00Z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Mgr. Michal Horváth</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2022/2464 zo 14. decembra 2022, ktorou sa mení nariadenie (EÚ) č. 537/2014, smernica 2004/109/ES, smernica 2006/43/ES a smernica 2013/34/EÚ, pokiaľ ide o vykazovanie informácií o udržateľnosti</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MF/006450/2023-74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LP/2023/621</vt:lpwstr>
  </property>
  <property fmtid="{D5CDD505-2E9C-101B-9397-08002B2CF9AE}" pid="37" name="FSC#SKEDITIONSLOVLEX@103.510:typsprievdok">
    <vt:lpwstr>Doložka zlučiteľnosti</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Michal Horváth_x000d_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do pripomienkového konania návrh zákona, ktorým sa mení a dopĺňa zákon č. 431/2002 Z. z. o&amp;nbsp;účtovníctve v&amp;nbsp;znení neskorších predpisov a&amp;nbsp;ktorým sa menia a&amp;nbs</vt:lpwstr>
  </property>
  <property fmtid="{D5CDD505-2E9C-101B-9397-08002B2CF9AE}" pid="150" name="FSC#SKEDITIONSLOVLEX@103.510:vytvorenedna">
    <vt:lpwstr>13. 10. 2023</vt:lpwstr>
  </property>
  <property fmtid="{D5CDD505-2E9C-101B-9397-08002B2CF9AE}" pid="151" name="FSC#COOSYSTEM@1.1:Container">
    <vt:lpwstr>COO.2145.1000.3.5895688</vt:lpwstr>
  </property>
  <property fmtid="{D5CDD505-2E9C-101B-9397-08002B2CF9AE}" pid="152" name="FSC#FSCFOLIO@1.1001:docpropproject">
    <vt:lpwstr/>
  </property>
</Properties>
</file>