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A47C37" w:rsidRDefault="00A47C37">
      <w:pPr>
        <w:pStyle w:val="Normlnywebov"/>
        <w:divId w:val="1065489610"/>
      </w:pPr>
      <w:r>
        <w:rPr>
          <w:rStyle w:val="Siln"/>
        </w:rPr>
        <w:t>1.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</w:p>
    <w:p w:rsidR="00A47C37" w:rsidRDefault="00A47C37">
      <w:pPr>
        <w:pStyle w:val="Normlnywebov"/>
        <w:divId w:val="1065489610"/>
      </w:pPr>
      <w:r>
        <w:rPr>
          <w:rStyle w:val="Siln"/>
        </w:rPr>
        <w:t>2.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3.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820C7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4.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Inou formou: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5.</w:t>
      </w:r>
      <w:r w:rsidR="009959E0">
        <w:rPr>
          <w:rStyle w:val="Siln"/>
        </w:rPr>
        <w:t xml:space="preserve"> </w:t>
      </w:r>
      <w:r>
        <w:rPr>
          <w:rStyle w:val="Siln"/>
        </w:rPr>
        <w:t xml:space="preserve">Spôsoby prerokovania s verejnosťou 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49"/>
      </w:tblGrid>
      <w:tr w:rsidR="00A47C37">
        <w:trPr>
          <w:divId w:val="1065489610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Diskusia k legislatívnemu procesu</w:t>
            </w:r>
            <w:r w:rsidRPr="00EB5229">
              <w:rPr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lastRenderedPageBreak/>
              <w:t>Konzultácia</w:t>
            </w:r>
            <w:r w:rsidRPr="00EB5229">
              <w:rPr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6.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704" w:rsidRPr="00837704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837704">
              <w:t xml:space="preserve">  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 xml:space="preserve">7. Okruhy adresne vyzvaných subjektov aktívne zúčastnených na tvorbe právneho </w:t>
      </w:r>
      <w:r w:rsidR="009959E0">
        <w:rPr>
          <w:rStyle w:val="Siln"/>
        </w:rPr>
        <w:t>p</w:t>
      </w:r>
      <w:r>
        <w:rPr>
          <w:rStyle w:val="Siln"/>
        </w:rPr>
        <w:t>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060AAC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60AAC">
              <w:t xml:space="preserve"> 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8.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Default="00A47C37">
      <w:pPr>
        <w:pStyle w:val="Normlnywebov"/>
        <w:divId w:val="1065489610"/>
      </w:pPr>
      <w:r>
        <w:t> </w:t>
      </w:r>
    </w:p>
    <w:p w:rsidR="00C05195" w:rsidRPr="00EB5229" w:rsidRDefault="00C05195">
      <w:pPr>
        <w:pStyle w:val="Normlnywebov"/>
        <w:divId w:val="1065489610"/>
      </w:pP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lastRenderedPageBreak/>
        <w:t>9.</w:t>
      </w:r>
      <w:r w:rsidR="009959E0">
        <w:rPr>
          <w:rStyle w:val="Siln"/>
        </w:rPr>
        <w:t xml:space="preserve"> </w:t>
      </w:r>
      <w:r>
        <w:rPr>
          <w:rStyle w:val="Siln"/>
        </w:rPr>
        <w:t>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211"/>
      </w:tblGrid>
      <w:tr w:rsidR="00A47C37">
        <w:trPr>
          <w:divId w:val="1065489610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Prevažne</w:t>
            </w:r>
          </w:p>
          <w:p w:rsidR="00A47C37" w:rsidRPr="00EB5229" w:rsidRDefault="00A47C37">
            <w:pPr>
              <w:pStyle w:val="Normlnywebov"/>
              <w:jc w:val="center"/>
            </w:pPr>
            <w:r w:rsidRPr="00EB5229">
              <w:t>akceptované / neakceptované</w:t>
            </w:r>
          </w:p>
        </w:tc>
      </w:tr>
      <w:tr w:rsidR="00A47C37">
        <w:trPr>
          <w:divId w:val="1065489610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060AAC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60AAC">
              <w:t xml:space="preserve">  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060AAC">
              <w:rPr>
                <w:rFonts w:ascii="Segoe UI Symbol" w:hAnsi="Segoe UI Symbol" w:cs="Segoe UI Symbol"/>
              </w:rPr>
              <w:t xml:space="preserve"> </w:t>
            </w:r>
            <w:r w:rsidR="00A47C37" w:rsidRPr="00EB5229">
              <w:t xml:space="preserve">/ </w:t>
            </w:r>
            <w:r w:rsidR="00A47C37"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11.Vyhodnotenie účasti verejnosti na tvorbe právneho predpisu predkladateľom:</w:t>
      </w:r>
      <w:r>
        <w:rPr>
          <w:vertAlign w:val="superscript"/>
        </w:rPr>
        <w:t>1</w:t>
      </w:r>
    </w:p>
    <w:p w:rsidR="00A47C37" w:rsidRDefault="00A47C37" w:rsidP="009959E0">
      <w:pPr>
        <w:pStyle w:val="Normlnywebov"/>
        <w:divId w:val="1065489610"/>
      </w:pPr>
      <w:r>
        <w:t> </w:t>
      </w:r>
    </w:p>
    <w:p w:rsidR="00A47C37" w:rsidRPr="00EB5229" w:rsidRDefault="00A47C37" w:rsidP="00060AAC">
      <w:pPr>
        <w:pStyle w:val="Normlnywebov"/>
        <w:spacing w:before="0" w:beforeAutospacing="0" w:after="0" w:afterAutospacing="0"/>
        <w:divId w:val="1065489610"/>
      </w:pPr>
      <w:r>
        <w:t>1 Vypĺňa sa nepovinne, ak sa predkladateľ rozhodne nepovinné údaje vyplniť, uvedie ich slovne.</w:t>
      </w:r>
    </w:p>
    <w:p w:rsidR="00A47C37" w:rsidRDefault="00A47C37" w:rsidP="00060AAC">
      <w:pPr>
        <w:pStyle w:val="Normlnywebov"/>
        <w:spacing w:before="0" w:beforeAutospacing="0" w:after="0" w:afterAutospacing="0"/>
        <w:divId w:val="1065489610"/>
      </w:pPr>
      <w:r>
        <w:t>2 Prostredníctvom právneho a informačného portálu Slov-Lex.</w:t>
      </w:r>
    </w:p>
    <w:p w:rsidR="00A47C37" w:rsidRDefault="00A47C37" w:rsidP="00060AAC">
      <w:pPr>
        <w:pStyle w:val="Normlnywebov"/>
        <w:spacing w:before="0" w:beforeAutospacing="0" w:after="0" w:afterAutospacing="0"/>
        <w:divId w:val="1065489610"/>
      </w:pPr>
      <w:r>
        <w:t>3 Podľa Jednotnej metodiky na posudzovanie vybraných vplyvov a podľa § 2 zákona o tripartite.</w:t>
      </w:r>
    </w:p>
    <w:p w:rsidR="004D7A15" w:rsidRPr="00E55392" w:rsidRDefault="00A47C37" w:rsidP="00060AAC">
      <w:pPr>
        <w:widowControl/>
        <w:rPr>
          <w:lang w:val="en-US"/>
        </w:rPr>
      </w:pPr>
      <w:r>
        <w:t>4 Vrátane odborových organizácií a ich združení.</w:t>
      </w:r>
    </w:p>
    <w:sectPr w:rsidR="004D7A15" w:rsidRPr="00E5539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C4" w:rsidRDefault="00E919C4" w:rsidP="00476076">
      <w:r>
        <w:separator/>
      </w:r>
    </w:p>
  </w:endnote>
  <w:endnote w:type="continuationSeparator" w:id="0">
    <w:p w:rsidR="00E919C4" w:rsidRDefault="00E919C4" w:rsidP="004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43781"/>
      <w:docPartObj>
        <w:docPartGallery w:val="Page Numbers (Bottom of Page)"/>
        <w:docPartUnique/>
      </w:docPartObj>
    </w:sdtPr>
    <w:sdtEndPr/>
    <w:sdtContent>
      <w:p w:rsidR="00476076" w:rsidRDefault="004760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A8">
          <w:rPr>
            <w:noProof/>
          </w:rPr>
          <w:t>3</w:t>
        </w:r>
        <w:r>
          <w:fldChar w:fldCharType="end"/>
        </w:r>
      </w:p>
    </w:sdtContent>
  </w:sdt>
  <w:p w:rsidR="00476076" w:rsidRDefault="004760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C4" w:rsidRDefault="00E919C4" w:rsidP="00476076">
      <w:r>
        <w:separator/>
      </w:r>
    </w:p>
  </w:footnote>
  <w:footnote w:type="continuationSeparator" w:id="0">
    <w:p w:rsidR="00E919C4" w:rsidRDefault="00E919C4" w:rsidP="0047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DAF"/>
    <w:multiLevelType w:val="multilevel"/>
    <w:tmpl w:val="5A6E8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3DC203F"/>
    <w:multiLevelType w:val="multilevel"/>
    <w:tmpl w:val="9C2AA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7FB5B66"/>
    <w:multiLevelType w:val="multilevel"/>
    <w:tmpl w:val="4A96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51612"/>
    <w:multiLevelType w:val="multilevel"/>
    <w:tmpl w:val="EC60E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ED21195"/>
    <w:multiLevelType w:val="multilevel"/>
    <w:tmpl w:val="56044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60AAC"/>
    <w:rsid w:val="000E4F08"/>
    <w:rsid w:val="00181754"/>
    <w:rsid w:val="00212F9A"/>
    <w:rsid w:val="00247998"/>
    <w:rsid w:val="002964B8"/>
    <w:rsid w:val="002E7426"/>
    <w:rsid w:val="00395ED0"/>
    <w:rsid w:val="003F7950"/>
    <w:rsid w:val="00470611"/>
    <w:rsid w:val="00476076"/>
    <w:rsid w:val="0049695E"/>
    <w:rsid w:val="004A1531"/>
    <w:rsid w:val="004D7A15"/>
    <w:rsid w:val="004E04C3"/>
    <w:rsid w:val="005666FA"/>
    <w:rsid w:val="0065696D"/>
    <w:rsid w:val="00671910"/>
    <w:rsid w:val="006C5DD0"/>
    <w:rsid w:val="006F6AA8"/>
    <w:rsid w:val="00716D4D"/>
    <w:rsid w:val="007D62CB"/>
    <w:rsid w:val="00820C77"/>
    <w:rsid w:val="00837704"/>
    <w:rsid w:val="00856250"/>
    <w:rsid w:val="00913F50"/>
    <w:rsid w:val="00974AE7"/>
    <w:rsid w:val="009959E0"/>
    <w:rsid w:val="00A47C37"/>
    <w:rsid w:val="00AA762C"/>
    <w:rsid w:val="00AC5107"/>
    <w:rsid w:val="00B21F89"/>
    <w:rsid w:val="00B833A1"/>
    <w:rsid w:val="00BE78CF"/>
    <w:rsid w:val="00C05195"/>
    <w:rsid w:val="00C15152"/>
    <w:rsid w:val="00C9479C"/>
    <w:rsid w:val="00CD4237"/>
    <w:rsid w:val="00D35FE8"/>
    <w:rsid w:val="00D8599B"/>
    <w:rsid w:val="00D8601B"/>
    <w:rsid w:val="00E266D6"/>
    <w:rsid w:val="00E55392"/>
    <w:rsid w:val="00E919C4"/>
    <w:rsid w:val="00EB2494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47C37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A47C3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60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Kučerová, Daša, Ing."/>
    <f:field ref="objcreatedat" par="" text="29.6.2023 11:00:32"/>
    <f:field ref="objchangedby" par="" text="Administrator, System"/>
    <f:field ref="objmodifiedat" par="" text="29.6.2023 11:00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ms.slx.P.fscsrv</dc:creator>
  <cp:lastModifiedBy>Precuchova Georgina</cp:lastModifiedBy>
  <cp:revision>2</cp:revision>
  <dcterms:created xsi:type="dcterms:W3CDTF">2024-09-12T07:54:00Z</dcterms:created>
  <dcterms:modified xsi:type="dcterms:W3CDTF">2024-09-12T07:54:00Z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Daša Kučerová</vt:lpwstr>
  </property>
  <property fmtid="{D5CDD505-2E9C-101B-9397-08002B2CF9AE}" pid="9" name="FSC#SKEDITIONSLOVLEX@103.510:zodppredkladatel">
    <vt:lpwstr>Mgr. Michal Horváth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381/2001 Z. z. o povinnom zmluvnom poistení zodpovednosti za škodu spôsobenú prevádzkou motorového vozidla a o zmene a doplnení niektorých zákonov v znení neskorších predpisov a ktorým sa menia a dopĺňajú niektoré zákon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Uznesenie vlády SR č. 252 zo 6. apríla 2022 úloha B.3.</vt:lpwstr>
  </property>
  <property fmtid="{D5CDD505-2E9C-101B-9397-08002B2CF9AE}" pid="17" name="FSC#SKEDITIONSLOVLEX@103.510:plnynazovpredpis">
    <vt:lpwstr> Zákon, ktorým sa mení a dopĺňa zákon č. 381/2001 Z. z. o povinnom zmluvnom poistení zodpovednosti za škodu spôsobenú prevádzkou motorového vozidla a o zmene a doplnení niektorých zákonov v znení neskorších predpisov a ktorým sa menia a dopĺňajú niektoré </vt:lpwstr>
  </property>
  <property fmtid="{D5CDD505-2E9C-101B-9397-08002B2CF9AE}" pid="18" name="FSC#SKEDITIONSLOVLEX@103.510:rezortcislopredpis">
    <vt:lpwstr>MF/003641/2023-613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LP/2023/402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-	čl. 4, čl. 26 ods. 2, čl. 49, 56 až 62 Zmluvy o fungovaní Európskej únie (Ú. v. EÚ C 202, 7.6.2016) v platnom znení.</vt:lpwstr>
  </property>
  <property fmtid="{D5CDD505-2E9C-101B-9397-08002B2CF9AE}" pid="38" name="FSC#SKEDITIONSLOVLEX@103.510:AttrStrListDocPropSekundarneLegPravoPO">
    <vt:lpwstr>-	smernica Európskeho parlamentu a Rady (EÚ) 2021/2118 z 24. novembra 2021, ktorou sa mení smernica 2009/103/ES o poistení zodpovednosti za škodu spôsobenú prevádzkou motorových vozidiel a o kontrole plnenia povinnosti poistenia takejto zodpovednosti (Ú. 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-	rozsudok Súdneho dvora vo veci C-648/17, „BTA Baltic Insurance Company“ AS, predtým „Balcia Insurance“ SE a „Baltijas Apdrošināšanas Nams“ AS [2018]._x000d_
-	rozsudok Súdneho dvora vo veci C-80/17, Fundo de Garantia Automóvel proti Alina Antónia Destapado Pã</vt:lpwstr>
  </property>
  <property fmtid="{D5CDD505-2E9C-101B-9397-08002B2CF9AE}" pid="43" name="FSC#SKEDITIONSLOVLEX@103.510:AttrStrListDocPropLehotaPrebratieSmernice">
    <vt:lpwstr>Lehota na prebratie článku 1 bod 8 a 18 smernice 2021/2118 (článok 10a ods. 13 druhý pododsek a článok 25a ods. 13 druhý pododsek smernice 2009/103/ES) bola stanovená do 23. júna 2023, pri ostatných článkoch smernice bola stanovená lehota na prebratie do 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46" name="FSC#SKEDITIONSLOVLEX@103.510:AttrStrListDocPropInfoUzPreberanePP">
    <vt:lpwstr>Bezpredmetné.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Mgr. Michal Horváth_x000d_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zákona, ktorým sa mení a&amp;nbsp;dopĺňa zákon č. 381/2001 Z. z. o povinnom zmluvnom poistení zodpovednosti za škodu spôsobenú prevádzkou motorového vozidla&amp;nbsp; a o zmene a doplnení niektorých zákonov v&amp;nbsp;znení nesko</vt:lpwstr>
  </property>
  <property fmtid="{D5CDD505-2E9C-101B-9397-08002B2CF9AE}" pid="135" name="FSC#COOSYSTEM@1.1:Container">
    <vt:lpwstr>COO.2145.1000.3.5724074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y 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zákony 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</vt:lpwstr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29. 6. 2023</vt:lpwstr>
  </property>
</Properties>
</file>