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08"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4620"/>
        <w:gridCol w:w="850"/>
        <w:gridCol w:w="993"/>
        <w:gridCol w:w="850"/>
        <w:gridCol w:w="3544"/>
        <w:gridCol w:w="709"/>
        <w:gridCol w:w="1077"/>
        <w:gridCol w:w="1049"/>
        <w:gridCol w:w="1134"/>
      </w:tblGrid>
      <w:tr w:rsidR="00A56669" w:rsidRPr="00C34C47" w:rsidTr="004E31F0">
        <w:tc>
          <w:tcPr>
            <w:tcW w:w="15508" w:type="dxa"/>
            <w:gridSpan w:val="10"/>
            <w:tcBorders>
              <w:top w:val="single" w:sz="12" w:space="0" w:color="auto"/>
              <w:left w:val="single" w:sz="12" w:space="0" w:color="auto"/>
              <w:bottom w:val="single" w:sz="4" w:space="0" w:color="auto"/>
              <w:right w:val="single" w:sz="12" w:space="0" w:color="auto"/>
            </w:tcBorders>
          </w:tcPr>
          <w:p w:rsidR="00A56669" w:rsidRPr="00C34C47" w:rsidRDefault="00A56669" w:rsidP="00F1238A">
            <w:pPr>
              <w:pStyle w:val="Nadpis1"/>
              <w:rPr>
                <w:sz w:val="20"/>
                <w:szCs w:val="20"/>
              </w:rPr>
            </w:pPr>
            <w:r w:rsidRPr="00C34C47">
              <w:rPr>
                <w:sz w:val="20"/>
                <w:szCs w:val="20"/>
              </w:rPr>
              <w:t>TABUĽKA  ZHODY</w:t>
            </w:r>
          </w:p>
          <w:p w:rsidR="00A56669" w:rsidRPr="00C34C47" w:rsidRDefault="00A56669" w:rsidP="00F1238A">
            <w:pPr>
              <w:pStyle w:val="Zkladntext"/>
              <w:jc w:val="center"/>
              <w:rPr>
                <w:b/>
                <w:bCs/>
                <w:sz w:val="20"/>
                <w:szCs w:val="20"/>
              </w:rPr>
            </w:pPr>
            <w:r w:rsidRPr="00C34C47">
              <w:rPr>
                <w:b/>
                <w:bCs/>
                <w:sz w:val="20"/>
                <w:szCs w:val="20"/>
              </w:rPr>
              <w:t>návrhu právneho predpisu s právom Európskej únie</w:t>
            </w:r>
          </w:p>
        </w:tc>
      </w:tr>
      <w:tr w:rsidR="00A56669" w:rsidRPr="00C34C47" w:rsidTr="004E31F0">
        <w:trPr>
          <w:trHeight w:val="567"/>
        </w:trPr>
        <w:tc>
          <w:tcPr>
            <w:tcW w:w="6152" w:type="dxa"/>
            <w:gridSpan w:val="3"/>
            <w:tcBorders>
              <w:top w:val="single" w:sz="4" w:space="0" w:color="auto"/>
              <w:left w:val="single" w:sz="12" w:space="0" w:color="auto"/>
              <w:bottom w:val="single" w:sz="4" w:space="0" w:color="auto"/>
              <w:right w:val="single" w:sz="12" w:space="0" w:color="auto"/>
            </w:tcBorders>
          </w:tcPr>
          <w:p w:rsidR="00A56669" w:rsidRPr="00C34C47" w:rsidRDefault="007A036A" w:rsidP="007A036A">
            <w:pPr>
              <w:pStyle w:val="Nadpis4"/>
              <w:spacing w:before="120"/>
              <w:rPr>
                <w:sz w:val="20"/>
                <w:szCs w:val="20"/>
              </w:rPr>
            </w:pPr>
            <w:r>
              <w:rPr>
                <w:sz w:val="20"/>
                <w:szCs w:val="20"/>
              </w:rPr>
              <w:t>Smernica</w:t>
            </w:r>
          </w:p>
          <w:p w:rsidR="00A56669" w:rsidRPr="00C34C47" w:rsidRDefault="00A56669" w:rsidP="00F1238A">
            <w:pPr>
              <w:pStyle w:val="Zkladntext3"/>
              <w:spacing w:line="240" w:lineRule="exact"/>
              <w:rPr>
                <w:b/>
                <w:bCs/>
                <w:color w:val="000000"/>
                <w:sz w:val="20"/>
                <w:szCs w:val="20"/>
              </w:rPr>
            </w:pPr>
          </w:p>
          <w:p w:rsidR="00A56669" w:rsidRPr="00C34C47" w:rsidRDefault="00A56669" w:rsidP="00F1238A">
            <w:pPr>
              <w:pStyle w:val="Zkladntext3"/>
              <w:spacing w:line="240" w:lineRule="exact"/>
              <w:rPr>
                <w:b/>
                <w:bCs/>
                <w:color w:val="000000"/>
                <w:sz w:val="20"/>
                <w:szCs w:val="20"/>
              </w:rPr>
            </w:pPr>
            <w:r w:rsidRPr="00C34C47">
              <w:rPr>
                <w:b/>
                <w:bCs/>
                <w:color w:val="000000"/>
                <w:sz w:val="20"/>
                <w:szCs w:val="20"/>
              </w:rPr>
              <w:t xml:space="preserve">SMERNICA EURÓPSKEHO PARLAMENTU A RADY </w:t>
            </w:r>
            <w:r w:rsidRPr="00C34C47">
              <w:rPr>
                <w:b/>
                <w:bCs/>
                <w:color w:val="000000"/>
                <w:sz w:val="20"/>
                <w:szCs w:val="20"/>
                <w:u w:val="single"/>
              </w:rPr>
              <w:t>2013/34/EÚ</w:t>
            </w:r>
            <w:r w:rsidRPr="00C34C47">
              <w:rPr>
                <w:b/>
                <w:bCs/>
                <w:color w:val="000000"/>
                <w:sz w:val="20"/>
                <w:szCs w:val="20"/>
              </w:rPr>
              <w:t xml:space="preserve"> </w:t>
            </w:r>
          </w:p>
          <w:p w:rsidR="00A56669" w:rsidRPr="00C34C47" w:rsidRDefault="00A56669" w:rsidP="00F1238A">
            <w:pPr>
              <w:pStyle w:val="Zkladntext3"/>
              <w:spacing w:line="240" w:lineRule="exact"/>
              <w:rPr>
                <w:sz w:val="20"/>
                <w:szCs w:val="20"/>
              </w:rPr>
            </w:pPr>
            <w:r w:rsidRPr="00C34C47">
              <w:rPr>
                <w:b/>
                <w:bCs/>
                <w:color w:val="000000"/>
                <w:sz w:val="20"/>
                <w:szCs w:val="20"/>
              </w:rPr>
              <w:t>z 26. júna 2013 o ročných účtovných závierkach, konsolidovaných účtovných závierkach a súvisiacich správach určitých druhov podnikov, ktorou sa mení smernica Európskeho parlamentu a Rady 2006/43/ES a zrušujú smernice Rady 78/660/EHS a 83/349/EHS</w:t>
            </w:r>
            <w:r w:rsidR="003C543D" w:rsidRPr="00C34C47">
              <w:rPr>
                <w:b/>
                <w:bCs/>
                <w:color w:val="000000"/>
                <w:sz w:val="20"/>
                <w:szCs w:val="20"/>
              </w:rPr>
              <w:t xml:space="preserve"> (</w:t>
            </w:r>
            <w:r w:rsidR="003C543D" w:rsidRPr="00C34C47">
              <w:rPr>
                <w:rStyle w:val="Zvraznenie"/>
                <w:b/>
                <w:i w:val="0"/>
                <w:color w:val="333333"/>
                <w:sz w:val="20"/>
                <w:szCs w:val="20"/>
                <w:shd w:val="clear" w:color="auto" w:fill="FFFFFF"/>
              </w:rPr>
              <w:t>Ú. v. EÚ L 182, 29.6.2013)</w:t>
            </w:r>
            <w:r w:rsidR="00D35F7A">
              <w:rPr>
                <w:rStyle w:val="Zvraznenie"/>
                <w:b/>
                <w:i w:val="0"/>
                <w:color w:val="333333"/>
                <w:sz w:val="20"/>
                <w:szCs w:val="20"/>
                <w:shd w:val="clear" w:color="auto" w:fill="FFFFFF"/>
              </w:rPr>
              <w:t xml:space="preserve"> v platnom znení</w:t>
            </w:r>
          </w:p>
        </w:tc>
        <w:tc>
          <w:tcPr>
            <w:tcW w:w="9356" w:type="dxa"/>
            <w:gridSpan w:val="7"/>
            <w:tcBorders>
              <w:top w:val="single" w:sz="4" w:space="0" w:color="auto"/>
              <w:left w:val="nil"/>
              <w:bottom w:val="single" w:sz="4" w:space="0" w:color="auto"/>
              <w:right w:val="single" w:sz="12" w:space="0" w:color="auto"/>
            </w:tcBorders>
          </w:tcPr>
          <w:p w:rsidR="00A56669" w:rsidRPr="00FE311B" w:rsidRDefault="00A56669" w:rsidP="007A036A">
            <w:pPr>
              <w:pStyle w:val="Nadpis4"/>
              <w:spacing w:before="120"/>
              <w:rPr>
                <w:sz w:val="20"/>
                <w:szCs w:val="20"/>
              </w:rPr>
            </w:pPr>
            <w:r w:rsidRPr="00FE311B">
              <w:rPr>
                <w:sz w:val="20"/>
                <w:szCs w:val="20"/>
              </w:rPr>
              <w:t>Právne predpisy Slovenskej republiky</w:t>
            </w:r>
          </w:p>
          <w:p w:rsidR="00A56669" w:rsidRPr="00FE311B" w:rsidRDefault="00A56669" w:rsidP="00F1238A">
            <w:pPr>
              <w:pStyle w:val="Zkladntext"/>
              <w:ind w:right="241"/>
              <w:jc w:val="both"/>
              <w:rPr>
                <w:b/>
                <w:sz w:val="20"/>
                <w:szCs w:val="20"/>
              </w:rPr>
            </w:pPr>
          </w:p>
          <w:p w:rsidR="00A56669" w:rsidRPr="00FE311B" w:rsidRDefault="00A56669" w:rsidP="00F1238A">
            <w:pPr>
              <w:pStyle w:val="Zkladntext"/>
              <w:jc w:val="both"/>
              <w:rPr>
                <w:b/>
                <w:sz w:val="20"/>
                <w:szCs w:val="20"/>
              </w:rPr>
            </w:pPr>
            <w:r w:rsidRPr="00FE311B">
              <w:rPr>
                <w:b/>
                <w:sz w:val="20"/>
                <w:szCs w:val="20"/>
              </w:rPr>
              <w:t xml:space="preserve">Návrh zákona, ktorým sa dopĺňa zákon č. </w:t>
            </w:r>
            <w:r w:rsidR="00692CD1" w:rsidRPr="00FE311B">
              <w:rPr>
                <w:b/>
                <w:sz w:val="20"/>
                <w:szCs w:val="20"/>
              </w:rPr>
              <w:t>566</w:t>
            </w:r>
            <w:r w:rsidRPr="00FE311B">
              <w:rPr>
                <w:b/>
                <w:sz w:val="20"/>
                <w:szCs w:val="20"/>
              </w:rPr>
              <w:t>/200</w:t>
            </w:r>
            <w:r w:rsidR="00692CD1" w:rsidRPr="00FE311B">
              <w:rPr>
                <w:b/>
                <w:sz w:val="20"/>
                <w:szCs w:val="20"/>
              </w:rPr>
              <w:t>1</w:t>
            </w:r>
            <w:r w:rsidRPr="00FE311B">
              <w:rPr>
                <w:b/>
                <w:sz w:val="20"/>
                <w:szCs w:val="20"/>
              </w:rPr>
              <w:t xml:space="preserve"> Z. z. </w:t>
            </w:r>
            <w:r w:rsidR="00692CD1" w:rsidRPr="00FE311B">
              <w:rPr>
                <w:b/>
                <w:sz w:val="20"/>
                <w:szCs w:val="20"/>
              </w:rPr>
              <w:t xml:space="preserve">o cenných papieroch a investičných službách a o zmene a doplnení niektorých zákonov (zákon o cenných papieroch) v znení neskorších predpisov </w:t>
            </w:r>
            <w:r w:rsidRPr="00FE311B">
              <w:rPr>
                <w:b/>
                <w:sz w:val="20"/>
                <w:szCs w:val="20"/>
              </w:rPr>
              <w:t>a </w:t>
            </w:r>
            <w:r w:rsidR="002D39A5" w:rsidRPr="00FE311B">
              <w:rPr>
                <w:b/>
                <w:sz w:val="20"/>
                <w:szCs w:val="20"/>
              </w:rPr>
              <w:t>ktorým sa menia a dopĺňajú niektoré zákony</w:t>
            </w:r>
            <w:r w:rsidR="009113E4" w:rsidRPr="00FE311B">
              <w:rPr>
                <w:b/>
                <w:sz w:val="20"/>
                <w:szCs w:val="20"/>
              </w:rPr>
              <w:t xml:space="preserve"> </w:t>
            </w:r>
            <w:r w:rsidRPr="00FE311B">
              <w:rPr>
                <w:b/>
                <w:sz w:val="20"/>
                <w:szCs w:val="20"/>
              </w:rPr>
              <w:t>(ďalej „návrh“)</w:t>
            </w:r>
          </w:p>
          <w:p w:rsidR="00A56669" w:rsidRPr="003D5262" w:rsidRDefault="00A56669" w:rsidP="00F1238A">
            <w:pPr>
              <w:pStyle w:val="Zkladntext"/>
              <w:jc w:val="both"/>
              <w:rPr>
                <w:sz w:val="20"/>
                <w:szCs w:val="20"/>
              </w:rPr>
            </w:pPr>
            <w:r w:rsidRPr="003D5262">
              <w:rPr>
                <w:sz w:val="20"/>
                <w:szCs w:val="20"/>
              </w:rPr>
              <w:t>Zákon č. 431/2002 Z. z. o účtovníctve v znení neskorší</w:t>
            </w:r>
            <w:r w:rsidR="00FE311B" w:rsidRPr="003D5262">
              <w:rPr>
                <w:sz w:val="20"/>
                <w:szCs w:val="20"/>
              </w:rPr>
              <w:t>ch predpisov (ďalej „431/2002“)</w:t>
            </w:r>
          </w:p>
          <w:p w:rsidR="000E5D9B" w:rsidRPr="003D5262" w:rsidRDefault="000E5D9B" w:rsidP="00F1238A">
            <w:pPr>
              <w:pStyle w:val="Zkladntext"/>
              <w:jc w:val="both"/>
              <w:rPr>
                <w:sz w:val="20"/>
                <w:szCs w:val="20"/>
              </w:rPr>
            </w:pPr>
            <w:r w:rsidRPr="00525949">
              <w:rPr>
                <w:sz w:val="20"/>
                <w:szCs w:val="20"/>
              </w:rPr>
              <w:t>Zákon č. 513/1991 Zb. Obchodný zákonník v znení neskorších predpisov (ďalej „513/1991“)</w:t>
            </w:r>
          </w:p>
          <w:p w:rsidR="00A56669" w:rsidRPr="00FE311B" w:rsidRDefault="00A56669" w:rsidP="00692CD1">
            <w:pPr>
              <w:adjustRightInd w:val="0"/>
              <w:jc w:val="both"/>
              <w:rPr>
                <w:b/>
                <w:sz w:val="20"/>
                <w:szCs w:val="20"/>
              </w:rPr>
            </w:pPr>
          </w:p>
        </w:tc>
      </w:tr>
      <w:tr w:rsidR="00A56669" w:rsidRPr="00C34C47" w:rsidTr="004E31F0">
        <w:tc>
          <w:tcPr>
            <w:tcW w:w="682" w:type="dxa"/>
            <w:tcBorders>
              <w:top w:val="single" w:sz="4" w:space="0" w:color="auto"/>
              <w:left w:val="single" w:sz="12" w:space="0" w:color="auto"/>
              <w:bottom w:val="single" w:sz="4" w:space="0" w:color="auto"/>
              <w:right w:val="single" w:sz="4" w:space="0" w:color="auto"/>
            </w:tcBorders>
          </w:tcPr>
          <w:p w:rsidR="00A56669" w:rsidRPr="00C34C47" w:rsidRDefault="00A56669" w:rsidP="00F1238A">
            <w:pPr>
              <w:jc w:val="center"/>
              <w:rPr>
                <w:sz w:val="20"/>
                <w:szCs w:val="20"/>
              </w:rPr>
            </w:pPr>
            <w:r w:rsidRPr="00C34C47">
              <w:rPr>
                <w:sz w:val="20"/>
                <w:szCs w:val="20"/>
              </w:rPr>
              <w:t>1</w:t>
            </w:r>
          </w:p>
        </w:tc>
        <w:tc>
          <w:tcPr>
            <w:tcW w:w="4620"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jc w:val="center"/>
              <w:rPr>
                <w:sz w:val="20"/>
                <w:szCs w:val="20"/>
              </w:rPr>
            </w:pPr>
            <w:r w:rsidRPr="00C34C47">
              <w:rPr>
                <w:sz w:val="20"/>
                <w:szCs w:val="20"/>
              </w:rPr>
              <w:t>2</w:t>
            </w:r>
          </w:p>
        </w:tc>
        <w:tc>
          <w:tcPr>
            <w:tcW w:w="850" w:type="dxa"/>
            <w:tcBorders>
              <w:top w:val="single" w:sz="4" w:space="0" w:color="auto"/>
              <w:left w:val="single" w:sz="4" w:space="0" w:color="auto"/>
              <w:bottom w:val="single" w:sz="4" w:space="0" w:color="auto"/>
              <w:right w:val="single" w:sz="12" w:space="0" w:color="auto"/>
            </w:tcBorders>
          </w:tcPr>
          <w:p w:rsidR="00A56669" w:rsidRPr="00C34C47" w:rsidRDefault="00A56669" w:rsidP="00F1238A">
            <w:pPr>
              <w:jc w:val="center"/>
              <w:rPr>
                <w:sz w:val="20"/>
                <w:szCs w:val="20"/>
              </w:rPr>
            </w:pPr>
            <w:r w:rsidRPr="00C34C47">
              <w:rPr>
                <w:sz w:val="20"/>
                <w:szCs w:val="20"/>
              </w:rPr>
              <w:t>3</w:t>
            </w:r>
          </w:p>
        </w:tc>
        <w:tc>
          <w:tcPr>
            <w:tcW w:w="993" w:type="dxa"/>
            <w:tcBorders>
              <w:top w:val="single" w:sz="4" w:space="0" w:color="auto"/>
              <w:left w:val="nil"/>
              <w:bottom w:val="single" w:sz="4" w:space="0" w:color="auto"/>
              <w:right w:val="single" w:sz="4" w:space="0" w:color="auto"/>
            </w:tcBorders>
          </w:tcPr>
          <w:p w:rsidR="00A56669" w:rsidRPr="00C34C47" w:rsidRDefault="00A56669" w:rsidP="00F1238A">
            <w:pPr>
              <w:jc w:val="center"/>
              <w:rPr>
                <w:sz w:val="20"/>
                <w:szCs w:val="20"/>
              </w:rPr>
            </w:pPr>
            <w:r w:rsidRPr="00C34C47">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pStyle w:val="Zkladntext2"/>
              <w:spacing w:line="240" w:lineRule="exact"/>
            </w:pPr>
            <w:r w:rsidRPr="00C34C47">
              <w:t>5</w:t>
            </w:r>
          </w:p>
        </w:tc>
        <w:tc>
          <w:tcPr>
            <w:tcW w:w="3544"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pStyle w:val="Zkladntext2"/>
              <w:spacing w:line="240" w:lineRule="exact"/>
            </w:pPr>
            <w:r w:rsidRPr="00C34C47">
              <w:t>6</w:t>
            </w:r>
          </w:p>
        </w:tc>
        <w:tc>
          <w:tcPr>
            <w:tcW w:w="709"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jc w:val="center"/>
              <w:rPr>
                <w:sz w:val="20"/>
                <w:szCs w:val="20"/>
              </w:rPr>
            </w:pPr>
            <w:r w:rsidRPr="00C34C47">
              <w:rPr>
                <w:sz w:val="20"/>
                <w:szCs w:val="20"/>
              </w:rPr>
              <w:t>7</w:t>
            </w:r>
          </w:p>
        </w:tc>
        <w:tc>
          <w:tcPr>
            <w:tcW w:w="1077"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jc w:val="center"/>
              <w:rPr>
                <w:sz w:val="20"/>
                <w:szCs w:val="20"/>
              </w:rPr>
            </w:pPr>
            <w:r w:rsidRPr="00C34C47">
              <w:rPr>
                <w:sz w:val="20"/>
                <w:szCs w:val="20"/>
              </w:rPr>
              <w:t>8</w:t>
            </w:r>
          </w:p>
        </w:tc>
        <w:tc>
          <w:tcPr>
            <w:tcW w:w="1049" w:type="dxa"/>
            <w:tcBorders>
              <w:top w:val="single" w:sz="4" w:space="0" w:color="auto"/>
              <w:left w:val="single" w:sz="4" w:space="0" w:color="auto"/>
              <w:bottom w:val="single" w:sz="4" w:space="0" w:color="auto"/>
              <w:right w:val="single" w:sz="12" w:space="0" w:color="auto"/>
            </w:tcBorders>
          </w:tcPr>
          <w:p w:rsidR="00A56669" w:rsidRPr="00C34C47" w:rsidRDefault="00A56669" w:rsidP="00F1238A">
            <w:pPr>
              <w:jc w:val="center"/>
              <w:rPr>
                <w:sz w:val="20"/>
                <w:szCs w:val="20"/>
              </w:rPr>
            </w:pPr>
            <w:r w:rsidRPr="00C34C47">
              <w:rPr>
                <w:sz w:val="20"/>
                <w:szCs w:val="20"/>
              </w:rPr>
              <w:t>9</w:t>
            </w:r>
          </w:p>
        </w:tc>
        <w:tc>
          <w:tcPr>
            <w:tcW w:w="1134" w:type="dxa"/>
            <w:tcBorders>
              <w:top w:val="single" w:sz="4" w:space="0" w:color="auto"/>
              <w:left w:val="single" w:sz="4" w:space="0" w:color="auto"/>
              <w:bottom w:val="single" w:sz="4" w:space="0" w:color="auto"/>
              <w:right w:val="single" w:sz="12" w:space="0" w:color="auto"/>
            </w:tcBorders>
          </w:tcPr>
          <w:p w:rsidR="00A56669" w:rsidRPr="00C34C47" w:rsidRDefault="00A56669" w:rsidP="00F1238A">
            <w:pPr>
              <w:jc w:val="center"/>
              <w:rPr>
                <w:sz w:val="20"/>
                <w:szCs w:val="20"/>
              </w:rPr>
            </w:pPr>
            <w:r w:rsidRPr="00C34C47">
              <w:rPr>
                <w:sz w:val="20"/>
                <w:szCs w:val="20"/>
              </w:rPr>
              <w:t>10</w:t>
            </w:r>
          </w:p>
        </w:tc>
      </w:tr>
      <w:tr w:rsidR="00A56669" w:rsidRPr="00C34C47" w:rsidTr="004E31F0">
        <w:tc>
          <w:tcPr>
            <w:tcW w:w="682" w:type="dxa"/>
            <w:tcBorders>
              <w:top w:val="single" w:sz="4" w:space="0" w:color="auto"/>
              <w:left w:val="single" w:sz="12" w:space="0" w:color="auto"/>
              <w:bottom w:val="single" w:sz="4" w:space="0" w:color="auto"/>
              <w:right w:val="single" w:sz="4" w:space="0" w:color="auto"/>
            </w:tcBorders>
          </w:tcPr>
          <w:p w:rsidR="00A56669" w:rsidRPr="00C34C47" w:rsidRDefault="00A56669" w:rsidP="00F1238A">
            <w:pPr>
              <w:pStyle w:val="Normlny0"/>
              <w:jc w:val="center"/>
            </w:pPr>
            <w:r w:rsidRPr="00C34C47">
              <w:t>Článok</w:t>
            </w:r>
          </w:p>
          <w:p w:rsidR="00A56669" w:rsidRPr="00C34C47" w:rsidRDefault="00A56669" w:rsidP="00F1238A">
            <w:pPr>
              <w:pStyle w:val="Normlny0"/>
              <w:jc w:val="center"/>
            </w:pPr>
            <w:r w:rsidRPr="00C34C47">
              <w:t>(Č, O,</w:t>
            </w:r>
          </w:p>
          <w:p w:rsidR="00A56669" w:rsidRPr="00C34C47" w:rsidRDefault="00A56669" w:rsidP="00F1238A">
            <w:pPr>
              <w:pStyle w:val="Normlny0"/>
              <w:jc w:val="center"/>
            </w:pPr>
            <w:r w:rsidRPr="00C34C47">
              <w:t>V, P)</w:t>
            </w:r>
          </w:p>
        </w:tc>
        <w:tc>
          <w:tcPr>
            <w:tcW w:w="4620"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pStyle w:val="Normlny0"/>
              <w:jc w:val="center"/>
            </w:pPr>
            <w:r w:rsidRPr="00C34C47">
              <w:t>Text</w:t>
            </w:r>
          </w:p>
        </w:tc>
        <w:tc>
          <w:tcPr>
            <w:tcW w:w="850" w:type="dxa"/>
            <w:tcBorders>
              <w:top w:val="single" w:sz="4" w:space="0" w:color="auto"/>
              <w:left w:val="single" w:sz="4" w:space="0" w:color="auto"/>
              <w:bottom w:val="single" w:sz="4" w:space="0" w:color="auto"/>
              <w:right w:val="single" w:sz="12" w:space="0" w:color="auto"/>
            </w:tcBorders>
          </w:tcPr>
          <w:p w:rsidR="00A56669" w:rsidRPr="00C34C47" w:rsidRDefault="00A56669" w:rsidP="00F1238A">
            <w:pPr>
              <w:pStyle w:val="Normlny0"/>
              <w:jc w:val="center"/>
            </w:pPr>
            <w:r w:rsidRPr="00C34C47">
              <w:t xml:space="preserve">Spôsob </w:t>
            </w:r>
            <w:proofErr w:type="spellStart"/>
            <w:r w:rsidRPr="00C34C47">
              <w:t>transp</w:t>
            </w:r>
            <w:proofErr w:type="spellEnd"/>
            <w:r w:rsidRPr="00C34C47">
              <w:t>.</w:t>
            </w:r>
          </w:p>
          <w:p w:rsidR="00A56669" w:rsidRPr="00C34C47" w:rsidRDefault="00A56669" w:rsidP="00F1238A">
            <w:pPr>
              <w:pStyle w:val="Normlny0"/>
              <w:jc w:val="center"/>
            </w:pPr>
            <w:r w:rsidRPr="00C34C47">
              <w:t xml:space="preserve">(N, O, D, </w:t>
            </w:r>
            <w:proofErr w:type="spellStart"/>
            <w:r w:rsidRPr="00C34C47">
              <w:t>n.a</w:t>
            </w:r>
            <w:proofErr w:type="spellEnd"/>
            <w:r w:rsidRPr="00C34C47">
              <w:t>.)</w:t>
            </w:r>
          </w:p>
        </w:tc>
        <w:tc>
          <w:tcPr>
            <w:tcW w:w="993" w:type="dxa"/>
            <w:tcBorders>
              <w:top w:val="single" w:sz="4" w:space="0" w:color="auto"/>
              <w:left w:val="nil"/>
              <w:bottom w:val="single" w:sz="4" w:space="0" w:color="auto"/>
              <w:right w:val="single" w:sz="4" w:space="0" w:color="auto"/>
            </w:tcBorders>
          </w:tcPr>
          <w:p w:rsidR="00A56669" w:rsidRPr="00C34C47" w:rsidRDefault="00A56669" w:rsidP="00F1238A">
            <w:pPr>
              <w:pStyle w:val="Normlny0"/>
              <w:jc w:val="center"/>
            </w:pPr>
            <w:r w:rsidRPr="00C34C47">
              <w:t>Číslo</w:t>
            </w:r>
          </w:p>
          <w:p w:rsidR="00A56669" w:rsidRPr="00C34C47" w:rsidRDefault="00A56669" w:rsidP="00F1238A">
            <w:pPr>
              <w:pStyle w:val="Normlny0"/>
              <w:jc w:val="center"/>
            </w:pPr>
            <w:r w:rsidRPr="00C34C47">
              <w:t>predpisu</w:t>
            </w:r>
          </w:p>
        </w:tc>
        <w:tc>
          <w:tcPr>
            <w:tcW w:w="850"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pStyle w:val="Normlny0"/>
              <w:jc w:val="center"/>
            </w:pPr>
            <w:r w:rsidRPr="00C34C47">
              <w:t>Článok (Č, §, O, V, P)</w:t>
            </w:r>
          </w:p>
        </w:tc>
        <w:tc>
          <w:tcPr>
            <w:tcW w:w="3544"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pStyle w:val="Normlny0"/>
              <w:jc w:val="center"/>
            </w:pPr>
            <w:r w:rsidRPr="00C34C47">
              <w:t>Text</w:t>
            </w:r>
          </w:p>
        </w:tc>
        <w:tc>
          <w:tcPr>
            <w:tcW w:w="709"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pStyle w:val="Normlny0"/>
              <w:ind w:left="-48" w:hanging="48"/>
              <w:jc w:val="center"/>
            </w:pPr>
            <w:r w:rsidRPr="00C34C47">
              <w:t>Zhoda</w:t>
            </w:r>
          </w:p>
        </w:tc>
        <w:tc>
          <w:tcPr>
            <w:tcW w:w="1077" w:type="dxa"/>
            <w:tcBorders>
              <w:top w:val="single" w:sz="4" w:space="0" w:color="auto"/>
              <w:left w:val="single" w:sz="4" w:space="0" w:color="auto"/>
              <w:bottom w:val="single" w:sz="4" w:space="0" w:color="auto"/>
              <w:right w:val="single" w:sz="4" w:space="0" w:color="auto"/>
            </w:tcBorders>
          </w:tcPr>
          <w:p w:rsidR="00A56669" w:rsidRPr="00C34C47" w:rsidRDefault="00A56669" w:rsidP="00F1238A">
            <w:pPr>
              <w:pStyle w:val="Normlny0"/>
              <w:jc w:val="center"/>
            </w:pPr>
            <w:r w:rsidRPr="00C34C47">
              <w:t>Poznámky</w:t>
            </w:r>
          </w:p>
        </w:tc>
        <w:tc>
          <w:tcPr>
            <w:tcW w:w="1049" w:type="dxa"/>
            <w:tcBorders>
              <w:top w:val="single" w:sz="4" w:space="0" w:color="auto"/>
              <w:left w:val="single" w:sz="4" w:space="0" w:color="auto"/>
              <w:bottom w:val="single" w:sz="4" w:space="0" w:color="auto"/>
              <w:right w:val="single" w:sz="12" w:space="0" w:color="auto"/>
            </w:tcBorders>
          </w:tcPr>
          <w:p w:rsidR="00A56669" w:rsidRPr="00C34C47" w:rsidRDefault="00A56669" w:rsidP="00A56669">
            <w:pPr>
              <w:pStyle w:val="Normlny0"/>
              <w:ind w:right="-42"/>
              <w:jc w:val="center"/>
            </w:pPr>
            <w:r w:rsidRPr="00C34C47">
              <w:t xml:space="preserve">Identifikácia </w:t>
            </w:r>
            <w:proofErr w:type="spellStart"/>
            <w:r w:rsidRPr="00C34C47">
              <w:t>goldplatingu</w:t>
            </w:r>
            <w:proofErr w:type="spellEnd"/>
          </w:p>
        </w:tc>
        <w:tc>
          <w:tcPr>
            <w:tcW w:w="1134" w:type="dxa"/>
            <w:tcBorders>
              <w:top w:val="single" w:sz="4" w:space="0" w:color="auto"/>
              <w:left w:val="single" w:sz="4" w:space="0" w:color="auto"/>
              <w:bottom w:val="single" w:sz="4" w:space="0" w:color="auto"/>
              <w:right w:val="single" w:sz="12" w:space="0" w:color="auto"/>
            </w:tcBorders>
          </w:tcPr>
          <w:p w:rsidR="00A56669" w:rsidRPr="00C34C47" w:rsidRDefault="00A56669" w:rsidP="00F1238A">
            <w:pPr>
              <w:pStyle w:val="Normlny0"/>
              <w:jc w:val="center"/>
            </w:pPr>
            <w:r w:rsidRPr="00C34C47">
              <w:t xml:space="preserve">Identifikácia oblasti </w:t>
            </w:r>
            <w:proofErr w:type="spellStart"/>
            <w:r w:rsidRPr="00C34C47">
              <w:t>goldplatingu</w:t>
            </w:r>
            <w:proofErr w:type="spellEnd"/>
            <w:r w:rsidRPr="00C34C47">
              <w:t xml:space="preserve"> a vyjadrenie k opodstatnenosti </w:t>
            </w:r>
            <w:proofErr w:type="spellStart"/>
            <w:r w:rsidRPr="00C34C47">
              <w:t>goldplatingu</w:t>
            </w:r>
            <w:proofErr w:type="spellEnd"/>
            <w:r w:rsidRPr="00C34C47">
              <w:t>*</w:t>
            </w:r>
          </w:p>
        </w:tc>
      </w:tr>
      <w:tr w:rsidR="00D36AB8" w:rsidRPr="00C34C47" w:rsidTr="00F1238A">
        <w:tc>
          <w:tcPr>
            <w:tcW w:w="682" w:type="dxa"/>
            <w:vMerge w:val="restart"/>
            <w:tcBorders>
              <w:top w:val="single" w:sz="4" w:space="0" w:color="auto"/>
              <w:left w:val="single" w:sz="12" w:space="0" w:color="auto"/>
              <w:right w:val="single" w:sz="4" w:space="0" w:color="auto"/>
            </w:tcBorders>
          </w:tcPr>
          <w:p w:rsidR="00D36AB8" w:rsidRPr="00AD7E65" w:rsidRDefault="00D36AB8" w:rsidP="00D36AB8">
            <w:pPr>
              <w:spacing w:line="276" w:lineRule="auto"/>
              <w:jc w:val="center"/>
              <w:rPr>
                <w:b/>
                <w:color w:val="000000"/>
                <w:sz w:val="20"/>
                <w:szCs w:val="20"/>
              </w:rPr>
            </w:pPr>
            <w:r w:rsidRPr="00AD7E65">
              <w:rPr>
                <w:b/>
                <w:color w:val="000000"/>
                <w:sz w:val="20"/>
                <w:szCs w:val="20"/>
              </w:rPr>
              <w:t>Č: 33</w:t>
            </w:r>
          </w:p>
          <w:p w:rsidR="00D36AB8" w:rsidRPr="00C34C47" w:rsidRDefault="00D36AB8" w:rsidP="00D36AB8">
            <w:pPr>
              <w:spacing w:line="276" w:lineRule="auto"/>
              <w:jc w:val="center"/>
              <w:rPr>
                <w:b/>
                <w:color w:val="000000"/>
                <w:sz w:val="20"/>
                <w:szCs w:val="20"/>
              </w:rPr>
            </w:pPr>
            <w:r w:rsidRPr="00AD7E65">
              <w:rPr>
                <w:b/>
                <w:color w:val="000000"/>
                <w:sz w:val="20"/>
                <w:szCs w:val="20"/>
              </w:rPr>
              <w:t>O:2</w:t>
            </w:r>
          </w:p>
        </w:tc>
        <w:tc>
          <w:tcPr>
            <w:tcW w:w="4620" w:type="dxa"/>
            <w:vMerge w:val="restart"/>
            <w:tcBorders>
              <w:top w:val="single" w:sz="4" w:space="0" w:color="auto"/>
              <w:left w:val="single" w:sz="4" w:space="0" w:color="auto"/>
              <w:right w:val="single" w:sz="4" w:space="0" w:color="auto"/>
            </w:tcBorders>
          </w:tcPr>
          <w:p w:rsidR="00AD7E65" w:rsidRPr="00525949" w:rsidRDefault="00AD7E65" w:rsidP="00D36AB8">
            <w:pPr>
              <w:spacing w:before="75" w:after="75"/>
              <w:jc w:val="both"/>
              <w:rPr>
                <w:b/>
                <w:sz w:val="18"/>
                <w:szCs w:val="18"/>
              </w:rPr>
            </w:pPr>
            <w:r w:rsidRPr="00525949">
              <w:rPr>
                <w:b/>
                <w:sz w:val="18"/>
                <w:szCs w:val="18"/>
              </w:rPr>
              <w:t>Zodpovednosť a povinnosť v súvislosti so zostavením a uverejnením účtovnej závierky a správy o hospodárení</w:t>
            </w:r>
          </w:p>
          <w:p w:rsidR="00AD7E65" w:rsidRPr="00525949" w:rsidRDefault="00AD7E65" w:rsidP="00D36AB8">
            <w:pPr>
              <w:spacing w:before="75" w:after="75"/>
              <w:jc w:val="both"/>
              <w:rPr>
                <w:sz w:val="20"/>
                <w:szCs w:val="20"/>
              </w:rPr>
            </w:pPr>
          </w:p>
          <w:p w:rsidR="00D36AB8" w:rsidRPr="00C34C47" w:rsidRDefault="00AD7E65" w:rsidP="00D36AB8">
            <w:pPr>
              <w:spacing w:before="75" w:after="75"/>
              <w:jc w:val="both"/>
              <w:rPr>
                <w:sz w:val="20"/>
                <w:szCs w:val="20"/>
              </w:rPr>
            </w:pPr>
            <w:r w:rsidRPr="00525949">
              <w:rPr>
                <w:sz w:val="20"/>
                <w:szCs w:val="20"/>
              </w:rPr>
              <w:t>2.</w:t>
            </w:r>
            <w:r>
              <w:rPr>
                <w:sz w:val="20"/>
                <w:szCs w:val="20"/>
              </w:rPr>
              <w:t xml:space="preserve"> </w:t>
            </w:r>
            <w:r w:rsidR="00D36AB8" w:rsidRPr="00C34C47">
              <w:rPr>
                <w:sz w:val="20"/>
                <w:szCs w:val="20"/>
              </w:rPr>
              <w:t>Členské štáty zabezpečia, aby sa ich zákony, iné právne predpisy a správne opatrenia týkajúce sa zodpovednosti, aspoň voči podniku, uplatňovali na členov správnych, riadiacich a dozorných orgánov podnikov, pokiaľ ide o porušenie povinností uvedených v odseku 1.</w:t>
            </w:r>
          </w:p>
        </w:tc>
        <w:tc>
          <w:tcPr>
            <w:tcW w:w="850" w:type="dxa"/>
            <w:vMerge w:val="restart"/>
            <w:tcBorders>
              <w:top w:val="single" w:sz="4" w:space="0" w:color="auto"/>
              <w:left w:val="single" w:sz="4" w:space="0" w:color="auto"/>
              <w:right w:val="single" w:sz="12" w:space="0" w:color="auto"/>
            </w:tcBorders>
          </w:tcPr>
          <w:p w:rsidR="00D36AB8" w:rsidRPr="00C34C47" w:rsidRDefault="00D36AB8" w:rsidP="00D36AB8">
            <w:pPr>
              <w:spacing w:after="200" w:line="276" w:lineRule="auto"/>
              <w:jc w:val="center"/>
              <w:rPr>
                <w:color w:val="000000"/>
                <w:sz w:val="20"/>
                <w:szCs w:val="20"/>
              </w:rPr>
            </w:pPr>
            <w:r w:rsidRPr="00C34C47">
              <w:rPr>
                <w:color w:val="000000"/>
                <w:sz w:val="20"/>
                <w:szCs w:val="20"/>
              </w:rPr>
              <w:t>N</w:t>
            </w:r>
          </w:p>
        </w:tc>
        <w:tc>
          <w:tcPr>
            <w:tcW w:w="993" w:type="dxa"/>
            <w:vMerge w:val="restart"/>
            <w:tcBorders>
              <w:top w:val="single" w:sz="4" w:space="0" w:color="auto"/>
              <w:left w:val="nil"/>
              <w:right w:val="single" w:sz="4" w:space="0" w:color="auto"/>
            </w:tcBorders>
          </w:tcPr>
          <w:p w:rsidR="00D36AB8" w:rsidRPr="00C34C47" w:rsidRDefault="00D36AB8" w:rsidP="00D36AB8">
            <w:pPr>
              <w:rPr>
                <w:color w:val="000000"/>
                <w:sz w:val="20"/>
                <w:szCs w:val="20"/>
              </w:rPr>
            </w:pPr>
            <w:r w:rsidRPr="00C34C47">
              <w:rPr>
                <w:color w:val="000000"/>
                <w:sz w:val="20"/>
                <w:szCs w:val="20"/>
              </w:rPr>
              <w:t>431/2002</w:t>
            </w:r>
          </w:p>
          <w:p w:rsidR="00D36AB8" w:rsidRPr="00FE311B" w:rsidRDefault="00AD7E65" w:rsidP="00FE311B">
            <w:pPr>
              <w:rPr>
                <w:b/>
                <w:strike/>
                <w:color w:val="FF0000"/>
                <w:sz w:val="20"/>
                <w:szCs w:val="20"/>
              </w:rPr>
            </w:pPr>
            <w:r>
              <w:rPr>
                <w:color w:val="000000"/>
                <w:sz w:val="20"/>
                <w:szCs w:val="20"/>
              </w:rPr>
              <w:t xml:space="preserve">    </w:t>
            </w: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Pr="00C34C47" w:rsidRDefault="00D36AB8" w:rsidP="00D36AB8">
            <w:pPr>
              <w:rPr>
                <w:b/>
                <w:color w:val="000000"/>
                <w:sz w:val="20"/>
                <w:szCs w:val="20"/>
              </w:rPr>
            </w:pPr>
          </w:p>
          <w:p w:rsidR="00D36AB8" w:rsidRDefault="00D36AB8" w:rsidP="00D36AB8">
            <w:pPr>
              <w:rPr>
                <w:b/>
                <w:color w:val="000000"/>
                <w:sz w:val="20"/>
                <w:szCs w:val="20"/>
              </w:rPr>
            </w:pPr>
          </w:p>
          <w:p w:rsidR="000E5D9B" w:rsidRDefault="000E5D9B" w:rsidP="00D36AB8">
            <w:pPr>
              <w:rPr>
                <w:b/>
                <w:color w:val="000000"/>
                <w:sz w:val="20"/>
                <w:szCs w:val="20"/>
              </w:rPr>
            </w:pPr>
          </w:p>
          <w:p w:rsidR="00FE311B" w:rsidRDefault="00FE311B" w:rsidP="00D36AB8">
            <w:pPr>
              <w:rPr>
                <w:b/>
                <w:color w:val="000000"/>
                <w:sz w:val="20"/>
                <w:szCs w:val="20"/>
              </w:rPr>
            </w:pPr>
          </w:p>
          <w:p w:rsidR="00FE311B" w:rsidRDefault="00FE311B" w:rsidP="00D36AB8">
            <w:pPr>
              <w:rPr>
                <w:b/>
                <w:color w:val="000000"/>
                <w:sz w:val="20"/>
                <w:szCs w:val="20"/>
              </w:rPr>
            </w:pPr>
          </w:p>
          <w:p w:rsidR="00A371FA" w:rsidRPr="00C34C47" w:rsidRDefault="00A371FA" w:rsidP="00D36AB8">
            <w:pPr>
              <w:rPr>
                <w:b/>
                <w:color w:val="000000"/>
                <w:sz w:val="20"/>
                <w:szCs w:val="20"/>
              </w:rPr>
            </w:pPr>
            <w:r>
              <w:rPr>
                <w:b/>
                <w:color w:val="000000"/>
                <w:sz w:val="20"/>
                <w:szCs w:val="20"/>
              </w:rPr>
              <w:t xml:space="preserve">Návrh zákona </w:t>
            </w:r>
          </w:p>
          <w:p w:rsidR="00D36AB8" w:rsidRPr="00C34C47" w:rsidRDefault="00A371FA" w:rsidP="00D36AB8">
            <w:pPr>
              <w:rPr>
                <w:b/>
                <w:color w:val="000000"/>
                <w:sz w:val="20"/>
                <w:szCs w:val="20"/>
              </w:rPr>
            </w:pPr>
            <w:r>
              <w:rPr>
                <w:b/>
                <w:color w:val="000000"/>
                <w:sz w:val="20"/>
                <w:szCs w:val="20"/>
              </w:rPr>
              <w:t>Čl. V</w:t>
            </w:r>
          </w:p>
          <w:p w:rsidR="00D36AB8" w:rsidRPr="00C34C47" w:rsidRDefault="00D36AB8" w:rsidP="00D36AB8">
            <w:pPr>
              <w:rPr>
                <w:b/>
                <w:color w:val="000000"/>
                <w:sz w:val="20"/>
                <w:szCs w:val="20"/>
              </w:rPr>
            </w:pPr>
          </w:p>
          <w:p w:rsidR="00D36AB8" w:rsidRPr="00C34C47" w:rsidRDefault="00D36AB8" w:rsidP="00D36AB8">
            <w:pPr>
              <w:rPr>
                <w:color w:val="000000"/>
                <w:sz w:val="20"/>
                <w:szCs w:val="20"/>
              </w:rPr>
            </w:pPr>
            <w:r w:rsidRPr="00C34C47">
              <w:rPr>
                <w:color w:val="000000"/>
                <w:sz w:val="20"/>
                <w:szCs w:val="20"/>
              </w:rPr>
              <w:t>431/2002</w:t>
            </w: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p>
          <w:p w:rsidR="00D36AB8" w:rsidRPr="00C34C47" w:rsidRDefault="00D36AB8" w:rsidP="00D36AB8">
            <w:pPr>
              <w:rPr>
                <w:color w:val="000000"/>
                <w:sz w:val="20"/>
                <w:szCs w:val="20"/>
              </w:rPr>
            </w:pPr>
            <w:r w:rsidRPr="00C34C47">
              <w:rPr>
                <w:color w:val="000000"/>
                <w:sz w:val="20"/>
                <w:szCs w:val="20"/>
              </w:rPr>
              <w:t>513/1991</w:t>
            </w:r>
          </w:p>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FE49DF" w:rsidRDefault="00D36AB8" w:rsidP="00D36AB8">
            <w:pPr>
              <w:jc w:val="center"/>
              <w:rPr>
                <w:color w:val="000000"/>
                <w:sz w:val="20"/>
                <w:szCs w:val="20"/>
              </w:rPr>
            </w:pPr>
            <w:r w:rsidRPr="00FE49DF">
              <w:rPr>
                <w:color w:val="000000"/>
                <w:sz w:val="20"/>
                <w:szCs w:val="20"/>
              </w:rPr>
              <w:lastRenderedPageBreak/>
              <w:t>§ 38</w:t>
            </w:r>
          </w:p>
          <w:p w:rsidR="00D36AB8" w:rsidRPr="00FE49DF" w:rsidRDefault="00D36AB8" w:rsidP="00D36AB8">
            <w:pPr>
              <w:jc w:val="center"/>
              <w:rPr>
                <w:color w:val="000000"/>
                <w:sz w:val="20"/>
                <w:szCs w:val="20"/>
              </w:rPr>
            </w:pPr>
            <w:r w:rsidRPr="00FE49DF">
              <w:rPr>
                <w:color w:val="000000"/>
                <w:sz w:val="20"/>
                <w:szCs w:val="20"/>
              </w:rPr>
              <w:t>O: 1</w:t>
            </w:r>
          </w:p>
          <w:p w:rsidR="00D36AB8" w:rsidRPr="00FE49DF" w:rsidRDefault="00D36AB8" w:rsidP="00D36AB8">
            <w:pPr>
              <w:jc w:val="center"/>
              <w:rPr>
                <w:color w:val="000000"/>
                <w:sz w:val="20"/>
                <w:szCs w:val="20"/>
              </w:rPr>
            </w:pPr>
            <w:r w:rsidRPr="00FE49DF">
              <w:rPr>
                <w:color w:val="000000"/>
                <w:sz w:val="20"/>
                <w:szCs w:val="20"/>
              </w:rPr>
              <w:t>P:a</w:t>
            </w:r>
          </w:p>
        </w:tc>
        <w:tc>
          <w:tcPr>
            <w:tcW w:w="3544" w:type="dxa"/>
            <w:tcBorders>
              <w:top w:val="single" w:sz="4" w:space="0" w:color="auto"/>
              <w:left w:val="single" w:sz="4" w:space="0" w:color="auto"/>
              <w:bottom w:val="single" w:sz="4" w:space="0" w:color="auto"/>
              <w:right w:val="single" w:sz="4" w:space="0" w:color="auto"/>
            </w:tcBorders>
          </w:tcPr>
          <w:p w:rsidR="00D36AB8" w:rsidRPr="00FE49DF" w:rsidRDefault="00AD7E65" w:rsidP="00D36AB8">
            <w:pPr>
              <w:jc w:val="both"/>
              <w:rPr>
                <w:sz w:val="20"/>
                <w:szCs w:val="20"/>
              </w:rPr>
            </w:pPr>
            <w:r w:rsidRPr="00FE49DF">
              <w:rPr>
                <w:sz w:val="20"/>
                <w:szCs w:val="20"/>
              </w:rPr>
              <w:t xml:space="preserve">(1) </w:t>
            </w:r>
            <w:r w:rsidR="00D36AB8" w:rsidRPr="00FE49DF">
              <w:rPr>
                <w:sz w:val="20"/>
                <w:szCs w:val="20"/>
              </w:rPr>
              <w:t>Správneho deliktu sa dopustí účtovná jednotka, ak</w:t>
            </w:r>
          </w:p>
          <w:p w:rsidR="00D36AB8" w:rsidRPr="00FE49DF" w:rsidRDefault="00EF3DA4" w:rsidP="00D36AB8">
            <w:pPr>
              <w:jc w:val="both"/>
              <w:rPr>
                <w:sz w:val="20"/>
                <w:szCs w:val="20"/>
              </w:rPr>
            </w:pPr>
            <w:r w:rsidRPr="00FE49DF">
              <w:rPr>
                <w:sz w:val="20"/>
                <w:szCs w:val="20"/>
              </w:rPr>
              <w:t xml:space="preserve">a) </w:t>
            </w:r>
            <w:r w:rsidR="00D36AB8" w:rsidRPr="00FE49DF">
              <w:rPr>
                <w:sz w:val="20"/>
                <w:szCs w:val="20"/>
              </w:rPr>
              <w:t>neviedla účtovníctvo podľa § 4 ods. 1 alebo nezostavila účtovnú závierku podľa § 6 ods. 4,</w:t>
            </w:r>
          </w:p>
        </w:tc>
        <w:tc>
          <w:tcPr>
            <w:tcW w:w="709" w:type="dxa"/>
            <w:vMerge w:val="restart"/>
            <w:tcBorders>
              <w:top w:val="single" w:sz="4" w:space="0" w:color="auto"/>
              <w:left w:val="single" w:sz="4" w:space="0" w:color="auto"/>
              <w:right w:val="single" w:sz="4" w:space="0" w:color="auto"/>
            </w:tcBorders>
          </w:tcPr>
          <w:p w:rsidR="00D36AB8" w:rsidRPr="00C34C47" w:rsidRDefault="00D36AB8" w:rsidP="00D36AB8">
            <w:pPr>
              <w:adjustRightInd w:val="0"/>
              <w:rPr>
                <w:color w:val="000000"/>
                <w:sz w:val="20"/>
                <w:szCs w:val="20"/>
              </w:rPr>
            </w:pPr>
            <w:r w:rsidRPr="00C34C47">
              <w:rPr>
                <w:color w:val="000000"/>
                <w:sz w:val="20"/>
                <w:szCs w:val="20"/>
              </w:rPr>
              <w:t>Ú</w:t>
            </w:r>
          </w:p>
        </w:tc>
        <w:tc>
          <w:tcPr>
            <w:tcW w:w="1077" w:type="dxa"/>
            <w:vMerge w:val="restart"/>
            <w:tcBorders>
              <w:top w:val="single" w:sz="4" w:space="0" w:color="auto"/>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r w:rsidRPr="00C34C47">
              <w:rPr>
                <w:sz w:val="20"/>
                <w:szCs w:val="20"/>
              </w:rPr>
              <w:t>GP - N</w:t>
            </w:r>
          </w:p>
        </w:tc>
        <w:tc>
          <w:tcPr>
            <w:tcW w:w="1134"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38</w:t>
            </w:r>
          </w:p>
          <w:p w:rsidR="00D36AB8" w:rsidRPr="00C34C47" w:rsidRDefault="00D36AB8" w:rsidP="00D36AB8">
            <w:pPr>
              <w:jc w:val="center"/>
              <w:rPr>
                <w:color w:val="000000"/>
                <w:sz w:val="20"/>
                <w:szCs w:val="20"/>
              </w:rPr>
            </w:pPr>
            <w:r w:rsidRPr="00C34C47">
              <w:rPr>
                <w:color w:val="000000"/>
                <w:sz w:val="20"/>
                <w:szCs w:val="20"/>
              </w:rPr>
              <w:t>O: 1</w:t>
            </w:r>
          </w:p>
          <w:p w:rsidR="00D36AB8" w:rsidRPr="00C34C47" w:rsidRDefault="00D36AB8" w:rsidP="00D36AB8">
            <w:pPr>
              <w:jc w:val="center"/>
              <w:rPr>
                <w:color w:val="000000"/>
                <w:sz w:val="20"/>
                <w:szCs w:val="20"/>
              </w:rPr>
            </w:pPr>
            <w:r w:rsidRPr="00C34C47">
              <w:rPr>
                <w:color w:val="000000"/>
                <w:sz w:val="20"/>
                <w:szCs w:val="20"/>
              </w:rPr>
              <w:t>P:c</w:t>
            </w:r>
          </w:p>
        </w:tc>
        <w:tc>
          <w:tcPr>
            <w:tcW w:w="3544" w:type="dxa"/>
            <w:tcBorders>
              <w:top w:val="single" w:sz="4" w:space="0" w:color="auto"/>
              <w:left w:val="single" w:sz="4" w:space="0" w:color="auto"/>
              <w:bottom w:val="single" w:sz="4" w:space="0" w:color="auto"/>
              <w:right w:val="single" w:sz="4" w:space="0" w:color="auto"/>
            </w:tcBorders>
          </w:tcPr>
          <w:p w:rsidR="00D36AB8" w:rsidRPr="00FE49DF" w:rsidRDefault="00EF3DA4" w:rsidP="00D36AB8">
            <w:pPr>
              <w:jc w:val="both"/>
              <w:rPr>
                <w:sz w:val="20"/>
                <w:szCs w:val="20"/>
              </w:rPr>
            </w:pPr>
            <w:r w:rsidRPr="00FE49DF">
              <w:rPr>
                <w:sz w:val="20"/>
                <w:szCs w:val="20"/>
              </w:rPr>
              <w:t xml:space="preserve">c) </w:t>
            </w:r>
            <w:r w:rsidR="00D36AB8" w:rsidRPr="00FE49DF">
              <w:rPr>
                <w:sz w:val="20"/>
                <w:szCs w:val="20"/>
              </w:rPr>
              <w:t>neuložila dokumenty podľa § 23a ods. 1 až 9, 12, 13 a 23b, nezverejnila dokumenty podľa § 23d alebo nevyhovela výzve podľa § 23b ods. 1 alebo ods. 6 v určenej lehote alebo určenom rozsahu,</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38</w:t>
            </w:r>
          </w:p>
          <w:p w:rsidR="00D36AB8" w:rsidRPr="00C34C47" w:rsidRDefault="00D36AB8" w:rsidP="00D36AB8">
            <w:pPr>
              <w:jc w:val="center"/>
              <w:rPr>
                <w:color w:val="000000"/>
                <w:sz w:val="20"/>
                <w:szCs w:val="20"/>
              </w:rPr>
            </w:pPr>
            <w:r w:rsidRPr="00C34C47">
              <w:rPr>
                <w:color w:val="000000"/>
                <w:sz w:val="20"/>
                <w:szCs w:val="20"/>
              </w:rPr>
              <w:t>O: 1</w:t>
            </w:r>
          </w:p>
          <w:p w:rsidR="00D36AB8" w:rsidRPr="00692CD1" w:rsidRDefault="00D36AB8" w:rsidP="00D36AB8">
            <w:pPr>
              <w:jc w:val="center"/>
              <w:rPr>
                <w:color w:val="000000"/>
                <w:sz w:val="20"/>
                <w:szCs w:val="20"/>
              </w:rPr>
            </w:pPr>
            <w:r w:rsidRPr="00692CD1">
              <w:rPr>
                <w:color w:val="000000"/>
                <w:sz w:val="20"/>
                <w:szCs w:val="20"/>
              </w:rPr>
              <w:t>P:d</w:t>
            </w:r>
          </w:p>
        </w:tc>
        <w:tc>
          <w:tcPr>
            <w:tcW w:w="3544" w:type="dxa"/>
            <w:tcBorders>
              <w:top w:val="single" w:sz="4" w:space="0" w:color="auto"/>
              <w:left w:val="single" w:sz="4" w:space="0" w:color="auto"/>
              <w:bottom w:val="single" w:sz="4" w:space="0" w:color="auto"/>
              <w:right w:val="single" w:sz="4" w:space="0" w:color="auto"/>
            </w:tcBorders>
          </w:tcPr>
          <w:p w:rsidR="00D36AB8" w:rsidRPr="00FE49DF" w:rsidRDefault="00EF3DA4" w:rsidP="00D36AB8">
            <w:pPr>
              <w:jc w:val="both"/>
              <w:rPr>
                <w:sz w:val="20"/>
                <w:szCs w:val="20"/>
              </w:rPr>
            </w:pPr>
            <w:r w:rsidRPr="00FE49DF">
              <w:rPr>
                <w:sz w:val="20"/>
                <w:szCs w:val="20"/>
              </w:rPr>
              <w:t xml:space="preserve">d) </w:t>
            </w:r>
            <w:r w:rsidR="00D36AB8" w:rsidRPr="00FE49DF">
              <w:rPr>
                <w:sz w:val="20"/>
                <w:szCs w:val="20"/>
              </w:rPr>
              <w:t xml:space="preserve">nezabezpečila </w:t>
            </w:r>
          </w:p>
          <w:p w:rsidR="00D36AB8" w:rsidRPr="00FE49DF" w:rsidRDefault="00D36AB8" w:rsidP="00D36AB8">
            <w:pPr>
              <w:pStyle w:val="Odsekzoznamu"/>
              <w:numPr>
                <w:ilvl w:val="0"/>
                <w:numId w:val="6"/>
              </w:numPr>
              <w:spacing w:after="120" w:line="240" w:lineRule="auto"/>
              <w:ind w:left="378" w:hanging="283"/>
              <w:contextualSpacing w:val="0"/>
              <w:jc w:val="both"/>
              <w:rPr>
                <w:rFonts w:cs="Times New Roman"/>
                <w:sz w:val="20"/>
                <w:szCs w:val="20"/>
              </w:rPr>
            </w:pPr>
            <w:r w:rsidRPr="00FE49DF">
              <w:rPr>
                <w:rFonts w:cs="Times New Roman"/>
                <w:sz w:val="20"/>
                <w:szCs w:val="20"/>
              </w:rPr>
              <w:t>overenie účtovnej závierky audítorom a tým porušila ustanovenia </w:t>
            </w:r>
            <w:hyperlink r:id="rId7" w:anchor="paragraf-19" w:tooltip="Odkaz na predpis alebo ustanovenie" w:history="1">
              <w:r w:rsidRPr="00FE49DF">
                <w:rPr>
                  <w:rFonts w:cs="Times New Roman"/>
                  <w:sz w:val="20"/>
                  <w:szCs w:val="20"/>
                </w:rPr>
                <w:t>§ 19</w:t>
              </w:r>
            </w:hyperlink>
            <w:r w:rsidRPr="00FE49DF">
              <w:rPr>
                <w:rFonts w:cs="Times New Roman"/>
                <w:sz w:val="20"/>
                <w:szCs w:val="20"/>
              </w:rPr>
              <w:t xml:space="preserve">, </w:t>
            </w:r>
            <w:hyperlink r:id="rId8" w:anchor="paragraf-22" w:tooltip="Odkaz na predpis alebo ustanovenie" w:history="1">
              <w:r w:rsidRPr="00FE49DF">
                <w:rPr>
                  <w:rFonts w:cs="Times New Roman"/>
                  <w:sz w:val="20"/>
                  <w:szCs w:val="20"/>
                </w:rPr>
                <w:t>22 alebo § 22a</w:t>
              </w:r>
            </w:hyperlink>
            <w:r w:rsidRPr="00FE49DF">
              <w:rPr>
                <w:rFonts w:cs="Times New Roman"/>
                <w:sz w:val="20"/>
                <w:szCs w:val="20"/>
              </w:rPr>
              <w:t>,</w:t>
            </w:r>
          </w:p>
          <w:p w:rsidR="00D36AB8" w:rsidRPr="00FE49DF" w:rsidRDefault="00D36AB8" w:rsidP="00D36AB8">
            <w:pPr>
              <w:pStyle w:val="Odsekzoznamu"/>
              <w:numPr>
                <w:ilvl w:val="0"/>
                <w:numId w:val="6"/>
              </w:numPr>
              <w:spacing w:after="120" w:line="240" w:lineRule="auto"/>
              <w:ind w:left="378" w:hanging="283"/>
              <w:contextualSpacing w:val="0"/>
              <w:jc w:val="both"/>
              <w:rPr>
                <w:rFonts w:cs="Times New Roman"/>
                <w:sz w:val="20"/>
                <w:szCs w:val="20"/>
              </w:rPr>
            </w:pPr>
            <w:r w:rsidRPr="00FE49DF">
              <w:rPr>
                <w:rFonts w:cs="Times New Roman"/>
                <w:sz w:val="20"/>
                <w:szCs w:val="20"/>
              </w:rPr>
              <w:t xml:space="preserve">overenie výročnej správy podľa § 20 ods. 3 alebo § 22 ods. 16 audítorom </w:t>
            </w:r>
            <w:r w:rsidRPr="00FE49DF">
              <w:rPr>
                <w:rFonts w:cs="Times New Roman"/>
                <w:sz w:val="20"/>
                <w:szCs w:val="20"/>
              </w:rPr>
              <w:lastRenderedPageBreak/>
              <w:t xml:space="preserve">a tým porušila ustanovenia </w:t>
            </w:r>
            <w:r w:rsidRPr="00FE49DF">
              <w:rPr>
                <w:rFonts w:cs="Times New Roman"/>
                <w:sz w:val="20"/>
                <w:szCs w:val="20"/>
              </w:rPr>
              <w:br/>
              <w:t>§ 20 alebo §  22,</w:t>
            </w:r>
          </w:p>
          <w:p w:rsidR="00D36AB8" w:rsidRPr="00FE49DF" w:rsidRDefault="00D36AB8" w:rsidP="00D36AB8">
            <w:pPr>
              <w:pStyle w:val="Odsekzoznamu"/>
              <w:numPr>
                <w:ilvl w:val="0"/>
                <w:numId w:val="6"/>
              </w:numPr>
              <w:spacing w:after="120" w:line="240" w:lineRule="auto"/>
              <w:ind w:left="378" w:hanging="283"/>
              <w:contextualSpacing w:val="0"/>
              <w:jc w:val="both"/>
              <w:rPr>
                <w:rFonts w:cs="Times New Roman"/>
                <w:sz w:val="20"/>
                <w:szCs w:val="20"/>
              </w:rPr>
            </w:pPr>
            <w:r w:rsidRPr="00FE49DF">
              <w:rPr>
                <w:rFonts w:cs="Times New Roman"/>
                <w:sz w:val="20"/>
                <w:szCs w:val="20"/>
              </w:rPr>
              <w:t>overenie súladu výročnej správy podľa § 22b ods. 1 s účtovnou závierkou a tým porušila § 22b alebo</w:t>
            </w:r>
          </w:p>
          <w:p w:rsidR="00D36AB8" w:rsidRPr="00FE49DF" w:rsidRDefault="00D36AB8" w:rsidP="00D36AB8">
            <w:pPr>
              <w:pStyle w:val="Odsekzoznamu"/>
              <w:numPr>
                <w:ilvl w:val="0"/>
                <w:numId w:val="6"/>
              </w:numPr>
              <w:spacing w:after="120" w:line="240" w:lineRule="auto"/>
              <w:ind w:left="378" w:hanging="283"/>
              <w:contextualSpacing w:val="0"/>
              <w:jc w:val="both"/>
              <w:rPr>
                <w:rFonts w:cs="Times New Roman"/>
                <w:sz w:val="20"/>
                <w:szCs w:val="20"/>
              </w:rPr>
            </w:pPr>
            <w:r w:rsidRPr="00FE49DF">
              <w:rPr>
                <w:rFonts w:cs="Times New Roman"/>
                <w:sz w:val="20"/>
                <w:szCs w:val="20"/>
              </w:rPr>
              <w:t>uistenie vykazovania informácií o udržateľnosti podľa § 20c alebo § 20g vo výročnej správe audítorom a tým porušila ustanovenia § 20h,</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692CD1" w:rsidRDefault="00D36AB8" w:rsidP="00D36AB8">
            <w:pPr>
              <w:jc w:val="center"/>
              <w:rPr>
                <w:color w:val="000000"/>
                <w:sz w:val="20"/>
                <w:szCs w:val="20"/>
              </w:rPr>
            </w:pPr>
            <w:r w:rsidRPr="00692CD1">
              <w:rPr>
                <w:color w:val="000000"/>
                <w:sz w:val="20"/>
                <w:szCs w:val="20"/>
              </w:rPr>
              <w:t>§ 38</w:t>
            </w:r>
          </w:p>
          <w:p w:rsidR="00D36AB8" w:rsidRPr="00692CD1" w:rsidRDefault="00D36AB8" w:rsidP="00D36AB8">
            <w:pPr>
              <w:jc w:val="center"/>
              <w:rPr>
                <w:color w:val="000000"/>
                <w:sz w:val="20"/>
                <w:szCs w:val="20"/>
              </w:rPr>
            </w:pPr>
            <w:r w:rsidRPr="00692CD1">
              <w:rPr>
                <w:color w:val="000000"/>
                <w:sz w:val="20"/>
                <w:szCs w:val="20"/>
              </w:rPr>
              <w:t>O: 1</w:t>
            </w:r>
          </w:p>
          <w:p w:rsidR="00D36AB8" w:rsidRPr="00692CD1" w:rsidRDefault="00D36AB8" w:rsidP="00D36AB8">
            <w:pPr>
              <w:jc w:val="center"/>
              <w:rPr>
                <w:color w:val="000000"/>
                <w:sz w:val="20"/>
                <w:szCs w:val="20"/>
              </w:rPr>
            </w:pPr>
            <w:r w:rsidRPr="00692CD1">
              <w:rPr>
                <w:color w:val="000000"/>
                <w:sz w:val="20"/>
                <w:szCs w:val="20"/>
              </w:rPr>
              <w:t>P:e</w:t>
            </w:r>
          </w:p>
        </w:tc>
        <w:tc>
          <w:tcPr>
            <w:tcW w:w="3544" w:type="dxa"/>
            <w:tcBorders>
              <w:top w:val="single" w:sz="4" w:space="0" w:color="auto"/>
              <w:left w:val="single" w:sz="4" w:space="0" w:color="auto"/>
              <w:bottom w:val="single" w:sz="4" w:space="0" w:color="auto"/>
              <w:right w:val="single" w:sz="4" w:space="0" w:color="auto"/>
            </w:tcBorders>
          </w:tcPr>
          <w:p w:rsidR="00D36AB8" w:rsidRPr="00FE49DF" w:rsidRDefault="00EF3DA4" w:rsidP="00D36AB8">
            <w:pPr>
              <w:jc w:val="both"/>
              <w:rPr>
                <w:sz w:val="20"/>
                <w:szCs w:val="20"/>
              </w:rPr>
            </w:pPr>
            <w:r w:rsidRPr="00FE49DF">
              <w:rPr>
                <w:sz w:val="20"/>
                <w:szCs w:val="20"/>
              </w:rPr>
              <w:t xml:space="preserve">e) </w:t>
            </w:r>
            <w:r w:rsidR="00D36AB8" w:rsidRPr="00FE49DF">
              <w:rPr>
                <w:sz w:val="20"/>
                <w:szCs w:val="20"/>
              </w:rPr>
              <w:t>nedala schváliť alebo nedala odvolať audítora podľa § 19 ods. 2, alebo § 20h ods. 5 alebo ods. 6</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692CD1" w:rsidRDefault="00D36AB8" w:rsidP="00D36AB8">
            <w:pPr>
              <w:jc w:val="center"/>
              <w:rPr>
                <w:color w:val="000000"/>
                <w:sz w:val="20"/>
                <w:szCs w:val="20"/>
              </w:rPr>
            </w:pPr>
            <w:r w:rsidRPr="00692CD1">
              <w:rPr>
                <w:color w:val="000000"/>
                <w:sz w:val="20"/>
                <w:szCs w:val="20"/>
              </w:rPr>
              <w:t>§ 38</w:t>
            </w:r>
          </w:p>
          <w:p w:rsidR="00D36AB8" w:rsidRPr="00692CD1" w:rsidRDefault="00D36AB8" w:rsidP="00D36AB8">
            <w:pPr>
              <w:jc w:val="center"/>
              <w:rPr>
                <w:color w:val="000000"/>
                <w:sz w:val="20"/>
                <w:szCs w:val="20"/>
              </w:rPr>
            </w:pPr>
            <w:r w:rsidRPr="00692CD1">
              <w:rPr>
                <w:color w:val="000000"/>
                <w:sz w:val="20"/>
                <w:szCs w:val="20"/>
              </w:rPr>
              <w:t>O: 1</w:t>
            </w:r>
          </w:p>
          <w:p w:rsidR="00D36AB8" w:rsidRPr="00692CD1" w:rsidRDefault="00D36AB8" w:rsidP="00D36AB8">
            <w:pPr>
              <w:jc w:val="center"/>
              <w:rPr>
                <w:color w:val="000000"/>
                <w:sz w:val="20"/>
                <w:szCs w:val="20"/>
              </w:rPr>
            </w:pPr>
            <w:r w:rsidRPr="00692CD1">
              <w:rPr>
                <w:color w:val="000000"/>
                <w:sz w:val="20"/>
                <w:szCs w:val="20"/>
              </w:rPr>
              <w:t>P:k</w:t>
            </w:r>
          </w:p>
        </w:tc>
        <w:tc>
          <w:tcPr>
            <w:tcW w:w="3544" w:type="dxa"/>
            <w:tcBorders>
              <w:top w:val="single" w:sz="4" w:space="0" w:color="auto"/>
              <w:left w:val="single" w:sz="4" w:space="0" w:color="auto"/>
              <w:bottom w:val="single" w:sz="4" w:space="0" w:color="auto"/>
              <w:right w:val="single" w:sz="4" w:space="0" w:color="auto"/>
            </w:tcBorders>
          </w:tcPr>
          <w:p w:rsidR="00D36AB8" w:rsidRPr="00FE49DF" w:rsidRDefault="00EF3DA4" w:rsidP="00D36AB8">
            <w:pPr>
              <w:jc w:val="both"/>
              <w:rPr>
                <w:sz w:val="20"/>
                <w:szCs w:val="20"/>
              </w:rPr>
            </w:pPr>
            <w:r w:rsidRPr="00FE49DF">
              <w:rPr>
                <w:sz w:val="20"/>
                <w:szCs w:val="20"/>
              </w:rPr>
              <w:t xml:space="preserve">k) </w:t>
            </w:r>
            <w:r w:rsidR="00D36AB8" w:rsidRPr="00FE49DF">
              <w:rPr>
                <w:sz w:val="20"/>
                <w:szCs w:val="20"/>
              </w:rPr>
              <w:t>porušila ustanovenia § 31 až 33 alebo nevyhovela výzve podľa § 31 ods. 8 v určenej lehote alebo určenom rozsahu,</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692CD1" w:rsidRDefault="00D36AB8" w:rsidP="00D36AB8">
            <w:pPr>
              <w:jc w:val="center"/>
              <w:rPr>
                <w:color w:val="000000"/>
                <w:sz w:val="20"/>
                <w:szCs w:val="20"/>
              </w:rPr>
            </w:pPr>
            <w:r w:rsidRPr="00692CD1">
              <w:rPr>
                <w:color w:val="000000"/>
                <w:sz w:val="20"/>
                <w:szCs w:val="20"/>
              </w:rPr>
              <w:t>§ 38</w:t>
            </w:r>
          </w:p>
          <w:p w:rsidR="00D36AB8" w:rsidRPr="00692CD1" w:rsidRDefault="00D36AB8" w:rsidP="00D36AB8">
            <w:pPr>
              <w:jc w:val="center"/>
              <w:rPr>
                <w:color w:val="000000"/>
                <w:sz w:val="20"/>
                <w:szCs w:val="20"/>
              </w:rPr>
            </w:pPr>
            <w:r w:rsidRPr="00692CD1">
              <w:rPr>
                <w:color w:val="000000"/>
                <w:sz w:val="20"/>
                <w:szCs w:val="20"/>
              </w:rPr>
              <w:t>O: 1</w:t>
            </w:r>
          </w:p>
          <w:p w:rsidR="00D36AB8" w:rsidRPr="00692CD1" w:rsidRDefault="00D36AB8" w:rsidP="00D36AB8">
            <w:pPr>
              <w:jc w:val="center"/>
              <w:rPr>
                <w:color w:val="000000"/>
                <w:sz w:val="20"/>
                <w:szCs w:val="20"/>
              </w:rPr>
            </w:pPr>
            <w:r w:rsidRPr="00692CD1">
              <w:rPr>
                <w:color w:val="000000"/>
                <w:sz w:val="20"/>
                <w:szCs w:val="20"/>
              </w:rPr>
              <w:t>P:m</w:t>
            </w:r>
          </w:p>
        </w:tc>
        <w:tc>
          <w:tcPr>
            <w:tcW w:w="3544" w:type="dxa"/>
            <w:tcBorders>
              <w:top w:val="single" w:sz="4" w:space="0" w:color="auto"/>
              <w:left w:val="single" w:sz="4" w:space="0" w:color="auto"/>
              <w:bottom w:val="single" w:sz="4" w:space="0" w:color="auto"/>
              <w:right w:val="single" w:sz="4" w:space="0" w:color="auto"/>
            </w:tcBorders>
          </w:tcPr>
          <w:p w:rsidR="00D36AB8" w:rsidRPr="00FE49DF" w:rsidRDefault="00D36AB8" w:rsidP="00D36AB8">
            <w:pPr>
              <w:jc w:val="both"/>
              <w:rPr>
                <w:sz w:val="20"/>
                <w:szCs w:val="20"/>
              </w:rPr>
            </w:pPr>
          </w:p>
          <w:p w:rsidR="00D36AB8" w:rsidRPr="00FE49DF" w:rsidRDefault="00EF3DA4" w:rsidP="00D36AB8">
            <w:pPr>
              <w:jc w:val="both"/>
              <w:rPr>
                <w:sz w:val="20"/>
                <w:szCs w:val="20"/>
              </w:rPr>
            </w:pPr>
            <w:r w:rsidRPr="00FE49DF">
              <w:rPr>
                <w:sz w:val="20"/>
                <w:szCs w:val="20"/>
              </w:rPr>
              <w:t xml:space="preserve">m) </w:t>
            </w:r>
            <w:r w:rsidR="00D36AB8" w:rsidRPr="00FE49DF">
              <w:rPr>
                <w:sz w:val="20"/>
                <w:szCs w:val="20"/>
              </w:rPr>
              <w:t>porušila ustanovenia § 18 ods. 7 alebo § 35,</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692CD1" w:rsidRDefault="00D36AB8" w:rsidP="00D36AB8">
            <w:pPr>
              <w:jc w:val="center"/>
              <w:rPr>
                <w:color w:val="000000"/>
                <w:sz w:val="20"/>
                <w:szCs w:val="20"/>
              </w:rPr>
            </w:pPr>
            <w:r w:rsidRPr="00692CD1">
              <w:rPr>
                <w:color w:val="000000"/>
                <w:sz w:val="20"/>
                <w:szCs w:val="20"/>
              </w:rPr>
              <w:t>§ 38</w:t>
            </w:r>
          </w:p>
          <w:p w:rsidR="00D36AB8" w:rsidRPr="00692CD1" w:rsidRDefault="00D36AB8" w:rsidP="00D36AB8">
            <w:pPr>
              <w:jc w:val="center"/>
              <w:rPr>
                <w:color w:val="000000"/>
                <w:sz w:val="20"/>
                <w:szCs w:val="20"/>
              </w:rPr>
            </w:pPr>
            <w:r w:rsidRPr="00692CD1">
              <w:rPr>
                <w:color w:val="000000"/>
                <w:sz w:val="20"/>
                <w:szCs w:val="20"/>
              </w:rPr>
              <w:t>O: 1</w:t>
            </w:r>
          </w:p>
          <w:p w:rsidR="00D36AB8" w:rsidRPr="00692CD1" w:rsidRDefault="00D36AB8" w:rsidP="00D36AB8">
            <w:pPr>
              <w:jc w:val="center"/>
              <w:rPr>
                <w:color w:val="000000"/>
                <w:sz w:val="20"/>
                <w:szCs w:val="20"/>
              </w:rPr>
            </w:pPr>
            <w:r w:rsidRPr="00692CD1">
              <w:rPr>
                <w:color w:val="000000"/>
                <w:sz w:val="20"/>
                <w:szCs w:val="20"/>
              </w:rPr>
              <w:t>P:o</w:t>
            </w:r>
          </w:p>
        </w:tc>
        <w:tc>
          <w:tcPr>
            <w:tcW w:w="3544" w:type="dxa"/>
            <w:tcBorders>
              <w:top w:val="single" w:sz="4" w:space="0" w:color="auto"/>
              <w:left w:val="single" w:sz="4" w:space="0" w:color="auto"/>
              <w:bottom w:val="single" w:sz="4" w:space="0" w:color="auto"/>
              <w:right w:val="single" w:sz="4" w:space="0" w:color="auto"/>
            </w:tcBorders>
          </w:tcPr>
          <w:p w:rsidR="00D36AB8" w:rsidRPr="00FE49DF" w:rsidRDefault="00EF3DA4" w:rsidP="00D36AB8">
            <w:pPr>
              <w:jc w:val="both"/>
              <w:rPr>
                <w:sz w:val="20"/>
                <w:szCs w:val="20"/>
              </w:rPr>
            </w:pPr>
            <w:r w:rsidRPr="00FE49DF">
              <w:rPr>
                <w:sz w:val="20"/>
                <w:szCs w:val="20"/>
              </w:rPr>
              <w:t xml:space="preserve">o) </w:t>
            </w:r>
            <w:r w:rsidR="00D36AB8" w:rsidRPr="00FE49DF">
              <w:rPr>
                <w:sz w:val="20"/>
                <w:szCs w:val="20"/>
              </w:rPr>
              <w:t>uložila správu s informáciami o dani z príjmov, ktorá neobsahuje náležitosti ustanovené opatrením vydaným podľa § 21a ods. 6 alebo usporiadanie a označovanie týchto náležitostí je v rozpore s opatrením vydaným podľa § 21a ods. 6 alebo porušila ustanovenie § 21e alebo § 23a ods. 11.</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692CD1" w:rsidRDefault="00D36AB8" w:rsidP="00D36AB8">
            <w:pPr>
              <w:jc w:val="center"/>
              <w:rPr>
                <w:color w:val="000000"/>
                <w:sz w:val="20"/>
                <w:szCs w:val="20"/>
              </w:rPr>
            </w:pPr>
            <w:r w:rsidRPr="00692CD1">
              <w:rPr>
                <w:color w:val="000000"/>
                <w:sz w:val="20"/>
                <w:szCs w:val="20"/>
              </w:rPr>
              <w:t>§ 38</w:t>
            </w:r>
          </w:p>
          <w:p w:rsidR="00D36AB8" w:rsidRPr="00692CD1" w:rsidRDefault="00D36AB8" w:rsidP="00D36AB8">
            <w:pPr>
              <w:jc w:val="center"/>
              <w:rPr>
                <w:color w:val="000000"/>
                <w:sz w:val="20"/>
                <w:szCs w:val="20"/>
              </w:rPr>
            </w:pPr>
            <w:r w:rsidRPr="00692CD1">
              <w:rPr>
                <w:color w:val="000000"/>
                <w:sz w:val="20"/>
                <w:szCs w:val="20"/>
              </w:rPr>
              <w:t>O: 1</w:t>
            </w:r>
          </w:p>
          <w:p w:rsidR="00D36AB8" w:rsidRPr="00692CD1" w:rsidRDefault="00D36AB8" w:rsidP="00D36AB8">
            <w:pPr>
              <w:jc w:val="center"/>
              <w:rPr>
                <w:color w:val="000000"/>
                <w:sz w:val="20"/>
                <w:szCs w:val="20"/>
              </w:rPr>
            </w:pPr>
            <w:r w:rsidRPr="00692CD1">
              <w:rPr>
                <w:color w:val="000000"/>
                <w:sz w:val="20"/>
                <w:szCs w:val="20"/>
              </w:rPr>
              <w:t>P:p</w:t>
            </w:r>
          </w:p>
        </w:tc>
        <w:tc>
          <w:tcPr>
            <w:tcW w:w="3544" w:type="dxa"/>
            <w:tcBorders>
              <w:top w:val="single" w:sz="4" w:space="0" w:color="auto"/>
              <w:left w:val="single" w:sz="4" w:space="0" w:color="auto"/>
              <w:bottom w:val="single" w:sz="4" w:space="0" w:color="auto"/>
              <w:right w:val="single" w:sz="4" w:space="0" w:color="auto"/>
            </w:tcBorders>
          </w:tcPr>
          <w:p w:rsidR="00D36AB8" w:rsidRPr="00692CD1" w:rsidRDefault="00D36AB8" w:rsidP="00D36AB8">
            <w:pPr>
              <w:jc w:val="both"/>
              <w:rPr>
                <w:sz w:val="20"/>
                <w:szCs w:val="20"/>
              </w:rPr>
            </w:pPr>
            <w:r w:rsidRPr="00692CD1">
              <w:rPr>
                <w:sz w:val="20"/>
                <w:szCs w:val="20"/>
              </w:rPr>
              <w:t>p) porušila ustanovenia § 20 až 20i.</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A371FA" w:rsidRPr="00C34C47" w:rsidTr="00F1238A">
        <w:tc>
          <w:tcPr>
            <w:tcW w:w="682" w:type="dxa"/>
            <w:vMerge/>
            <w:tcBorders>
              <w:left w:val="single" w:sz="12" w:space="0" w:color="auto"/>
              <w:right w:val="single" w:sz="4" w:space="0" w:color="auto"/>
            </w:tcBorders>
          </w:tcPr>
          <w:p w:rsidR="00A371FA" w:rsidRPr="00C34C47" w:rsidRDefault="00A371FA" w:rsidP="00D36AB8">
            <w:pPr>
              <w:spacing w:line="276" w:lineRule="auto"/>
              <w:jc w:val="center"/>
              <w:rPr>
                <w:b/>
                <w:color w:val="000000"/>
                <w:sz w:val="20"/>
                <w:szCs w:val="20"/>
              </w:rPr>
            </w:pPr>
          </w:p>
        </w:tc>
        <w:tc>
          <w:tcPr>
            <w:tcW w:w="4620" w:type="dxa"/>
            <w:vMerge/>
            <w:tcBorders>
              <w:left w:val="single" w:sz="4" w:space="0" w:color="auto"/>
              <w:right w:val="single" w:sz="4" w:space="0" w:color="auto"/>
            </w:tcBorders>
          </w:tcPr>
          <w:p w:rsidR="00A371FA" w:rsidRPr="00C34C47" w:rsidRDefault="00A371FA" w:rsidP="00D36AB8">
            <w:pPr>
              <w:spacing w:before="75" w:after="75"/>
              <w:rPr>
                <w:b/>
                <w:sz w:val="20"/>
                <w:szCs w:val="20"/>
              </w:rPr>
            </w:pPr>
          </w:p>
        </w:tc>
        <w:tc>
          <w:tcPr>
            <w:tcW w:w="850" w:type="dxa"/>
            <w:vMerge/>
            <w:tcBorders>
              <w:left w:val="single" w:sz="4" w:space="0" w:color="auto"/>
              <w:right w:val="single" w:sz="12" w:space="0" w:color="auto"/>
            </w:tcBorders>
          </w:tcPr>
          <w:p w:rsidR="00A371FA" w:rsidRPr="00C34C47" w:rsidRDefault="00A371FA" w:rsidP="00D36AB8">
            <w:pPr>
              <w:adjustRightInd w:val="0"/>
              <w:rPr>
                <w:color w:val="000000"/>
                <w:sz w:val="20"/>
                <w:szCs w:val="20"/>
              </w:rPr>
            </w:pPr>
          </w:p>
        </w:tc>
        <w:tc>
          <w:tcPr>
            <w:tcW w:w="993" w:type="dxa"/>
            <w:vMerge/>
            <w:tcBorders>
              <w:left w:val="nil"/>
              <w:right w:val="single" w:sz="4" w:space="0" w:color="auto"/>
            </w:tcBorders>
          </w:tcPr>
          <w:p w:rsidR="00A371FA" w:rsidRPr="00C34C47" w:rsidRDefault="00A371FA"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71FA" w:rsidRPr="00A371FA" w:rsidRDefault="00A371FA" w:rsidP="00A371FA">
            <w:pPr>
              <w:jc w:val="center"/>
              <w:rPr>
                <w:b/>
                <w:color w:val="000000"/>
                <w:sz w:val="20"/>
                <w:szCs w:val="20"/>
              </w:rPr>
            </w:pPr>
            <w:r w:rsidRPr="00A371FA">
              <w:rPr>
                <w:b/>
                <w:color w:val="000000"/>
                <w:sz w:val="20"/>
                <w:szCs w:val="20"/>
              </w:rPr>
              <w:t>§ 38</w:t>
            </w:r>
          </w:p>
          <w:p w:rsidR="00A371FA" w:rsidRPr="00A371FA" w:rsidRDefault="00A371FA" w:rsidP="00A371FA">
            <w:pPr>
              <w:jc w:val="center"/>
              <w:rPr>
                <w:b/>
                <w:color w:val="000000"/>
                <w:sz w:val="20"/>
                <w:szCs w:val="20"/>
              </w:rPr>
            </w:pPr>
            <w:r w:rsidRPr="00A371FA">
              <w:rPr>
                <w:b/>
                <w:color w:val="000000"/>
                <w:sz w:val="20"/>
                <w:szCs w:val="20"/>
              </w:rPr>
              <w:t>O: 1</w:t>
            </w:r>
          </w:p>
          <w:p w:rsidR="00A371FA" w:rsidRPr="00692CD1" w:rsidRDefault="00A371FA" w:rsidP="00A371FA">
            <w:pPr>
              <w:jc w:val="center"/>
              <w:rPr>
                <w:color w:val="000000"/>
                <w:sz w:val="20"/>
                <w:szCs w:val="20"/>
              </w:rPr>
            </w:pPr>
            <w:r>
              <w:rPr>
                <w:b/>
                <w:color w:val="000000"/>
                <w:sz w:val="20"/>
                <w:szCs w:val="20"/>
              </w:rPr>
              <w:t>P:q</w:t>
            </w:r>
          </w:p>
        </w:tc>
        <w:tc>
          <w:tcPr>
            <w:tcW w:w="3544" w:type="dxa"/>
            <w:tcBorders>
              <w:top w:val="single" w:sz="4" w:space="0" w:color="auto"/>
              <w:left w:val="single" w:sz="4" w:space="0" w:color="auto"/>
              <w:bottom w:val="single" w:sz="4" w:space="0" w:color="auto"/>
              <w:right w:val="single" w:sz="4" w:space="0" w:color="auto"/>
            </w:tcBorders>
          </w:tcPr>
          <w:p w:rsidR="00A371FA" w:rsidRPr="00A371FA" w:rsidRDefault="00A371FA" w:rsidP="00FB1AF2">
            <w:pPr>
              <w:jc w:val="both"/>
              <w:rPr>
                <w:b/>
                <w:sz w:val="20"/>
                <w:szCs w:val="20"/>
              </w:rPr>
            </w:pPr>
            <w:r w:rsidRPr="00A371FA">
              <w:rPr>
                <w:b/>
                <w:sz w:val="20"/>
                <w:szCs w:val="20"/>
              </w:rPr>
              <w:t>q) porušila ustanovenia § 23e ods.</w:t>
            </w:r>
            <w:r w:rsidR="001F0452">
              <w:rPr>
                <w:b/>
                <w:sz w:val="20"/>
                <w:szCs w:val="20"/>
              </w:rPr>
              <w:t xml:space="preserve"> 1</w:t>
            </w:r>
            <w:r w:rsidR="00FB1AF2">
              <w:rPr>
                <w:b/>
                <w:sz w:val="20"/>
                <w:szCs w:val="20"/>
              </w:rPr>
              <w:t>,</w:t>
            </w:r>
            <w:r w:rsidRPr="00A371FA">
              <w:rPr>
                <w:b/>
                <w:sz w:val="20"/>
                <w:szCs w:val="20"/>
              </w:rPr>
              <w:t xml:space="preserve"> 3 a</w:t>
            </w:r>
            <w:r w:rsidR="001F0452">
              <w:rPr>
                <w:b/>
                <w:sz w:val="20"/>
                <w:szCs w:val="20"/>
              </w:rPr>
              <w:t>lebo</w:t>
            </w:r>
            <w:r w:rsidR="00FB1AF2">
              <w:rPr>
                <w:b/>
                <w:sz w:val="20"/>
                <w:szCs w:val="20"/>
              </w:rPr>
              <w:t xml:space="preserve"> ods. 4 alebo</w:t>
            </w:r>
            <w:r w:rsidR="001F0452">
              <w:rPr>
                <w:b/>
                <w:sz w:val="20"/>
                <w:szCs w:val="20"/>
              </w:rPr>
              <w:t xml:space="preserve"> nevyhovela výzve podľa § 23e ods. </w:t>
            </w:r>
            <w:r w:rsidR="00FB1AF2">
              <w:rPr>
                <w:b/>
                <w:sz w:val="20"/>
                <w:szCs w:val="20"/>
              </w:rPr>
              <w:t>7</w:t>
            </w:r>
            <w:r w:rsidR="00CA3131">
              <w:rPr>
                <w:b/>
                <w:sz w:val="20"/>
                <w:szCs w:val="20"/>
              </w:rPr>
              <w:t xml:space="preserve"> </w:t>
            </w:r>
            <w:r w:rsidR="00CA3131" w:rsidRPr="00CA3131">
              <w:rPr>
                <w:b/>
                <w:sz w:val="20"/>
                <w:szCs w:val="20"/>
              </w:rPr>
              <w:t>v určenej lehote alebo určenom rozsahu</w:t>
            </w:r>
            <w:r w:rsidR="0072500F" w:rsidRPr="001F0452">
              <w:rPr>
                <w:b/>
                <w:sz w:val="20"/>
                <w:szCs w:val="20"/>
              </w:rPr>
              <w:t>.</w:t>
            </w:r>
          </w:p>
        </w:tc>
        <w:tc>
          <w:tcPr>
            <w:tcW w:w="709" w:type="dxa"/>
            <w:vMerge/>
            <w:tcBorders>
              <w:left w:val="single" w:sz="4" w:space="0" w:color="auto"/>
              <w:right w:val="single" w:sz="4" w:space="0" w:color="auto"/>
            </w:tcBorders>
          </w:tcPr>
          <w:p w:rsidR="00A371FA" w:rsidRPr="00C34C47" w:rsidRDefault="00A371FA" w:rsidP="00D36AB8">
            <w:pPr>
              <w:adjustRightInd w:val="0"/>
              <w:rPr>
                <w:color w:val="000000"/>
                <w:sz w:val="20"/>
                <w:szCs w:val="20"/>
              </w:rPr>
            </w:pPr>
          </w:p>
        </w:tc>
        <w:tc>
          <w:tcPr>
            <w:tcW w:w="1077" w:type="dxa"/>
            <w:vMerge/>
            <w:tcBorders>
              <w:left w:val="single" w:sz="4" w:space="0" w:color="auto"/>
              <w:right w:val="single" w:sz="4" w:space="0" w:color="auto"/>
            </w:tcBorders>
          </w:tcPr>
          <w:p w:rsidR="00A371FA" w:rsidRPr="00C34C47" w:rsidRDefault="00A371FA" w:rsidP="00D36AB8">
            <w:pPr>
              <w:spacing w:before="75" w:after="75"/>
              <w:rPr>
                <w:sz w:val="20"/>
                <w:szCs w:val="20"/>
              </w:rPr>
            </w:pPr>
          </w:p>
        </w:tc>
        <w:tc>
          <w:tcPr>
            <w:tcW w:w="1049" w:type="dxa"/>
            <w:vMerge/>
            <w:tcBorders>
              <w:left w:val="single" w:sz="4" w:space="0" w:color="auto"/>
              <w:right w:val="single" w:sz="12" w:space="0" w:color="auto"/>
            </w:tcBorders>
          </w:tcPr>
          <w:p w:rsidR="00A371FA" w:rsidRPr="00C34C47" w:rsidRDefault="00A371FA" w:rsidP="00D36AB8">
            <w:pPr>
              <w:spacing w:before="75" w:after="75"/>
              <w:rPr>
                <w:sz w:val="20"/>
                <w:szCs w:val="20"/>
              </w:rPr>
            </w:pPr>
          </w:p>
        </w:tc>
        <w:tc>
          <w:tcPr>
            <w:tcW w:w="1134" w:type="dxa"/>
            <w:vMerge/>
            <w:tcBorders>
              <w:left w:val="single" w:sz="4" w:space="0" w:color="auto"/>
              <w:right w:val="single" w:sz="12" w:space="0" w:color="auto"/>
            </w:tcBorders>
          </w:tcPr>
          <w:p w:rsidR="00A371FA" w:rsidRPr="00C34C47" w:rsidRDefault="00A371FA" w:rsidP="00D36AB8">
            <w:pPr>
              <w:spacing w:before="75" w:after="75"/>
              <w:rPr>
                <w:sz w:val="20"/>
                <w:szCs w:val="20"/>
              </w:rPr>
            </w:pPr>
          </w:p>
        </w:tc>
      </w:tr>
      <w:tr w:rsidR="00D36AB8" w:rsidRPr="00C34C47" w:rsidTr="00F1238A">
        <w:tc>
          <w:tcPr>
            <w:tcW w:w="682" w:type="dxa"/>
            <w:vMerge/>
            <w:tcBorders>
              <w:left w:val="single" w:sz="12" w:space="0" w:color="auto"/>
              <w:bottom w:val="single" w:sz="4"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692CD1" w:rsidRDefault="00D36AB8" w:rsidP="00D36AB8">
            <w:pPr>
              <w:jc w:val="center"/>
              <w:rPr>
                <w:color w:val="000000"/>
                <w:sz w:val="20"/>
                <w:szCs w:val="20"/>
              </w:rPr>
            </w:pPr>
            <w:r w:rsidRPr="00692CD1">
              <w:rPr>
                <w:color w:val="000000"/>
                <w:sz w:val="20"/>
                <w:szCs w:val="20"/>
              </w:rPr>
              <w:t>§ 38</w:t>
            </w:r>
          </w:p>
          <w:p w:rsidR="00D36AB8" w:rsidRPr="00692CD1" w:rsidRDefault="00D36AB8" w:rsidP="00D36AB8">
            <w:pPr>
              <w:jc w:val="center"/>
              <w:rPr>
                <w:color w:val="000000"/>
                <w:sz w:val="20"/>
                <w:szCs w:val="20"/>
              </w:rPr>
            </w:pPr>
            <w:r w:rsidRPr="00692CD1">
              <w:rPr>
                <w:color w:val="000000"/>
                <w:sz w:val="20"/>
                <w:szCs w:val="20"/>
              </w:rPr>
              <w:t>O: 8</w:t>
            </w:r>
          </w:p>
        </w:tc>
        <w:tc>
          <w:tcPr>
            <w:tcW w:w="3544" w:type="dxa"/>
            <w:tcBorders>
              <w:top w:val="single" w:sz="4" w:space="0" w:color="auto"/>
              <w:left w:val="single" w:sz="4" w:space="0" w:color="auto"/>
              <w:bottom w:val="single" w:sz="4" w:space="0" w:color="auto"/>
              <w:right w:val="single" w:sz="4" w:space="0" w:color="auto"/>
            </w:tcBorders>
          </w:tcPr>
          <w:p w:rsidR="00D36AB8" w:rsidRPr="001F0452" w:rsidRDefault="000E5D9B" w:rsidP="00D36AB8">
            <w:pPr>
              <w:jc w:val="both"/>
              <w:rPr>
                <w:sz w:val="20"/>
                <w:szCs w:val="20"/>
              </w:rPr>
            </w:pPr>
            <w:r w:rsidRPr="001F0452">
              <w:rPr>
                <w:sz w:val="20"/>
                <w:szCs w:val="20"/>
              </w:rPr>
              <w:t xml:space="preserve">(8) </w:t>
            </w:r>
            <w:r w:rsidR="00D36AB8" w:rsidRPr="001F0452">
              <w:rPr>
                <w:sz w:val="20"/>
                <w:szCs w:val="20"/>
              </w:rPr>
              <w:t xml:space="preserve">Daňový úrad je oprávnený vykonávať kontrolu dodržiavania ustanovení tohto zákona. Na vykonávanie kontroly, na konanie o uložení pokuty vrátane jej </w:t>
            </w:r>
            <w:r w:rsidR="00D36AB8" w:rsidRPr="001F0452">
              <w:rPr>
                <w:sz w:val="20"/>
                <w:szCs w:val="20"/>
              </w:rPr>
              <w:lastRenderedPageBreak/>
              <w:t>vymáhania a na opravné prostriedky proti rozhodnutiu o uložení pokuty sa primerane vzťahuje daňový poriadok. Pokutu za správny delikt uloží daňový úrad, ktorý vykonal kontrolu dodržiavania ustanovení tohto zákona.</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bottom w:val="single" w:sz="4"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192</w:t>
            </w:r>
          </w:p>
          <w:p w:rsidR="00D36AB8" w:rsidRPr="00C34C47" w:rsidRDefault="00D36AB8" w:rsidP="00D36AB8">
            <w:pPr>
              <w:jc w:val="center"/>
              <w:rPr>
                <w:color w:val="000000"/>
                <w:sz w:val="20"/>
                <w:szCs w:val="20"/>
              </w:rPr>
            </w:pPr>
            <w:r w:rsidRPr="00C34C47">
              <w:rPr>
                <w:color w:val="000000"/>
                <w:sz w:val="20"/>
                <w:szCs w:val="20"/>
              </w:rPr>
              <w:t>O: 1</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FE311B" w:rsidP="00D36AB8">
            <w:pPr>
              <w:jc w:val="both"/>
              <w:rPr>
                <w:sz w:val="20"/>
                <w:szCs w:val="20"/>
              </w:rPr>
            </w:pPr>
            <w:r w:rsidRPr="00525949">
              <w:rPr>
                <w:sz w:val="20"/>
                <w:szCs w:val="20"/>
              </w:rPr>
              <w:t>(1)</w:t>
            </w:r>
            <w:r>
              <w:rPr>
                <w:sz w:val="20"/>
                <w:szCs w:val="20"/>
              </w:rPr>
              <w:t xml:space="preserve"> </w:t>
            </w:r>
            <w:r w:rsidR="00D36AB8" w:rsidRPr="00C34C47">
              <w:rPr>
                <w:sz w:val="20"/>
                <w:szCs w:val="20"/>
              </w:rPr>
              <w:t xml:space="preserve">Predstavenstvo zabezpečuje riadne vedenie účtovníctva spoločnosti, uloženie výročnej správy do zbierky listín, zostavenie a uloženie konsolidovanej účtovnej závierky, konsolidovanej výročnej správy spoločnosti, vyhotovenie a uloženie správy s informáciami o dani z príjmov do zbierky listín, ak má spoločnosť takú povinnosť, a predkladá valnému zhromaždeniu na schválenie riadnu individuálnu účtovnú závierku a mimoriadnu individuálnu účtovnú závierku, ktoré je spoločnosť povinná vyhotovovať podľa osobitného predpisu, a návrh na rozdelenie zisku alebo úhradu strát v súlade so stanovami. Táto závierka sa zasiela akcionárom, ktorí vlastnia akcie na meno najmenej 30 dní pred dňom konania valného zhromaždenia. Ak spoločnosť vydala akcie na doručiteľa, hlavné údaje tejto účtovnej závierky sa v tej istej lehote uverejnia spôsobom ustanoveným zákonom a určeným stanovami na zvolávanie valného zhromaždenia. Účtovná závierka sa musí tiež akcionárom poskytnúť na nahliadnutie v sídle spoločnosti v lehote ustanovenej zákonom a určenej stanovami na zvolanie valného zhromaždenia. Akcionár, ktorý je majiteľom akcií na doručiteľa a ktorý zriadil na akcie spoločnosti záložné právo v prospech spoločnosti podľa § 184 ods. 3, má právo vyžiadať si zaslanie kópie </w:t>
            </w:r>
            <w:r w:rsidR="00D36AB8" w:rsidRPr="00C34C47">
              <w:rPr>
                <w:sz w:val="20"/>
                <w:szCs w:val="20"/>
              </w:rPr>
              <w:lastRenderedPageBreak/>
              <w:t>účtovnej závierky na svoj náklad a nebezpečenstvo na ním uvedenú adresu. Na tieto práva musia byť akcionári upozornení v pozvánke na valné zhromaždenie alebo v oznámení o konaní valného zhromaždenia. Stanovy môžu určiť aj ďalší spôsob, akým je spoločnosť povinná poskytnúť akcionárom účtovnú závierku.</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bottom w:val="single" w:sz="4"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192</w:t>
            </w:r>
          </w:p>
          <w:p w:rsidR="00D36AB8" w:rsidRPr="00C34C47" w:rsidRDefault="00D36AB8" w:rsidP="00D36AB8">
            <w:pPr>
              <w:jc w:val="center"/>
              <w:rPr>
                <w:color w:val="000000"/>
                <w:sz w:val="20"/>
                <w:szCs w:val="20"/>
              </w:rPr>
            </w:pPr>
            <w:r w:rsidRPr="00C34C47">
              <w:rPr>
                <w:color w:val="000000"/>
                <w:sz w:val="20"/>
                <w:szCs w:val="20"/>
              </w:rPr>
              <w:t>O: 2</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FE311B" w:rsidP="00D36AB8">
            <w:pPr>
              <w:jc w:val="both"/>
              <w:rPr>
                <w:sz w:val="20"/>
                <w:szCs w:val="20"/>
              </w:rPr>
            </w:pPr>
            <w:r w:rsidRPr="001F0452">
              <w:rPr>
                <w:sz w:val="20"/>
                <w:szCs w:val="20"/>
              </w:rPr>
              <w:t>(2)</w:t>
            </w:r>
            <w:r>
              <w:rPr>
                <w:sz w:val="20"/>
                <w:szCs w:val="20"/>
              </w:rPr>
              <w:t xml:space="preserve"> </w:t>
            </w:r>
            <w:r w:rsidR="00D36AB8" w:rsidRPr="00C34C47">
              <w:rPr>
                <w:sz w:val="20"/>
                <w:szCs w:val="20"/>
              </w:rPr>
              <w:t>Predstavenstvo predkladá valnému zhromaždeniu na prerokovanie spolu s riadnou individuálnou účtovnou závierkou alebo mimoriadnou individuálnou účtovnou závierkou výročnú správu vyhotovenú podľa osobitného predpisu. V lehotách určených stanovami, najmenej však jedenkrát ročne, ako súčasť výročnej správy predkladá predstavenstvo valnému zhromaždeniu na prerokovanie správu o podnikateľskej činnosti spoločnosti a o stave jej majetku.</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bottom w:val="single" w:sz="4" w:space="0" w:color="auto"/>
              <w:right w:val="single" w:sz="4" w:space="0" w:color="auto"/>
            </w:tcBorders>
          </w:tcPr>
          <w:p w:rsidR="00D36AB8" w:rsidRPr="00C34C47" w:rsidRDefault="00D36AB8" w:rsidP="00D36AB8">
            <w:pPr>
              <w:spacing w:line="276" w:lineRule="auto"/>
              <w:jc w:val="center"/>
              <w:rPr>
                <w:b/>
                <w:color w:val="000000"/>
                <w:sz w:val="20"/>
                <w:szCs w:val="20"/>
              </w:rPr>
            </w:pPr>
          </w:p>
        </w:tc>
        <w:tc>
          <w:tcPr>
            <w:tcW w:w="4620"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b/>
                <w:sz w:val="20"/>
                <w:szCs w:val="20"/>
              </w:rPr>
            </w:pP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jc w:val="center"/>
              <w:rPr>
                <w:color w:val="000000"/>
                <w:sz w:val="20"/>
                <w:szCs w:val="20"/>
              </w:rPr>
            </w:pPr>
            <w:r w:rsidRPr="00C34C47">
              <w:rPr>
                <w:color w:val="000000"/>
                <w:sz w:val="20"/>
                <w:szCs w:val="20"/>
              </w:rPr>
              <w:t>§ 192</w:t>
            </w:r>
          </w:p>
          <w:p w:rsidR="00D36AB8" w:rsidRPr="00C34C47" w:rsidRDefault="00D36AB8" w:rsidP="00D36AB8">
            <w:pPr>
              <w:jc w:val="center"/>
              <w:rPr>
                <w:color w:val="000000"/>
                <w:sz w:val="20"/>
                <w:szCs w:val="20"/>
              </w:rPr>
            </w:pPr>
            <w:r w:rsidRPr="00C34C47">
              <w:rPr>
                <w:color w:val="000000"/>
                <w:sz w:val="20"/>
                <w:szCs w:val="20"/>
              </w:rPr>
              <w:t>O: 3</w:t>
            </w:r>
          </w:p>
        </w:tc>
        <w:tc>
          <w:tcPr>
            <w:tcW w:w="3544" w:type="dxa"/>
            <w:tcBorders>
              <w:top w:val="single" w:sz="4" w:space="0" w:color="auto"/>
              <w:left w:val="single" w:sz="4" w:space="0" w:color="auto"/>
              <w:bottom w:val="single" w:sz="4" w:space="0" w:color="auto"/>
              <w:right w:val="single" w:sz="4" w:space="0" w:color="auto"/>
            </w:tcBorders>
          </w:tcPr>
          <w:p w:rsidR="00D36AB8" w:rsidRPr="00C34C47" w:rsidRDefault="00FE311B" w:rsidP="00D36AB8">
            <w:pPr>
              <w:jc w:val="both"/>
              <w:rPr>
                <w:sz w:val="20"/>
                <w:szCs w:val="20"/>
              </w:rPr>
            </w:pPr>
            <w:r w:rsidRPr="001F0452">
              <w:rPr>
                <w:sz w:val="20"/>
                <w:szCs w:val="20"/>
              </w:rPr>
              <w:t>(3)</w:t>
            </w:r>
            <w:r>
              <w:rPr>
                <w:sz w:val="20"/>
                <w:szCs w:val="20"/>
              </w:rPr>
              <w:t xml:space="preserve"> </w:t>
            </w:r>
            <w:r w:rsidR="00D36AB8" w:rsidRPr="00C34C47">
              <w:rPr>
                <w:sz w:val="20"/>
                <w:szCs w:val="20"/>
              </w:rPr>
              <w:t>Povinnosť uloženia výročnej správy, konsolidovanej účtovnej závierky, konsolidovanej výročnej správy a správy s informáciami o dani z príjmov do zbierky listín podľa odseku 1 sa považuje za splnenú ich uložením v registri účtovných závierok podľa osobitného zákona.</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5E3CE0" w:rsidRPr="00C34C47" w:rsidTr="001C6670">
        <w:trPr>
          <w:trHeight w:val="127"/>
        </w:trPr>
        <w:tc>
          <w:tcPr>
            <w:tcW w:w="682" w:type="dxa"/>
            <w:tcBorders>
              <w:top w:val="single" w:sz="4" w:space="0" w:color="auto"/>
              <w:left w:val="single" w:sz="12" w:space="0" w:color="auto"/>
              <w:right w:val="single" w:sz="4" w:space="0" w:color="auto"/>
            </w:tcBorders>
          </w:tcPr>
          <w:p w:rsidR="005E3CE0" w:rsidRDefault="005E3CE0" w:rsidP="00D36AB8">
            <w:pPr>
              <w:spacing w:after="200" w:line="276" w:lineRule="auto"/>
              <w:jc w:val="center"/>
              <w:rPr>
                <w:b/>
                <w:color w:val="000000"/>
                <w:sz w:val="20"/>
                <w:szCs w:val="20"/>
              </w:rPr>
            </w:pPr>
            <w:r>
              <w:rPr>
                <w:b/>
                <w:color w:val="000000"/>
                <w:sz w:val="20"/>
                <w:szCs w:val="20"/>
              </w:rPr>
              <w:t>Č: 48c</w:t>
            </w:r>
          </w:p>
          <w:p w:rsidR="005E3CE0" w:rsidRPr="00525949" w:rsidRDefault="005E3CE0" w:rsidP="00D36AB8">
            <w:pPr>
              <w:spacing w:after="200" w:line="276" w:lineRule="auto"/>
              <w:jc w:val="center"/>
              <w:rPr>
                <w:b/>
                <w:color w:val="000000"/>
                <w:sz w:val="20"/>
                <w:szCs w:val="20"/>
              </w:rPr>
            </w:pPr>
            <w:r>
              <w:rPr>
                <w:b/>
                <w:color w:val="000000"/>
                <w:sz w:val="20"/>
                <w:szCs w:val="20"/>
              </w:rPr>
              <w:t>O: 4</w:t>
            </w:r>
          </w:p>
        </w:tc>
        <w:tc>
          <w:tcPr>
            <w:tcW w:w="4620" w:type="dxa"/>
            <w:tcBorders>
              <w:top w:val="single" w:sz="4" w:space="0" w:color="auto"/>
              <w:left w:val="single" w:sz="4" w:space="0" w:color="auto"/>
              <w:right w:val="single" w:sz="4" w:space="0" w:color="auto"/>
            </w:tcBorders>
          </w:tcPr>
          <w:p w:rsidR="005E3CE0" w:rsidRPr="005E3CE0" w:rsidRDefault="005E3CE0" w:rsidP="00D36AB8">
            <w:pPr>
              <w:adjustRightInd w:val="0"/>
              <w:rPr>
                <w:bCs/>
                <w:color w:val="000000"/>
                <w:sz w:val="20"/>
                <w:szCs w:val="20"/>
              </w:rPr>
            </w:pPr>
            <w:r w:rsidRPr="005E3CE0">
              <w:rPr>
                <w:bCs/>
                <w:color w:val="000000"/>
                <w:sz w:val="20"/>
                <w:szCs w:val="20"/>
              </w:rPr>
              <w:t>Informácie uvedené v odsekoch 2 a 3 tohto článku sa predkladajú s použitím spoločného vzoru a elektronických formátov na podávanie správ, ktoré sú strojovo čitateľné. Komisia prostredníctvom vykonávacích aktov stanoví uvedený spoločný vzor a uvedené elektronické formáty na podávanie správ. Uvedené vykonávacie akty sa prijmú v súlade s postupom preskúmania uvedeným v článku 50 ods. 2.</w:t>
            </w:r>
          </w:p>
        </w:tc>
        <w:tc>
          <w:tcPr>
            <w:tcW w:w="850" w:type="dxa"/>
            <w:tcBorders>
              <w:top w:val="single" w:sz="4" w:space="0" w:color="auto"/>
              <w:left w:val="single" w:sz="4" w:space="0" w:color="auto"/>
              <w:right w:val="single" w:sz="12" w:space="0" w:color="auto"/>
            </w:tcBorders>
          </w:tcPr>
          <w:p w:rsidR="005E3CE0" w:rsidRPr="00C34C47" w:rsidRDefault="005E3CE0" w:rsidP="00D36AB8">
            <w:pPr>
              <w:adjustRightInd w:val="0"/>
              <w:rPr>
                <w:color w:val="000000"/>
                <w:sz w:val="20"/>
                <w:szCs w:val="20"/>
              </w:rPr>
            </w:pPr>
            <w:r>
              <w:rPr>
                <w:color w:val="000000"/>
                <w:sz w:val="20"/>
                <w:szCs w:val="20"/>
              </w:rPr>
              <w:t>N</w:t>
            </w:r>
          </w:p>
        </w:tc>
        <w:tc>
          <w:tcPr>
            <w:tcW w:w="993" w:type="dxa"/>
            <w:tcBorders>
              <w:top w:val="single" w:sz="4" w:space="0" w:color="auto"/>
              <w:left w:val="nil"/>
              <w:right w:val="single" w:sz="4" w:space="0" w:color="auto"/>
            </w:tcBorders>
          </w:tcPr>
          <w:p w:rsidR="005E3CE0" w:rsidRDefault="005E3CE0" w:rsidP="00D36AB8">
            <w:pPr>
              <w:jc w:val="center"/>
              <w:rPr>
                <w:bCs/>
                <w:sz w:val="20"/>
                <w:szCs w:val="20"/>
              </w:rPr>
            </w:pPr>
            <w:r>
              <w:rPr>
                <w:bCs/>
                <w:sz w:val="20"/>
                <w:szCs w:val="20"/>
              </w:rPr>
              <w:t>431/2002</w:t>
            </w:r>
          </w:p>
          <w:p w:rsidR="005E3CE0" w:rsidRPr="00C34C47" w:rsidRDefault="005E3CE0" w:rsidP="005E3CE0">
            <w:pPr>
              <w:rPr>
                <w:b/>
                <w:color w:val="000000"/>
                <w:sz w:val="20"/>
                <w:szCs w:val="20"/>
              </w:rPr>
            </w:pPr>
            <w:r>
              <w:rPr>
                <w:b/>
                <w:color w:val="000000"/>
                <w:sz w:val="20"/>
                <w:szCs w:val="20"/>
              </w:rPr>
              <w:t xml:space="preserve">Návrh zákona </w:t>
            </w:r>
          </w:p>
          <w:p w:rsidR="005E3CE0" w:rsidRPr="00C34C47" w:rsidRDefault="005E3CE0" w:rsidP="00FF4C28">
            <w:pPr>
              <w:rPr>
                <w:bCs/>
                <w:sz w:val="20"/>
                <w:szCs w:val="20"/>
              </w:rPr>
            </w:pPr>
            <w:r>
              <w:rPr>
                <w:b/>
                <w:color w:val="000000"/>
                <w:sz w:val="20"/>
                <w:szCs w:val="20"/>
              </w:rPr>
              <w:t>Čl. V</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tcPr>
          <w:p w:rsidR="005E3CE0" w:rsidRDefault="005E3CE0" w:rsidP="00C30D8F">
            <w:pPr>
              <w:jc w:val="center"/>
              <w:rPr>
                <w:color w:val="000000"/>
                <w:sz w:val="20"/>
                <w:szCs w:val="20"/>
              </w:rPr>
            </w:pPr>
            <w:r>
              <w:rPr>
                <w:color w:val="000000"/>
                <w:sz w:val="20"/>
                <w:szCs w:val="20"/>
              </w:rPr>
              <w:t>§ 23a</w:t>
            </w:r>
          </w:p>
          <w:p w:rsidR="005E3CE0" w:rsidRPr="00C34C47" w:rsidRDefault="005E3CE0" w:rsidP="00C30D8F">
            <w:pPr>
              <w:jc w:val="center"/>
              <w:rPr>
                <w:color w:val="000000"/>
                <w:sz w:val="20"/>
                <w:szCs w:val="20"/>
              </w:rPr>
            </w:pPr>
            <w:r>
              <w:rPr>
                <w:color w:val="000000"/>
                <w:sz w:val="20"/>
                <w:szCs w:val="20"/>
              </w:rPr>
              <w:t>O: 11</w:t>
            </w:r>
          </w:p>
        </w:tc>
        <w:tc>
          <w:tcPr>
            <w:tcW w:w="3544" w:type="dxa"/>
            <w:tcBorders>
              <w:top w:val="single" w:sz="4" w:space="0" w:color="auto"/>
              <w:left w:val="single" w:sz="4" w:space="0" w:color="auto"/>
              <w:bottom w:val="single" w:sz="4" w:space="0" w:color="auto"/>
              <w:right w:val="single" w:sz="4" w:space="0" w:color="auto"/>
            </w:tcBorders>
          </w:tcPr>
          <w:p w:rsidR="005E3CE0" w:rsidRDefault="009345E3" w:rsidP="009345E3">
            <w:pPr>
              <w:jc w:val="both"/>
              <w:rPr>
                <w:sz w:val="20"/>
                <w:szCs w:val="20"/>
              </w:rPr>
            </w:pPr>
            <w:r w:rsidRPr="009345E3">
              <w:rPr>
                <w:b/>
                <w:sz w:val="20"/>
                <w:szCs w:val="20"/>
              </w:rPr>
              <w:t>Účtovná jednotka, na ktorú sa vzťahuje povinnosť uloženia správy s informáciami o dani z príjmov podľa § 21a ods. 5, je povinná ju uložiť v registri podľa vzoru a v elektronickom formáte ustanovenými osobitným predpisom</w:t>
            </w:r>
            <w:r>
              <w:rPr>
                <w:b/>
                <w:sz w:val="20"/>
                <w:szCs w:val="20"/>
              </w:rPr>
              <w:t>(</w:t>
            </w:r>
            <w:r w:rsidRPr="009345E3">
              <w:rPr>
                <w:b/>
                <w:sz w:val="20"/>
                <w:szCs w:val="20"/>
              </w:rPr>
              <w:t>29iaa)  najneskôr do jedného roka od skončenia účtovného obdobia, za ktoré sa táto správa s informáciami o dani z príjmov vyhotovuje.</w:t>
            </w:r>
            <w:r>
              <w:rPr>
                <w:sz w:val="20"/>
                <w:szCs w:val="20"/>
              </w:rPr>
              <w:t xml:space="preserve"> </w:t>
            </w:r>
            <w:r w:rsidR="005E3CE0" w:rsidRPr="005E3CE0">
              <w:rPr>
                <w:sz w:val="20"/>
                <w:szCs w:val="20"/>
              </w:rPr>
              <w:t xml:space="preserve">Účtovná jednotka, na ktorú sa vzťahuje povinnosť uloženia správy s informáciami o dani z </w:t>
            </w:r>
            <w:r w:rsidR="005E3CE0" w:rsidRPr="005E3CE0">
              <w:rPr>
                <w:sz w:val="20"/>
                <w:szCs w:val="20"/>
              </w:rPr>
              <w:lastRenderedPageBreak/>
              <w:t xml:space="preserve">príjmov podľa </w:t>
            </w:r>
            <w:r w:rsidR="005E3CE0" w:rsidRPr="009345E3">
              <w:rPr>
                <w:b/>
                <w:sz w:val="20"/>
                <w:szCs w:val="20"/>
              </w:rPr>
              <w:t>§ 21</w:t>
            </w:r>
            <w:r w:rsidRPr="009345E3">
              <w:rPr>
                <w:b/>
                <w:sz w:val="20"/>
                <w:szCs w:val="20"/>
              </w:rPr>
              <w:t>b</w:t>
            </w:r>
            <w:r w:rsidR="005E3CE0" w:rsidRPr="009345E3">
              <w:rPr>
                <w:b/>
                <w:sz w:val="20"/>
                <w:szCs w:val="20"/>
              </w:rPr>
              <w:t xml:space="preserve"> a</w:t>
            </w:r>
            <w:r w:rsidRPr="009345E3">
              <w:rPr>
                <w:b/>
                <w:sz w:val="20"/>
                <w:szCs w:val="20"/>
              </w:rPr>
              <w:t>lebo</w:t>
            </w:r>
            <w:r w:rsidR="005E3CE0" w:rsidRPr="009345E3">
              <w:rPr>
                <w:b/>
                <w:sz w:val="20"/>
                <w:szCs w:val="20"/>
              </w:rPr>
              <w:t xml:space="preserve"> 21c</w:t>
            </w:r>
            <w:r w:rsidR="005E3CE0" w:rsidRPr="005E3CE0">
              <w:rPr>
                <w:sz w:val="20"/>
                <w:szCs w:val="20"/>
              </w:rPr>
              <w:t xml:space="preserve"> do registra, je povinná ju uložiť v registri v elektronickom formáte, ktorý ustanoví ministerstvo opatrením, najneskôr do jedného roka od skončenia účtovného obdobia, za ktoré sa táto správa s informáciami o dani z príjmov vyhotovuje. Opatrenie vyhlasuje ministerstvo oznámením o jeho vydaní v Zbierke zákonov Slovenskej republiky.</w:t>
            </w:r>
          </w:p>
          <w:p w:rsidR="00337A88" w:rsidRPr="00337A88" w:rsidRDefault="00337A88" w:rsidP="009345E3">
            <w:pPr>
              <w:jc w:val="both"/>
              <w:rPr>
                <w:b/>
                <w:sz w:val="20"/>
                <w:szCs w:val="20"/>
              </w:rPr>
            </w:pPr>
            <w:r w:rsidRPr="00337A88">
              <w:rPr>
                <w:b/>
                <w:sz w:val="20"/>
                <w:szCs w:val="20"/>
              </w:rPr>
              <w:t>(29iaa) Vykonávacie nariadenie Komisie (EÚ) 2024/2952 z 29. novembra 2024, ktorým sa stanovuje spoločný vzor a elektronické formáty na podávanie správ na účely uplatňovania smernice Európskeho parlamentu a Rady 2013/34/EÚ, pokiaľ ide o informácie, ktoré sa majú predkladať v správach s informáciami o dani z príjmov (Ú. v. EÚ L, 2024/2952, 2.12.2024).</w:t>
            </w:r>
          </w:p>
        </w:tc>
        <w:tc>
          <w:tcPr>
            <w:tcW w:w="709" w:type="dxa"/>
            <w:tcBorders>
              <w:top w:val="single" w:sz="4" w:space="0" w:color="auto"/>
              <w:left w:val="single" w:sz="4" w:space="0" w:color="auto"/>
              <w:bottom w:val="single" w:sz="4" w:space="0" w:color="auto"/>
              <w:right w:val="single" w:sz="4" w:space="0" w:color="auto"/>
            </w:tcBorders>
          </w:tcPr>
          <w:p w:rsidR="005E3CE0" w:rsidRPr="00A371FA" w:rsidRDefault="00077602" w:rsidP="00D36AB8">
            <w:pPr>
              <w:adjustRightInd w:val="0"/>
              <w:rPr>
                <w:color w:val="000000"/>
                <w:sz w:val="20"/>
                <w:szCs w:val="20"/>
              </w:rPr>
            </w:pPr>
            <w:r>
              <w:rPr>
                <w:color w:val="000000"/>
                <w:sz w:val="20"/>
                <w:szCs w:val="20"/>
              </w:rPr>
              <w:lastRenderedPageBreak/>
              <w:t>Ú</w:t>
            </w:r>
          </w:p>
        </w:tc>
        <w:tc>
          <w:tcPr>
            <w:tcW w:w="1077" w:type="dxa"/>
            <w:tcBorders>
              <w:top w:val="single" w:sz="4" w:space="0" w:color="auto"/>
              <w:left w:val="single" w:sz="4" w:space="0" w:color="auto"/>
              <w:bottom w:val="single" w:sz="4" w:space="0" w:color="auto"/>
              <w:right w:val="single" w:sz="4" w:space="0" w:color="auto"/>
            </w:tcBorders>
          </w:tcPr>
          <w:p w:rsidR="005E3CE0" w:rsidRPr="00C34C47" w:rsidRDefault="005E3CE0" w:rsidP="00D36AB8">
            <w:pPr>
              <w:spacing w:before="75" w:after="75"/>
              <w:rPr>
                <w:sz w:val="20"/>
                <w:szCs w:val="20"/>
              </w:rPr>
            </w:pPr>
          </w:p>
        </w:tc>
        <w:tc>
          <w:tcPr>
            <w:tcW w:w="1049" w:type="dxa"/>
            <w:tcBorders>
              <w:top w:val="single" w:sz="4" w:space="0" w:color="auto"/>
              <w:left w:val="single" w:sz="4" w:space="0" w:color="auto"/>
              <w:bottom w:val="single" w:sz="4" w:space="0" w:color="auto"/>
              <w:right w:val="single" w:sz="12" w:space="0" w:color="auto"/>
            </w:tcBorders>
          </w:tcPr>
          <w:p w:rsidR="005E3CE0" w:rsidRPr="00C34C47" w:rsidRDefault="00077602" w:rsidP="00D36AB8">
            <w:pPr>
              <w:spacing w:before="75" w:after="75"/>
              <w:rPr>
                <w:sz w:val="20"/>
                <w:szCs w:val="20"/>
              </w:rPr>
            </w:pPr>
            <w:r w:rsidRPr="00C34C47">
              <w:rPr>
                <w:sz w:val="20"/>
                <w:szCs w:val="20"/>
              </w:rPr>
              <w:t>GP - N</w:t>
            </w:r>
          </w:p>
        </w:tc>
        <w:tc>
          <w:tcPr>
            <w:tcW w:w="1134" w:type="dxa"/>
            <w:tcBorders>
              <w:top w:val="single" w:sz="4" w:space="0" w:color="auto"/>
              <w:left w:val="single" w:sz="4" w:space="0" w:color="auto"/>
              <w:bottom w:val="single" w:sz="4" w:space="0" w:color="auto"/>
              <w:right w:val="single" w:sz="12" w:space="0" w:color="auto"/>
            </w:tcBorders>
          </w:tcPr>
          <w:p w:rsidR="005E3CE0" w:rsidRPr="00C34C47" w:rsidRDefault="005E3CE0" w:rsidP="00D36AB8">
            <w:pPr>
              <w:spacing w:before="75" w:after="75"/>
              <w:rPr>
                <w:sz w:val="20"/>
                <w:szCs w:val="20"/>
              </w:rPr>
            </w:pPr>
          </w:p>
        </w:tc>
      </w:tr>
      <w:tr w:rsidR="00D36AB8" w:rsidRPr="00C34C47" w:rsidTr="001C6670">
        <w:trPr>
          <w:trHeight w:val="127"/>
        </w:trPr>
        <w:tc>
          <w:tcPr>
            <w:tcW w:w="682" w:type="dxa"/>
            <w:vMerge w:val="restart"/>
            <w:tcBorders>
              <w:top w:val="single" w:sz="4" w:space="0" w:color="auto"/>
              <w:left w:val="single" w:sz="12" w:space="0" w:color="auto"/>
              <w:right w:val="single" w:sz="4" w:space="0" w:color="auto"/>
            </w:tcBorders>
          </w:tcPr>
          <w:p w:rsidR="00D36AB8" w:rsidRPr="00C34C47" w:rsidRDefault="00FE311B" w:rsidP="00D36AB8">
            <w:pPr>
              <w:spacing w:after="200" w:line="276" w:lineRule="auto"/>
              <w:jc w:val="center"/>
              <w:rPr>
                <w:b/>
                <w:color w:val="000000"/>
                <w:sz w:val="20"/>
                <w:szCs w:val="20"/>
              </w:rPr>
            </w:pPr>
            <w:r w:rsidRPr="00525949">
              <w:rPr>
                <w:b/>
                <w:color w:val="000000"/>
                <w:sz w:val="20"/>
                <w:szCs w:val="20"/>
              </w:rPr>
              <w:t>Č</w:t>
            </w:r>
            <w:r w:rsidR="00D36AB8" w:rsidRPr="00525949">
              <w:rPr>
                <w:b/>
                <w:color w:val="000000"/>
                <w:sz w:val="20"/>
                <w:szCs w:val="20"/>
              </w:rPr>
              <w:t>:</w:t>
            </w:r>
            <w:r w:rsidR="00D36AB8" w:rsidRPr="00C34C47">
              <w:rPr>
                <w:b/>
                <w:color w:val="000000"/>
                <w:sz w:val="20"/>
                <w:szCs w:val="20"/>
              </w:rPr>
              <w:t xml:space="preserve"> 51</w:t>
            </w:r>
          </w:p>
        </w:tc>
        <w:tc>
          <w:tcPr>
            <w:tcW w:w="4620" w:type="dxa"/>
            <w:vMerge w:val="restart"/>
            <w:tcBorders>
              <w:top w:val="single" w:sz="4" w:space="0" w:color="auto"/>
              <w:left w:val="single" w:sz="4" w:space="0" w:color="auto"/>
              <w:right w:val="single" w:sz="4" w:space="0" w:color="auto"/>
            </w:tcBorders>
          </w:tcPr>
          <w:p w:rsidR="00D36AB8" w:rsidRPr="00C34C47" w:rsidRDefault="00D36AB8" w:rsidP="00D36AB8">
            <w:pPr>
              <w:adjustRightInd w:val="0"/>
              <w:rPr>
                <w:b/>
                <w:bCs/>
                <w:color w:val="000000"/>
                <w:sz w:val="20"/>
                <w:szCs w:val="20"/>
              </w:rPr>
            </w:pPr>
            <w:r w:rsidRPr="00C34C47">
              <w:rPr>
                <w:b/>
                <w:bCs/>
                <w:color w:val="000000"/>
                <w:sz w:val="20"/>
                <w:szCs w:val="20"/>
              </w:rPr>
              <w:t xml:space="preserve">Sankcie </w:t>
            </w:r>
          </w:p>
          <w:p w:rsidR="00D36AB8" w:rsidRPr="00C34C47" w:rsidRDefault="00D36AB8" w:rsidP="00D36AB8">
            <w:pPr>
              <w:adjustRightInd w:val="0"/>
              <w:rPr>
                <w:b/>
                <w:bCs/>
                <w:color w:val="000000"/>
                <w:sz w:val="20"/>
                <w:szCs w:val="20"/>
              </w:rPr>
            </w:pPr>
            <w:r w:rsidRPr="00C34C47">
              <w:rPr>
                <w:bCs/>
                <w:color w:val="000000"/>
                <w:sz w:val="20"/>
                <w:szCs w:val="20"/>
              </w:rPr>
              <w:t>Členské štáty ustanovia sankcie za porušenie vnútroštátnych ustanovení prijatých v súlade s touto smernicou a prijmú všetky potrebné opatrenia na zabezpečenie presadzovania týchto sankcií. Stanovené sankcie musia byť účinné, primerané a odradzujúce.</w:t>
            </w:r>
          </w:p>
        </w:tc>
        <w:tc>
          <w:tcPr>
            <w:tcW w:w="850" w:type="dxa"/>
            <w:vMerge w:val="restart"/>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r w:rsidRPr="00C34C47">
              <w:rPr>
                <w:color w:val="000000"/>
                <w:sz w:val="20"/>
                <w:szCs w:val="20"/>
              </w:rPr>
              <w:t>N</w:t>
            </w:r>
          </w:p>
        </w:tc>
        <w:tc>
          <w:tcPr>
            <w:tcW w:w="993" w:type="dxa"/>
            <w:vMerge w:val="restart"/>
            <w:tcBorders>
              <w:top w:val="single" w:sz="4" w:space="0" w:color="auto"/>
              <w:left w:val="nil"/>
              <w:right w:val="single" w:sz="4" w:space="0" w:color="auto"/>
            </w:tcBorders>
          </w:tcPr>
          <w:p w:rsidR="00D36AB8" w:rsidRPr="00C34C47" w:rsidRDefault="00D36AB8" w:rsidP="00D36AB8">
            <w:pPr>
              <w:jc w:val="center"/>
              <w:rPr>
                <w:bCs/>
                <w:sz w:val="20"/>
                <w:szCs w:val="20"/>
              </w:rPr>
            </w:pPr>
            <w:r w:rsidRPr="00C34C47">
              <w:rPr>
                <w:bCs/>
                <w:sz w:val="20"/>
                <w:szCs w:val="20"/>
              </w:rPr>
              <w:t>431/2002</w:t>
            </w:r>
          </w:p>
          <w:p w:rsidR="00D36AB8" w:rsidRPr="00C34C47" w:rsidRDefault="00D36AB8" w:rsidP="00D36AB8">
            <w:pPr>
              <w:rPr>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A371FA" w:rsidRDefault="00A371FA" w:rsidP="00D36AB8">
            <w:pPr>
              <w:rPr>
                <w:b/>
                <w:color w:val="000000"/>
                <w:sz w:val="20"/>
                <w:szCs w:val="20"/>
              </w:rPr>
            </w:pPr>
          </w:p>
          <w:p w:rsidR="00C30D8F" w:rsidRDefault="00C30D8F" w:rsidP="00D36AB8">
            <w:pPr>
              <w:rPr>
                <w:b/>
                <w:color w:val="000000"/>
                <w:sz w:val="20"/>
                <w:szCs w:val="20"/>
              </w:rPr>
            </w:pPr>
          </w:p>
          <w:p w:rsidR="00C30D8F" w:rsidRDefault="00C30D8F" w:rsidP="00D36AB8">
            <w:pPr>
              <w:rPr>
                <w:b/>
                <w:color w:val="000000"/>
                <w:sz w:val="20"/>
                <w:szCs w:val="20"/>
              </w:rPr>
            </w:pPr>
          </w:p>
          <w:p w:rsidR="00D36AB8" w:rsidRPr="00C34C47" w:rsidRDefault="00D36AB8" w:rsidP="00D36AB8">
            <w:pPr>
              <w:rPr>
                <w:b/>
                <w:color w:val="000000"/>
                <w:sz w:val="20"/>
                <w:szCs w:val="20"/>
              </w:rPr>
            </w:pPr>
            <w:r w:rsidRPr="00C34C47">
              <w:rPr>
                <w:b/>
                <w:color w:val="000000"/>
                <w:sz w:val="20"/>
                <w:szCs w:val="20"/>
              </w:rPr>
              <w:t>Návrh</w:t>
            </w:r>
            <w:r w:rsidR="00A371FA">
              <w:rPr>
                <w:b/>
                <w:color w:val="000000"/>
                <w:sz w:val="20"/>
                <w:szCs w:val="20"/>
              </w:rPr>
              <w:t xml:space="preserve"> zákona</w:t>
            </w:r>
          </w:p>
          <w:p w:rsidR="00D36AB8" w:rsidRPr="00C34C47" w:rsidRDefault="00A371FA" w:rsidP="00D36AB8">
            <w:pPr>
              <w:adjustRightInd w:val="0"/>
              <w:rPr>
                <w:b/>
                <w:color w:val="000000"/>
                <w:sz w:val="20"/>
                <w:szCs w:val="20"/>
              </w:rPr>
            </w:pPr>
            <w:r>
              <w:rPr>
                <w:b/>
                <w:color w:val="000000"/>
                <w:sz w:val="20"/>
                <w:szCs w:val="20"/>
              </w:rPr>
              <w:t>č</w:t>
            </w:r>
            <w:r w:rsidR="00D36AB8" w:rsidRPr="00A371FA">
              <w:rPr>
                <w:b/>
                <w:color w:val="000000"/>
                <w:sz w:val="20"/>
                <w:szCs w:val="20"/>
              </w:rPr>
              <w:t xml:space="preserve">l. </w:t>
            </w:r>
            <w:r w:rsidR="00692CD1" w:rsidRPr="00A371FA">
              <w:rPr>
                <w:b/>
                <w:color w:val="000000"/>
                <w:sz w:val="20"/>
                <w:szCs w:val="20"/>
              </w:rPr>
              <w:t>V</w:t>
            </w: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A371FA" w:rsidRDefault="00A371FA" w:rsidP="00D36AB8">
            <w:pPr>
              <w:adjustRightInd w:val="0"/>
              <w:rPr>
                <w:color w:val="000000"/>
                <w:sz w:val="20"/>
                <w:szCs w:val="20"/>
              </w:rPr>
            </w:pPr>
            <w:r w:rsidRPr="00A371FA">
              <w:rPr>
                <w:color w:val="000000"/>
                <w:sz w:val="20"/>
                <w:szCs w:val="20"/>
              </w:rPr>
              <w:t>431/2002</w:t>
            </w: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Default="00D36AB8"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A371FA" w:rsidRDefault="00A371FA" w:rsidP="00D36AB8">
            <w:pPr>
              <w:adjustRightInd w:val="0"/>
              <w:rPr>
                <w:b/>
                <w:color w:val="000000"/>
                <w:sz w:val="20"/>
                <w:szCs w:val="20"/>
              </w:rPr>
            </w:pPr>
          </w:p>
          <w:p w:rsidR="00CD7803" w:rsidRDefault="00A371FA" w:rsidP="00D36AB8">
            <w:pPr>
              <w:adjustRightInd w:val="0"/>
              <w:rPr>
                <w:color w:val="000000"/>
                <w:sz w:val="20"/>
                <w:szCs w:val="20"/>
              </w:rPr>
            </w:pPr>
            <w:r w:rsidRPr="00A371FA">
              <w:rPr>
                <w:color w:val="000000"/>
                <w:sz w:val="20"/>
                <w:szCs w:val="20"/>
              </w:rPr>
              <w:lastRenderedPageBreak/>
              <w:t xml:space="preserve">431/2002 </w:t>
            </w:r>
          </w:p>
          <w:p w:rsidR="00A371FA" w:rsidRPr="00A371FA" w:rsidRDefault="00A371FA" w:rsidP="00CD7803">
            <w:pPr>
              <w:adjustRightInd w:val="0"/>
              <w:jc w:val="center"/>
              <w:rPr>
                <w:color w:val="000000"/>
                <w:sz w:val="20"/>
                <w:szCs w:val="20"/>
              </w:rPr>
            </w:pPr>
            <w:r w:rsidRPr="00A371FA">
              <w:rPr>
                <w:color w:val="000000"/>
                <w:sz w:val="20"/>
                <w:szCs w:val="20"/>
              </w:rPr>
              <w:t>a</w:t>
            </w:r>
          </w:p>
          <w:p w:rsidR="00A371FA" w:rsidRPr="00C34C47" w:rsidRDefault="00A371FA" w:rsidP="00A371FA">
            <w:pPr>
              <w:rPr>
                <w:b/>
                <w:color w:val="000000"/>
                <w:sz w:val="20"/>
                <w:szCs w:val="20"/>
              </w:rPr>
            </w:pPr>
            <w:r w:rsidRPr="00C34C47">
              <w:rPr>
                <w:b/>
                <w:color w:val="000000"/>
                <w:sz w:val="20"/>
                <w:szCs w:val="20"/>
              </w:rPr>
              <w:t>Návrh</w:t>
            </w:r>
            <w:r>
              <w:rPr>
                <w:b/>
                <w:color w:val="000000"/>
                <w:sz w:val="20"/>
                <w:szCs w:val="20"/>
              </w:rPr>
              <w:t xml:space="preserve"> zákona</w:t>
            </w:r>
          </w:p>
          <w:p w:rsidR="00A371FA" w:rsidRPr="00C34C47" w:rsidRDefault="00A371FA" w:rsidP="00A371FA">
            <w:pPr>
              <w:adjustRightInd w:val="0"/>
              <w:rPr>
                <w:b/>
                <w:color w:val="000000"/>
                <w:sz w:val="20"/>
                <w:szCs w:val="20"/>
              </w:rPr>
            </w:pPr>
            <w:r>
              <w:rPr>
                <w:b/>
                <w:color w:val="000000"/>
                <w:sz w:val="20"/>
                <w:szCs w:val="20"/>
              </w:rPr>
              <w:t>č</w:t>
            </w:r>
            <w:r w:rsidRPr="00A371FA">
              <w:rPr>
                <w:b/>
                <w:color w:val="000000"/>
                <w:sz w:val="20"/>
                <w:szCs w:val="20"/>
              </w:rPr>
              <w:t>l. V</w:t>
            </w:r>
          </w:p>
          <w:p w:rsidR="00A371FA" w:rsidRDefault="00A371FA" w:rsidP="00D36AB8">
            <w:pPr>
              <w:adjustRightInd w:val="0"/>
              <w:rPr>
                <w:b/>
                <w:color w:val="000000"/>
                <w:sz w:val="20"/>
                <w:szCs w:val="20"/>
              </w:rPr>
            </w:pPr>
          </w:p>
          <w:p w:rsidR="00A371FA" w:rsidRPr="00C34C47" w:rsidRDefault="00A371FA" w:rsidP="00D36AB8">
            <w:pPr>
              <w:adjustRightInd w:val="0"/>
              <w:rPr>
                <w:b/>
                <w:color w:val="000000"/>
                <w:sz w:val="20"/>
                <w:szCs w:val="20"/>
              </w:rPr>
            </w:pPr>
          </w:p>
          <w:p w:rsidR="00D36AB8" w:rsidRPr="00A371FA" w:rsidRDefault="00A371FA" w:rsidP="00D36AB8">
            <w:pPr>
              <w:adjustRightInd w:val="0"/>
              <w:rPr>
                <w:color w:val="000000"/>
                <w:sz w:val="20"/>
                <w:szCs w:val="20"/>
              </w:rPr>
            </w:pPr>
            <w:r w:rsidRPr="00A371FA">
              <w:rPr>
                <w:color w:val="000000"/>
                <w:sz w:val="20"/>
                <w:szCs w:val="20"/>
              </w:rPr>
              <w:t>431/2002</w:t>
            </w: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
                <w:color w:val="000000"/>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adjustRightInd w:val="0"/>
              <w:rPr>
                <w:bCs/>
                <w:sz w:val="20"/>
                <w:szCs w:val="20"/>
              </w:rPr>
            </w:pPr>
          </w:p>
          <w:p w:rsidR="00D36AB8" w:rsidRPr="00C34C47" w:rsidRDefault="00D36AB8" w:rsidP="00D36AB8">
            <w:pPr>
              <w:jc w:val="center"/>
              <w:rPr>
                <w:bCs/>
                <w:sz w:val="20"/>
                <w:szCs w:val="20"/>
              </w:rPr>
            </w:pPr>
            <w:r w:rsidRPr="00C34C47">
              <w:rPr>
                <w:bCs/>
                <w:sz w:val="20"/>
                <w:szCs w:val="20"/>
              </w:rPr>
              <w:t>431/2002</w:t>
            </w:r>
          </w:p>
          <w:p w:rsidR="00D36AB8" w:rsidRPr="00C34C47" w:rsidRDefault="00D36AB8" w:rsidP="00D36AB8">
            <w:pPr>
              <w:adjustRightInd w:val="0"/>
              <w:rPr>
                <w:bCs/>
                <w:sz w:val="20"/>
                <w:szCs w:val="20"/>
              </w:rPr>
            </w:pPr>
          </w:p>
          <w:p w:rsidR="001C6670" w:rsidRDefault="001C6670" w:rsidP="00D36AB8">
            <w:pPr>
              <w:adjustRightInd w:val="0"/>
              <w:rPr>
                <w:bCs/>
                <w:sz w:val="20"/>
                <w:szCs w:val="20"/>
              </w:rPr>
            </w:pPr>
          </w:p>
          <w:p w:rsidR="001C6670" w:rsidRDefault="001C6670" w:rsidP="00D36AB8">
            <w:pPr>
              <w:adjustRightInd w:val="0"/>
              <w:rPr>
                <w:bCs/>
                <w:sz w:val="20"/>
                <w:szCs w:val="20"/>
              </w:rPr>
            </w:pPr>
          </w:p>
          <w:p w:rsidR="00D36AB8" w:rsidRPr="001C6670" w:rsidRDefault="00D36AB8" w:rsidP="00D36AB8">
            <w:pPr>
              <w:adjustRightInd w:val="0"/>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30D8F" w:rsidRPr="00C34C47" w:rsidRDefault="00C30D8F" w:rsidP="00C30D8F">
            <w:pPr>
              <w:jc w:val="center"/>
              <w:rPr>
                <w:color w:val="000000"/>
                <w:sz w:val="20"/>
                <w:szCs w:val="20"/>
              </w:rPr>
            </w:pPr>
            <w:r w:rsidRPr="00C34C47">
              <w:rPr>
                <w:color w:val="000000"/>
                <w:sz w:val="20"/>
                <w:szCs w:val="20"/>
              </w:rPr>
              <w:lastRenderedPageBreak/>
              <w:t>§ 38</w:t>
            </w:r>
          </w:p>
          <w:p w:rsidR="00C30D8F" w:rsidRPr="00C34C47" w:rsidRDefault="00C30D8F" w:rsidP="00C30D8F">
            <w:pPr>
              <w:jc w:val="center"/>
              <w:rPr>
                <w:color w:val="000000"/>
                <w:sz w:val="20"/>
                <w:szCs w:val="20"/>
              </w:rPr>
            </w:pPr>
            <w:r w:rsidRPr="00C34C47">
              <w:rPr>
                <w:color w:val="000000"/>
                <w:sz w:val="20"/>
                <w:szCs w:val="20"/>
              </w:rPr>
              <w:t>O: 1</w:t>
            </w:r>
          </w:p>
          <w:p w:rsidR="00D36AB8" w:rsidRPr="00C34C47" w:rsidRDefault="00C30D8F" w:rsidP="00C30D8F">
            <w:pPr>
              <w:adjustRightInd w:val="0"/>
              <w:jc w:val="center"/>
              <w:rPr>
                <w:color w:val="000000"/>
                <w:sz w:val="20"/>
                <w:szCs w:val="20"/>
              </w:rPr>
            </w:pPr>
            <w:r>
              <w:rPr>
                <w:color w:val="000000"/>
                <w:sz w:val="20"/>
                <w:szCs w:val="20"/>
              </w:rPr>
              <w:t xml:space="preserve">    </w:t>
            </w:r>
            <w:r w:rsidRPr="00525949">
              <w:rPr>
                <w:color w:val="000000"/>
                <w:sz w:val="20"/>
                <w:szCs w:val="20"/>
              </w:rPr>
              <w:t>P:a) až q)</w:t>
            </w:r>
          </w:p>
        </w:tc>
        <w:tc>
          <w:tcPr>
            <w:tcW w:w="3544" w:type="dxa"/>
            <w:tcBorders>
              <w:top w:val="single" w:sz="4" w:space="0" w:color="auto"/>
              <w:left w:val="single" w:sz="4" w:space="0" w:color="auto"/>
              <w:bottom w:val="single" w:sz="4" w:space="0" w:color="auto"/>
              <w:right w:val="single" w:sz="4" w:space="0" w:color="auto"/>
            </w:tcBorders>
          </w:tcPr>
          <w:p w:rsidR="00D36AB8" w:rsidRPr="00A371FA" w:rsidRDefault="00C30D8F" w:rsidP="00D36AB8">
            <w:pPr>
              <w:jc w:val="both"/>
              <w:rPr>
                <w:sz w:val="20"/>
                <w:szCs w:val="20"/>
              </w:rPr>
            </w:pPr>
            <w:r w:rsidRPr="00525949">
              <w:rPr>
                <w:sz w:val="20"/>
                <w:szCs w:val="20"/>
              </w:rPr>
              <w:t>(1)</w:t>
            </w:r>
            <w:r>
              <w:rPr>
                <w:sz w:val="20"/>
                <w:szCs w:val="20"/>
              </w:rPr>
              <w:t xml:space="preserve"> </w:t>
            </w:r>
            <w:r w:rsidR="00D36AB8" w:rsidRPr="00A371FA">
              <w:rPr>
                <w:sz w:val="20"/>
                <w:szCs w:val="20"/>
              </w:rPr>
              <w:t>Správneho deliktu sa dopustí účtovná jednotka, ak</w:t>
            </w:r>
          </w:p>
          <w:p w:rsidR="00D36AB8" w:rsidRPr="00A371FA" w:rsidRDefault="00D36AB8" w:rsidP="00D36AB8">
            <w:pPr>
              <w:jc w:val="both"/>
              <w:rPr>
                <w:sz w:val="20"/>
                <w:szCs w:val="20"/>
              </w:rPr>
            </w:pPr>
            <w:r w:rsidRPr="00A371FA">
              <w:rPr>
                <w:sz w:val="20"/>
                <w:szCs w:val="20"/>
              </w:rPr>
              <w:t>a) neviedla účtovníctvo podľa § 4 ods. 1 alebo nezostavila účtovnú závierku podľa § 6 ods. 4,</w:t>
            </w:r>
          </w:p>
          <w:p w:rsidR="00D36AB8" w:rsidRPr="00A371FA" w:rsidRDefault="00D36AB8" w:rsidP="00D36AB8">
            <w:pPr>
              <w:jc w:val="both"/>
              <w:rPr>
                <w:sz w:val="20"/>
                <w:szCs w:val="20"/>
              </w:rPr>
            </w:pPr>
            <w:r w:rsidRPr="00A371FA">
              <w:rPr>
                <w:sz w:val="20"/>
                <w:szCs w:val="20"/>
              </w:rPr>
              <w:t>b) neotvorila účtovné knihy alebo neuzavrela účtovné knihy podľa § 16,</w:t>
            </w:r>
          </w:p>
          <w:p w:rsidR="00D36AB8" w:rsidRPr="00A371FA" w:rsidRDefault="00D36AB8" w:rsidP="00D36AB8">
            <w:pPr>
              <w:jc w:val="both"/>
              <w:rPr>
                <w:sz w:val="20"/>
                <w:szCs w:val="20"/>
              </w:rPr>
            </w:pPr>
            <w:r w:rsidRPr="00A371FA">
              <w:rPr>
                <w:sz w:val="20"/>
                <w:szCs w:val="20"/>
              </w:rPr>
              <w:t>c) neuložila dokumenty podľa § 23a ods. 1 až 9, 12, 13 a 23b, nezverejnila dokumenty podľa § 23d alebo nevyhovela výzve podľa § 23b ods. 1 alebo ods. 6 v určenej lehote alebo určenom rozsahu,</w:t>
            </w:r>
          </w:p>
          <w:p w:rsidR="00D36AB8" w:rsidRPr="00A371FA" w:rsidRDefault="00D36AB8" w:rsidP="00D36AB8">
            <w:pPr>
              <w:jc w:val="both"/>
              <w:rPr>
                <w:sz w:val="20"/>
                <w:szCs w:val="20"/>
              </w:rPr>
            </w:pPr>
          </w:p>
          <w:p w:rsidR="00D36AB8" w:rsidRPr="00A371FA" w:rsidRDefault="00D36AB8" w:rsidP="00D36AB8">
            <w:pPr>
              <w:jc w:val="both"/>
              <w:rPr>
                <w:sz w:val="20"/>
                <w:szCs w:val="20"/>
              </w:rPr>
            </w:pPr>
            <w:r w:rsidRPr="00A371FA">
              <w:rPr>
                <w:sz w:val="20"/>
                <w:szCs w:val="20"/>
              </w:rPr>
              <w:t xml:space="preserve">d) nezabezpečila </w:t>
            </w:r>
          </w:p>
          <w:p w:rsidR="00D36AB8" w:rsidRPr="00A371FA" w:rsidRDefault="00D36AB8" w:rsidP="00D36AB8">
            <w:pPr>
              <w:pStyle w:val="Odsekzoznamu"/>
              <w:numPr>
                <w:ilvl w:val="0"/>
                <w:numId w:val="7"/>
              </w:numPr>
              <w:spacing w:after="120" w:line="240" w:lineRule="auto"/>
              <w:ind w:left="95" w:firstLine="142"/>
              <w:contextualSpacing w:val="0"/>
              <w:jc w:val="both"/>
              <w:rPr>
                <w:rFonts w:cs="Times New Roman"/>
                <w:sz w:val="20"/>
                <w:szCs w:val="20"/>
              </w:rPr>
            </w:pPr>
            <w:r w:rsidRPr="00A371FA">
              <w:rPr>
                <w:rFonts w:cs="Times New Roman"/>
                <w:sz w:val="20"/>
                <w:szCs w:val="20"/>
              </w:rPr>
              <w:t>overenie účtovnej závierky</w:t>
            </w:r>
            <w:r w:rsidRPr="00A371FA">
              <w:rPr>
                <w:rFonts w:cs="Times New Roman"/>
                <w:b/>
                <w:sz w:val="20"/>
                <w:szCs w:val="20"/>
              </w:rPr>
              <w:t xml:space="preserve"> </w:t>
            </w:r>
            <w:r w:rsidRPr="00A371FA">
              <w:rPr>
                <w:rFonts w:cs="Times New Roman"/>
                <w:sz w:val="20"/>
                <w:szCs w:val="20"/>
              </w:rPr>
              <w:t>audítorom a tým porušila ustanovenia </w:t>
            </w:r>
            <w:hyperlink r:id="rId9" w:anchor="paragraf-19" w:tooltip="Odkaz na predpis alebo ustanovenie" w:history="1">
              <w:r w:rsidRPr="00A371FA">
                <w:rPr>
                  <w:rFonts w:cs="Times New Roman"/>
                  <w:sz w:val="20"/>
                  <w:szCs w:val="20"/>
                </w:rPr>
                <w:t>§ 19</w:t>
              </w:r>
            </w:hyperlink>
            <w:r w:rsidRPr="00A371FA">
              <w:rPr>
                <w:rFonts w:cs="Times New Roman"/>
                <w:sz w:val="20"/>
                <w:szCs w:val="20"/>
              </w:rPr>
              <w:t xml:space="preserve">, </w:t>
            </w:r>
            <w:hyperlink r:id="rId10" w:anchor="paragraf-22" w:tooltip="Odkaz na predpis alebo ustanovenie" w:history="1">
              <w:r w:rsidRPr="00A371FA">
                <w:rPr>
                  <w:rFonts w:cs="Times New Roman"/>
                  <w:sz w:val="20"/>
                  <w:szCs w:val="20"/>
                </w:rPr>
                <w:t>22 alebo § 22a</w:t>
              </w:r>
            </w:hyperlink>
            <w:r w:rsidRPr="00A371FA">
              <w:rPr>
                <w:rFonts w:cs="Times New Roman"/>
                <w:sz w:val="20"/>
                <w:szCs w:val="20"/>
              </w:rPr>
              <w:t>,</w:t>
            </w:r>
          </w:p>
          <w:p w:rsidR="00D36AB8" w:rsidRPr="00A371FA" w:rsidRDefault="00D36AB8" w:rsidP="00D36AB8">
            <w:pPr>
              <w:pStyle w:val="Odsekzoznamu"/>
              <w:numPr>
                <w:ilvl w:val="0"/>
                <w:numId w:val="7"/>
              </w:numPr>
              <w:spacing w:after="120" w:line="240" w:lineRule="auto"/>
              <w:ind w:left="95" w:firstLine="142"/>
              <w:contextualSpacing w:val="0"/>
              <w:jc w:val="both"/>
              <w:rPr>
                <w:rFonts w:cs="Times New Roman"/>
                <w:sz w:val="20"/>
                <w:szCs w:val="20"/>
              </w:rPr>
            </w:pPr>
            <w:r w:rsidRPr="00A371FA">
              <w:rPr>
                <w:rFonts w:cs="Times New Roman"/>
                <w:sz w:val="20"/>
                <w:szCs w:val="20"/>
              </w:rPr>
              <w:lastRenderedPageBreak/>
              <w:t xml:space="preserve">overenie výročnej správy podľa § 20 ods. 3 alebo § 22 ods. 16 audítorom a tým porušila ustanovenia </w:t>
            </w:r>
            <w:r w:rsidRPr="00A371FA">
              <w:rPr>
                <w:rFonts w:cs="Times New Roman"/>
                <w:sz w:val="20"/>
                <w:szCs w:val="20"/>
              </w:rPr>
              <w:br/>
              <w:t>§ 20 alebo §  22,</w:t>
            </w:r>
          </w:p>
          <w:p w:rsidR="00D36AB8" w:rsidRPr="00A371FA" w:rsidRDefault="00D36AB8" w:rsidP="00D36AB8">
            <w:pPr>
              <w:pStyle w:val="Odsekzoznamu"/>
              <w:numPr>
                <w:ilvl w:val="0"/>
                <w:numId w:val="7"/>
              </w:numPr>
              <w:spacing w:after="120" w:line="240" w:lineRule="auto"/>
              <w:ind w:left="95" w:firstLine="142"/>
              <w:contextualSpacing w:val="0"/>
              <w:jc w:val="both"/>
              <w:rPr>
                <w:rFonts w:cs="Times New Roman"/>
                <w:sz w:val="20"/>
                <w:szCs w:val="20"/>
              </w:rPr>
            </w:pPr>
            <w:r w:rsidRPr="00A371FA">
              <w:rPr>
                <w:rFonts w:cs="Times New Roman"/>
                <w:sz w:val="20"/>
                <w:szCs w:val="20"/>
              </w:rPr>
              <w:t>overenie súladu výročnej správy podľa § 22b ods. 1 s účtovnou závierkou a tým porušila § 22b alebo</w:t>
            </w:r>
          </w:p>
          <w:p w:rsidR="00D36AB8" w:rsidRPr="00A371FA" w:rsidRDefault="00D36AB8" w:rsidP="00D36AB8">
            <w:pPr>
              <w:pStyle w:val="Odsekzoznamu"/>
              <w:numPr>
                <w:ilvl w:val="0"/>
                <w:numId w:val="7"/>
              </w:numPr>
              <w:spacing w:after="120" w:line="240" w:lineRule="auto"/>
              <w:ind w:left="95" w:firstLine="142"/>
              <w:contextualSpacing w:val="0"/>
              <w:jc w:val="both"/>
              <w:rPr>
                <w:rFonts w:cs="Times New Roman"/>
                <w:sz w:val="20"/>
                <w:szCs w:val="20"/>
              </w:rPr>
            </w:pPr>
            <w:r w:rsidRPr="00A371FA">
              <w:rPr>
                <w:rFonts w:cs="Times New Roman"/>
                <w:sz w:val="20"/>
                <w:szCs w:val="20"/>
              </w:rPr>
              <w:t>uistenie vykazovania informácií o udržateľnosti podľa § 20c alebo § 20g vo výročnej správe audítorom a tým porušila ustanovenia § 20h,</w:t>
            </w:r>
          </w:p>
          <w:p w:rsidR="00D36AB8" w:rsidRPr="00A371FA" w:rsidRDefault="00D36AB8" w:rsidP="00D36AB8">
            <w:pPr>
              <w:jc w:val="both"/>
              <w:rPr>
                <w:sz w:val="20"/>
                <w:szCs w:val="20"/>
              </w:rPr>
            </w:pPr>
            <w:r w:rsidRPr="00A371FA">
              <w:rPr>
                <w:sz w:val="20"/>
                <w:szCs w:val="20"/>
              </w:rPr>
              <w:t>e) nedala schváliť alebo nedala odvolať audítora podľa § 19 ods. 2 alebo § 20h ods. 5 alebo ods. 6,</w:t>
            </w:r>
          </w:p>
          <w:p w:rsidR="00D36AB8" w:rsidRPr="00A371FA" w:rsidRDefault="00D36AB8" w:rsidP="00D36AB8">
            <w:pPr>
              <w:jc w:val="both"/>
              <w:rPr>
                <w:sz w:val="20"/>
                <w:szCs w:val="20"/>
              </w:rPr>
            </w:pPr>
            <w:r w:rsidRPr="00A371FA">
              <w:rPr>
                <w:sz w:val="20"/>
                <w:szCs w:val="20"/>
              </w:rPr>
              <w:t>f) neviedla účtovníctvo podľa § 8 a toto porušenie malo vplyv na nesprávne vykázanie skutočností v účtovnej závierke,</w:t>
            </w:r>
          </w:p>
          <w:p w:rsidR="00D36AB8" w:rsidRPr="00A371FA" w:rsidRDefault="00D36AB8" w:rsidP="00D36AB8">
            <w:pPr>
              <w:jc w:val="both"/>
              <w:rPr>
                <w:sz w:val="20"/>
                <w:szCs w:val="20"/>
              </w:rPr>
            </w:pPr>
            <w:r w:rsidRPr="00A371FA">
              <w:rPr>
                <w:sz w:val="20"/>
                <w:szCs w:val="20"/>
              </w:rPr>
              <w:t>g) neviedla účtovníctvo podľa § 8 a toto porušenie nemalo vplyv na vykázanie skutočností v účtovnej závierke,</w:t>
            </w:r>
          </w:p>
          <w:p w:rsidR="00D36AB8" w:rsidRPr="00A371FA" w:rsidRDefault="00D36AB8" w:rsidP="00D36AB8">
            <w:pPr>
              <w:jc w:val="both"/>
              <w:rPr>
                <w:sz w:val="20"/>
                <w:szCs w:val="20"/>
              </w:rPr>
            </w:pPr>
            <w:r w:rsidRPr="00A371FA">
              <w:rPr>
                <w:sz w:val="20"/>
                <w:szCs w:val="20"/>
              </w:rPr>
              <w:t>h) porušila ustanovenia § 9,</w:t>
            </w:r>
          </w:p>
          <w:p w:rsidR="00D36AB8" w:rsidRPr="00A371FA" w:rsidRDefault="00D36AB8" w:rsidP="00D36AB8">
            <w:pPr>
              <w:jc w:val="both"/>
              <w:rPr>
                <w:sz w:val="20"/>
                <w:szCs w:val="20"/>
              </w:rPr>
            </w:pPr>
            <w:r w:rsidRPr="00A371FA">
              <w:rPr>
                <w:sz w:val="20"/>
                <w:szCs w:val="20"/>
              </w:rPr>
              <w:t>i) porušila ustanovenia § 17,</w:t>
            </w:r>
          </w:p>
          <w:p w:rsidR="00D36AB8" w:rsidRPr="00A371FA" w:rsidRDefault="00D36AB8" w:rsidP="00D36AB8">
            <w:pPr>
              <w:jc w:val="both"/>
              <w:rPr>
                <w:sz w:val="20"/>
                <w:szCs w:val="20"/>
              </w:rPr>
            </w:pPr>
            <w:r w:rsidRPr="00A371FA">
              <w:rPr>
                <w:sz w:val="20"/>
                <w:szCs w:val="20"/>
              </w:rPr>
              <w:t>j) nedodržala oceňovanie podľa § 24 až 28,</w:t>
            </w:r>
          </w:p>
          <w:p w:rsidR="00D36AB8" w:rsidRPr="00A371FA" w:rsidRDefault="00D36AB8" w:rsidP="00D36AB8">
            <w:pPr>
              <w:jc w:val="both"/>
              <w:rPr>
                <w:sz w:val="20"/>
                <w:szCs w:val="20"/>
              </w:rPr>
            </w:pPr>
            <w:r w:rsidRPr="00A371FA">
              <w:rPr>
                <w:sz w:val="20"/>
                <w:szCs w:val="20"/>
              </w:rPr>
              <w:t>k) porušila ustanovenia § 31 až 33 alebo nevyhovela výzve podľa § 31 ods. 8 v určenej lehote alebo určenom rozsahu,</w:t>
            </w:r>
          </w:p>
          <w:p w:rsidR="00D36AB8" w:rsidRPr="00A371FA" w:rsidRDefault="00D36AB8" w:rsidP="00D36AB8">
            <w:pPr>
              <w:jc w:val="both"/>
              <w:rPr>
                <w:sz w:val="20"/>
                <w:szCs w:val="20"/>
              </w:rPr>
            </w:pPr>
            <w:r w:rsidRPr="00A371FA">
              <w:rPr>
                <w:sz w:val="20"/>
                <w:szCs w:val="20"/>
              </w:rPr>
              <w:t>l) porušila ustanovenia § 34,</w:t>
            </w:r>
          </w:p>
          <w:p w:rsidR="00D36AB8" w:rsidRPr="00A371FA" w:rsidRDefault="00D36AB8" w:rsidP="00D36AB8">
            <w:pPr>
              <w:jc w:val="both"/>
              <w:rPr>
                <w:sz w:val="20"/>
                <w:szCs w:val="20"/>
              </w:rPr>
            </w:pPr>
            <w:r w:rsidRPr="00A371FA">
              <w:rPr>
                <w:sz w:val="20"/>
                <w:szCs w:val="20"/>
              </w:rPr>
              <w:t>m) porušila ustanovenia § 18 ods. 7 alebo</w:t>
            </w:r>
            <w:r w:rsidRPr="00A371FA">
              <w:rPr>
                <w:b/>
                <w:sz w:val="20"/>
                <w:szCs w:val="20"/>
              </w:rPr>
              <w:t xml:space="preserve"> </w:t>
            </w:r>
            <w:r w:rsidRPr="00A371FA">
              <w:rPr>
                <w:sz w:val="20"/>
                <w:szCs w:val="20"/>
              </w:rPr>
              <w:t>§ 35,</w:t>
            </w:r>
          </w:p>
          <w:p w:rsidR="00D36AB8" w:rsidRPr="00A371FA" w:rsidRDefault="00D36AB8" w:rsidP="00D36AB8">
            <w:pPr>
              <w:jc w:val="both"/>
              <w:rPr>
                <w:sz w:val="20"/>
                <w:szCs w:val="20"/>
              </w:rPr>
            </w:pPr>
            <w:r w:rsidRPr="00A371FA">
              <w:rPr>
                <w:sz w:val="20"/>
                <w:szCs w:val="20"/>
              </w:rPr>
              <w:t>n) porušila ustanovenie § 11 ods. 3,</w:t>
            </w:r>
          </w:p>
          <w:p w:rsidR="00D36AB8" w:rsidRPr="00A371FA" w:rsidRDefault="00D36AB8" w:rsidP="00D36AB8">
            <w:pPr>
              <w:jc w:val="both"/>
              <w:rPr>
                <w:sz w:val="20"/>
                <w:szCs w:val="20"/>
              </w:rPr>
            </w:pPr>
            <w:r w:rsidRPr="00A371FA">
              <w:rPr>
                <w:sz w:val="20"/>
                <w:szCs w:val="20"/>
              </w:rPr>
              <w:t xml:space="preserve">o) uložila správu s informáciami o dani z príjmov, ktorá neobsahuje náležitosti ustanovené opatrením vydaným podľa § 21a ods. 6 alebo usporiadanie a označovanie týchto náležitostí je v rozpore s opatrením vydaným podľa § 21a ods. 6 </w:t>
            </w:r>
            <w:r w:rsidRPr="00A371FA">
              <w:rPr>
                <w:sz w:val="20"/>
                <w:szCs w:val="20"/>
              </w:rPr>
              <w:lastRenderedPageBreak/>
              <w:t>alebo porušila ustanovenie § 21e alebo § 23a ods. 11,</w:t>
            </w:r>
          </w:p>
          <w:p w:rsidR="00692CD1" w:rsidRPr="00A371FA" w:rsidRDefault="00D36AB8" w:rsidP="00D36AB8">
            <w:pPr>
              <w:jc w:val="both"/>
              <w:rPr>
                <w:sz w:val="20"/>
                <w:szCs w:val="20"/>
              </w:rPr>
            </w:pPr>
            <w:r w:rsidRPr="00A371FA">
              <w:rPr>
                <w:sz w:val="20"/>
                <w:szCs w:val="20"/>
              </w:rPr>
              <w:t>p) porušila ustanovenia § 20 až 20i</w:t>
            </w:r>
            <w:r w:rsidR="00692CD1" w:rsidRPr="00A371FA">
              <w:rPr>
                <w:sz w:val="20"/>
                <w:szCs w:val="20"/>
              </w:rPr>
              <w:t>,</w:t>
            </w:r>
          </w:p>
          <w:p w:rsidR="00D36AB8" w:rsidRPr="00A371FA" w:rsidRDefault="00692CD1" w:rsidP="00976A6C">
            <w:pPr>
              <w:jc w:val="both"/>
              <w:rPr>
                <w:b/>
                <w:sz w:val="20"/>
                <w:szCs w:val="20"/>
              </w:rPr>
            </w:pPr>
            <w:r w:rsidRPr="00A371FA">
              <w:rPr>
                <w:b/>
                <w:sz w:val="20"/>
                <w:szCs w:val="20"/>
              </w:rPr>
              <w:t>q)</w:t>
            </w:r>
            <w:r w:rsidR="00A371FA" w:rsidRPr="00A371FA">
              <w:rPr>
                <w:b/>
                <w:sz w:val="20"/>
                <w:szCs w:val="20"/>
              </w:rPr>
              <w:t xml:space="preserve"> porušil</w:t>
            </w:r>
            <w:r w:rsidR="00414737">
              <w:rPr>
                <w:b/>
                <w:sz w:val="20"/>
                <w:szCs w:val="20"/>
              </w:rPr>
              <w:t xml:space="preserve">a ustanovenia § 23e ods. </w:t>
            </w:r>
            <w:r w:rsidR="00525949">
              <w:rPr>
                <w:b/>
                <w:sz w:val="20"/>
                <w:szCs w:val="20"/>
              </w:rPr>
              <w:t>1</w:t>
            </w:r>
            <w:r w:rsidR="00FB1AF2">
              <w:rPr>
                <w:b/>
                <w:sz w:val="20"/>
                <w:szCs w:val="20"/>
              </w:rPr>
              <w:t>,</w:t>
            </w:r>
            <w:r w:rsidR="00525949">
              <w:rPr>
                <w:b/>
                <w:sz w:val="20"/>
                <w:szCs w:val="20"/>
              </w:rPr>
              <w:t xml:space="preserve"> </w:t>
            </w:r>
            <w:r w:rsidR="00414737">
              <w:rPr>
                <w:b/>
                <w:sz w:val="20"/>
                <w:szCs w:val="20"/>
              </w:rPr>
              <w:t xml:space="preserve">3 </w:t>
            </w:r>
            <w:r w:rsidR="00525949">
              <w:rPr>
                <w:b/>
                <w:sz w:val="20"/>
                <w:szCs w:val="20"/>
              </w:rPr>
              <w:t>alebo</w:t>
            </w:r>
            <w:r w:rsidR="00FB1AF2">
              <w:rPr>
                <w:b/>
                <w:sz w:val="20"/>
                <w:szCs w:val="20"/>
              </w:rPr>
              <w:t xml:space="preserve"> ods. 4 alebo</w:t>
            </w:r>
            <w:r w:rsidR="00525949">
              <w:rPr>
                <w:b/>
                <w:sz w:val="20"/>
                <w:szCs w:val="20"/>
              </w:rPr>
              <w:t xml:space="preserve"> nevyhovela výzve podľa § 23e ods. </w:t>
            </w:r>
            <w:r w:rsidR="00976A6C">
              <w:rPr>
                <w:b/>
                <w:sz w:val="20"/>
                <w:szCs w:val="20"/>
              </w:rPr>
              <w:t>7</w:t>
            </w:r>
            <w:r w:rsidR="00525949">
              <w:rPr>
                <w:b/>
                <w:sz w:val="20"/>
                <w:szCs w:val="20"/>
              </w:rPr>
              <w:t xml:space="preserve"> v určenej lehote alebo určenom rozsahu</w:t>
            </w:r>
            <w:r w:rsidR="00D36AB8" w:rsidRPr="00A371FA">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36AB8" w:rsidRPr="00A371FA" w:rsidRDefault="00D36AB8" w:rsidP="00D36AB8">
            <w:pPr>
              <w:adjustRightInd w:val="0"/>
              <w:rPr>
                <w:color w:val="000000"/>
                <w:sz w:val="20"/>
                <w:szCs w:val="20"/>
              </w:rPr>
            </w:pPr>
            <w:r w:rsidRPr="00A371FA">
              <w:rPr>
                <w:color w:val="000000"/>
                <w:sz w:val="20"/>
                <w:szCs w:val="20"/>
              </w:rPr>
              <w:lastRenderedPageBreak/>
              <w:t>Ú</w:t>
            </w:r>
          </w:p>
        </w:tc>
        <w:tc>
          <w:tcPr>
            <w:tcW w:w="1077"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tcBorders>
              <w:top w:val="single" w:sz="4" w:space="0" w:color="auto"/>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r w:rsidRPr="00C34C47">
              <w:rPr>
                <w:sz w:val="20"/>
                <w:szCs w:val="20"/>
              </w:rPr>
              <w:t>GP - N</w:t>
            </w:r>
          </w:p>
        </w:tc>
        <w:tc>
          <w:tcPr>
            <w:tcW w:w="1134" w:type="dxa"/>
            <w:tcBorders>
              <w:top w:val="single" w:sz="4" w:space="0" w:color="auto"/>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top w:val="single" w:sz="4" w:space="0" w:color="auto"/>
              <w:left w:val="single" w:sz="12" w:space="0" w:color="auto"/>
              <w:right w:val="single" w:sz="4" w:space="0" w:color="auto"/>
            </w:tcBorders>
          </w:tcPr>
          <w:p w:rsidR="00D36AB8" w:rsidRPr="00C34C47" w:rsidRDefault="00D36AB8" w:rsidP="00D36AB8">
            <w:pPr>
              <w:spacing w:after="200" w:line="276" w:lineRule="auto"/>
              <w:jc w:val="center"/>
              <w:rPr>
                <w:b/>
                <w:color w:val="000000"/>
                <w:sz w:val="20"/>
                <w:szCs w:val="20"/>
              </w:rPr>
            </w:pPr>
          </w:p>
        </w:tc>
        <w:tc>
          <w:tcPr>
            <w:tcW w:w="4620" w:type="dxa"/>
            <w:vMerge/>
            <w:tcBorders>
              <w:top w:val="single" w:sz="4" w:space="0" w:color="auto"/>
              <w:left w:val="single" w:sz="4" w:space="0" w:color="auto"/>
              <w:right w:val="single" w:sz="4" w:space="0" w:color="auto"/>
            </w:tcBorders>
          </w:tcPr>
          <w:p w:rsidR="00D36AB8" w:rsidRPr="00C34C47" w:rsidRDefault="00D36AB8" w:rsidP="00D36AB8">
            <w:pPr>
              <w:adjustRightInd w:val="0"/>
              <w:rPr>
                <w:b/>
                <w:bCs/>
                <w:color w:val="000000"/>
                <w:sz w:val="20"/>
                <w:szCs w:val="20"/>
              </w:rPr>
            </w:pPr>
          </w:p>
        </w:tc>
        <w:tc>
          <w:tcPr>
            <w:tcW w:w="850" w:type="dxa"/>
            <w:vMerge/>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top w:val="single" w:sz="4" w:space="0" w:color="auto"/>
              <w:left w:val="nil"/>
              <w:right w:val="single" w:sz="4" w:space="0" w:color="auto"/>
            </w:tcBorders>
          </w:tcPr>
          <w:p w:rsidR="00D36AB8" w:rsidRPr="00C34C47" w:rsidRDefault="00D36AB8" w:rsidP="00D36AB8">
            <w:pPr>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jc w:val="center"/>
              <w:rPr>
                <w:color w:val="000000"/>
                <w:sz w:val="20"/>
                <w:szCs w:val="20"/>
              </w:rPr>
            </w:pPr>
            <w:r w:rsidRPr="00C34C47">
              <w:rPr>
                <w:color w:val="000000"/>
                <w:sz w:val="20"/>
                <w:szCs w:val="20"/>
              </w:rPr>
              <w:t>§ 38</w:t>
            </w:r>
          </w:p>
          <w:p w:rsidR="00D36AB8" w:rsidRDefault="00D36AB8" w:rsidP="00D36AB8">
            <w:pPr>
              <w:adjustRightInd w:val="0"/>
              <w:jc w:val="center"/>
              <w:rPr>
                <w:color w:val="000000"/>
                <w:sz w:val="20"/>
                <w:szCs w:val="20"/>
              </w:rPr>
            </w:pPr>
            <w:r w:rsidRPr="00C34C47">
              <w:rPr>
                <w:color w:val="000000"/>
                <w:sz w:val="20"/>
                <w:szCs w:val="20"/>
              </w:rPr>
              <w:t>O: 2</w:t>
            </w:r>
          </w:p>
          <w:p w:rsidR="00CD7803" w:rsidRPr="00C34C47" w:rsidRDefault="00CD7803" w:rsidP="00D36AB8">
            <w:pPr>
              <w:adjustRightInd w:val="0"/>
              <w:jc w:val="center"/>
              <w:rPr>
                <w:color w:val="000000"/>
                <w:sz w:val="20"/>
                <w:szCs w:val="20"/>
              </w:rPr>
            </w:pPr>
            <w:r>
              <w:rPr>
                <w:color w:val="000000"/>
                <w:sz w:val="20"/>
                <w:szCs w:val="20"/>
              </w:rPr>
              <w:t>P</w:t>
            </w:r>
            <w:r w:rsidRPr="00525949">
              <w:rPr>
                <w:color w:val="000000"/>
                <w:sz w:val="20"/>
                <w:szCs w:val="20"/>
              </w:rPr>
              <w:t>: a) až g)</w:t>
            </w:r>
          </w:p>
        </w:tc>
        <w:tc>
          <w:tcPr>
            <w:tcW w:w="3544" w:type="dxa"/>
            <w:tcBorders>
              <w:top w:val="single" w:sz="4" w:space="0" w:color="auto"/>
              <w:left w:val="single" w:sz="4" w:space="0" w:color="auto"/>
              <w:bottom w:val="single" w:sz="4" w:space="0" w:color="auto"/>
              <w:right w:val="single" w:sz="4" w:space="0" w:color="auto"/>
            </w:tcBorders>
          </w:tcPr>
          <w:p w:rsidR="00D36AB8" w:rsidRPr="00A371FA" w:rsidRDefault="00D36AB8" w:rsidP="00D36AB8">
            <w:pPr>
              <w:jc w:val="both"/>
              <w:rPr>
                <w:sz w:val="20"/>
                <w:szCs w:val="20"/>
              </w:rPr>
            </w:pPr>
            <w:r w:rsidRPr="00A371FA">
              <w:rPr>
                <w:sz w:val="20"/>
                <w:szCs w:val="20"/>
              </w:rPr>
              <w:t>Daňový úrad uloží pokutu za správny delikt</w:t>
            </w:r>
          </w:p>
          <w:p w:rsidR="00D36AB8" w:rsidRPr="00A371FA" w:rsidRDefault="00D36AB8" w:rsidP="00D36AB8">
            <w:pPr>
              <w:jc w:val="both"/>
              <w:rPr>
                <w:sz w:val="20"/>
                <w:szCs w:val="20"/>
              </w:rPr>
            </w:pPr>
            <w:r w:rsidRPr="00A371FA">
              <w:rPr>
                <w:sz w:val="20"/>
                <w:szCs w:val="20"/>
              </w:rPr>
              <w:t>a) podľa odseku 1 písm. a) a n) od 1 000 eur do 3 000 000 eur,</w:t>
            </w:r>
          </w:p>
          <w:p w:rsidR="00D36AB8" w:rsidRPr="00A371FA" w:rsidRDefault="00D36AB8" w:rsidP="00D36AB8">
            <w:pPr>
              <w:jc w:val="both"/>
              <w:rPr>
                <w:sz w:val="20"/>
                <w:szCs w:val="20"/>
              </w:rPr>
            </w:pPr>
            <w:r w:rsidRPr="00A371FA">
              <w:rPr>
                <w:sz w:val="20"/>
                <w:szCs w:val="20"/>
              </w:rPr>
              <w:t>b) podľa odseku 1 písm. b) až f) do 2 % z celkovej sumy majetku vykázanej</w:t>
            </w:r>
          </w:p>
          <w:p w:rsidR="00D36AB8" w:rsidRPr="00A371FA" w:rsidRDefault="00D36AB8" w:rsidP="00D36AB8">
            <w:pPr>
              <w:ind w:firstLine="237"/>
              <w:jc w:val="both"/>
              <w:rPr>
                <w:sz w:val="20"/>
                <w:szCs w:val="20"/>
              </w:rPr>
            </w:pPr>
            <w:r w:rsidRPr="00A371FA">
              <w:rPr>
                <w:sz w:val="20"/>
                <w:szCs w:val="20"/>
              </w:rPr>
              <w:t>1. v súvahe zostavenej za kontrolované účtovné obdobie v ocenení upravenom o položky podľa § 26 ods. 3; najviac však 1 000 000 eur,</w:t>
            </w:r>
          </w:p>
          <w:p w:rsidR="00D36AB8" w:rsidRPr="00A371FA" w:rsidRDefault="00D36AB8" w:rsidP="00D36AB8">
            <w:pPr>
              <w:ind w:firstLine="237"/>
              <w:jc w:val="both"/>
              <w:rPr>
                <w:sz w:val="20"/>
                <w:szCs w:val="20"/>
              </w:rPr>
            </w:pPr>
            <w:r w:rsidRPr="00A371FA">
              <w:rPr>
                <w:sz w:val="20"/>
                <w:szCs w:val="20"/>
              </w:rPr>
              <w:t>2. vo výkaze o majetku a záväzkoch zostavenom za kontrolované účtovné obdobie; najviac 1 000 000 eur,</w:t>
            </w:r>
          </w:p>
          <w:p w:rsidR="00D36AB8" w:rsidRPr="00A371FA" w:rsidRDefault="00D36AB8" w:rsidP="00D36AB8">
            <w:pPr>
              <w:jc w:val="both"/>
              <w:rPr>
                <w:sz w:val="20"/>
                <w:szCs w:val="20"/>
              </w:rPr>
            </w:pPr>
            <w:r w:rsidRPr="00A371FA">
              <w:rPr>
                <w:sz w:val="20"/>
                <w:szCs w:val="20"/>
              </w:rPr>
              <w:t>c) podľa odseku 1 písm. h) až l) do 2 % z celkovej sumy majetku vykázanej</w:t>
            </w:r>
          </w:p>
          <w:p w:rsidR="00D36AB8" w:rsidRPr="00A371FA" w:rsidRDefault="00D36AB8" w:rsidP="00D36AB8">
            <w:pPr>
              <w:ind w:firstLine="237"/>
              <w:jc w:val="both"/>
              <w:rPr>
                <w:sz w:val="20"/>
                <w:szCs w:val="20"/>
              </w:rPr>
            </w:pPr>
            <w:r w:rsidRPr="00A371FA">
              <w:rPr>
                <w:sz w:val="20"/>
                <w:szCs w:val="20"/>
              </w:rPr>
              <w:t>1. v súvahe zostavenej za kontrolované účtovné obdobie v ocenení upravenom o položky podľa § 26 ods. 3; najviac 100 000 eur,</w:t>
            </w:r>
          </w:p>
          <w:p w:rsidR="00D36AB8" w:rsidRPr="00A371FA" w:rsidRDefault="00D36AB8" w:rsidP="00D36AB8">
            <w:pPr>
              <w:ind w:firstLine="237"/>
              <w:jc w:val="both"/>
              <w:rPr>
                <w:sz w:val="20"/>
                <w:szCs w:val="20"/>
              </w:rPr>
            </w:pPr>
            <w:r w:rsidRPr="00A371FA">
              <w:rPr>
                <w:sz w:val="20"/>
                <w:szCs w:val="20"/>
              </w:rPr>
              <w:t>2. vo výkaze o majetku a záväzkoch zostavenom za kontrolované účtovné obdobie; najviac však 100 000 eur,</w:t>
            </w:r>
          </w:p>
          <w:p w:rsidR="00D36AB8" w:rsidRPr="00A371FA" w:rsidRDefault="00D36AB8" w:rsidP="00D36AB8">
            <w:pPr>
              <w:spacing w:before="240"/>
              <w:jc w:val="both"/>
              <w:rPr>
                <w:sz w:val="20"/>
                <w:szCs w:val="20"/>
              </w:rPr>
            </w:pPr>
            <w:r w:rsidRPr="00A371FA">
              <w:rPr>
                <w:sz w:val="20"/>
                <w:szCs w:val="20"/>
              </w:rPr>
              <w:t>d) podľa odseku 1 písm. g) do 2 % z celkovej sumy majetku vykázanej</w:t>
            </w:r>
          </w:p>
          <w:p w:rsidR="00D36AB8" w:rsidRPr="00A371FA" w:rsidRDefault="00D36AB8" w:rsidP="00D36AB8">
            <w:pPr>
              <w:ind w:firstLine="237"/>
              <w:jc w:val="both"/>
              <w:rPr>
                <w:sz w:val="20"/>
                <w:szCs w:val="20"/>
              </w:rPr>
            </w:pPr>
            <w:r w:rsidRPr="00A371FA">
              <w:rPr>
                <w:sz w:val="20"/>
                <w:szCs w:val="20"/>
              </w:rPr>
              <w:t>1. v súvahe zostavenej za kontrolované účtovné obdobie v ocenení upravenom o položky podľa § 26 ods. 3; najviac 1 000 eur,</w:t>
            </w:r>
          </w:p>
          <w:p w:rsidR="00D36AB8" w:rsidRPr="00A371FA" w:rsidRDefault="00D36AB8" w:rsidP="00D36AB8">
            <w:pPr>
              <w:ind w:firstLine="237"/>
              <w:jc w:val="both"/>
              <w:rPr>
                <w:sz w:val="20"/>
                <w:szCs w:val="20"/>
              </w:rPr>
            </w:pPr>
            <w:r w:rsidRPr="00A371FA">
              <w:rPr>
                <w:sz w:val="20"/>
                <w:szCs w:val="20"/>
              </w:rPr>
              <w:t>2. vo výkaze o majetku a záväzkoch zostavenom za kontrolované účtovné obdobie; najviac však 1 000 eur,</w:t>
            </w:r>
          </w:p>
          <w:p w:rsidR="00D36AB8" w:rsidRPr="00A371FA" w:rsidRDefault="00D36AB8" w:rsidP="00D36AB8">
            <w:pPr>
              <w:jc w:val="both"/>
              <w:rPr>
                <w:sz w:val="20"/>
                <w:szCs w:val="20"/>
              </w:rPr>
            </w:pPr>
            <w:r w:rsidRPr="00A371FA">
              <w:rPr>
                <w:sz w:val="20"/>
                <w:szCs w:val="20"/>
              </w:rPr>
              <w:lastRenderedPageBreak/>
              <w:t>e) podľa odseku 1 písm. c) a k) od 100 eur do 10 000 eur, ak nie je možné zistiť celkovú sumu majetku alebo účtovná jednotka nevykazuje žiaden majetok,</w:t>
            </w:r>
          </w:p>
          <w:p w:rsidR="00D36AB8" w:rsidRPr="00A371FA" w:rsidRDefault="00D36AB8" w:rsidP="00D36AB8">
            <w:pPr>
              <w:jc w:val="both"/>
              <w:rPr>
                <w:sz w:val="20"/>
                <w:szCs w:val="20"/>
              </w:rPr>
            </w:pPr>
            <w:r w:rsidRPr="00A371FA">
              <w:rPr>
                <w:b/>
                <w:sz w:val="20"/>
                <w:szCs w:val="20"/>
              </w:rPr>
              <w:t xml:space="preserve">f) </w:t>
            </w:r>
            <w:r w:rsidRPr="00A371FA">
              <w:rPr>
                <w:sz w:val="20"/>
                <w:szCs w:val="20"/>
              </w:rPr>
              <w:t xml:space="preserve">podľa odseku 1 písm. </w:t>
            </w:r>
            <w:r w:rsidRPr="00A371FA">
              <w:rPr>
                <w:b/>
                <w:sz w:val="20"/>
                <w:szCs w:val="20"/>
              </w:rPr>
              <w:t>m)</w:t>
            </w:r>
            <w:r w:rsidR="00A371FA">
              <w:rPr>
                <w:b/>
                <w:sz w:val="20"/>
                <w:szCs w:val="20"/>
              </w:rPr>
              <w:t>,</w:t>
            </w:r>
            <w:r w:rsidRPr="00A371FA">
              <w:rPr>
                <w:b/>
                <w:sz w:val="20"/>
                <w:szCs w:val="20"/>
              </w:rPr>
              <w:t> p)</w:t>
            </w:r>
            <w:r w:rsidR="00A371FA">
              <w:rPr>
                <w:b/>
                <w:sz w:val="20"/>
                <w:szCs w:val="20"/>
              </w:rPr>
              <w:t xml:space="preserve"> a q)</w:t>
            </w:r>
            <w:r w:rsidRPr="00A371FA">
              <w:rPr>
                <w:b/>
                <w:sz w:val="20"/>
                <w:szCs w:val="20"/>
              </w:rPr>
              <w:t xml:space="preserve"> </w:t>
            </w:r>
            <w:r w:rsidRPr="00A371FA">
              <w:rPr>
                <w:sz w:val="20"/>
                <w:szCs w:val="20"/>
              </w:rPr>
              <w:t>od 100 eur do 100 000 eur,</w:t>
            </w:r>
          </w:p>
          <w:p w:rsidR="00D36AB8" w:rsidRPr="00A371FA" w:rsidRDefault="00D36AB8" w:rsidP="00D36AB8">
            <w:pPr>
              <w:jc w:val="both"/>
              <w:rPr>
                <w:sz w:val="20"/>
                <w:szCs w:val="20"/>
              </w:rPr>
            </w:pPr>
            <w:r w:rsidRPr="00A371FA">
              <w:rPr>
                <w:sz w:val="20"/>
                <w:szCs w:val="20"/>
              </w:rPr>
              <w:t>g) podľa odseku 1 písm. o) od 100 eur do 10 000 eur.</w:t>
            </w:r>
          </w:p>
        </w:tc>
        <w:tc>
          <w:tcPr>
            <w:tcW w:w="709" w:type="dxa"/>
            <w:vMerge w:val="restart"/>
            <w:tcBorders>
              <w:top w:val="single" w:sz="4" w:space="0" w:color="auto"/>
              <w:left w:val="single" w:sz="4" w:space="0" w:color="auto"/>
              <w:right w:val="single" w:sz="4" w:space="0" w:color="auto"/>
            </w:tcBorders>
          </w:tcPr>
          <w:p w:rsidR="00D36AB8" w:rsidRPr="00A371FA" w:rsidRDefault="00D36AB8" w:rsidP="00D36AB8">
            <w:pPr>
              <w:adjustRightInd w:val="0"/>
              <w:rPr>
                <w:color w:val="000000"/>
                <w:sz w:val="20"/>
                <w:szCs w:val="20"/>
              </w:rPr>
            </w:pPr>
          </w:p>
        </w:tc>
        <w:tc>
          <w:tcPr>
            <w:tcW w:w="1077" w:type="dxa"/>
            <w:vMerge w:val="restart"/>
            <w:tcBorders>
              <w:top w:val="single" w:sz="4" w:space="0" w:color="auto"/>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val="restart"/>
            <w:tcBorders>
              <w:top w:val="single" w:sz="4" w:space="0" w:color="auto"/>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top w:val="single" w:sz="4" w:space="0" w:color="auto"/>
              <w:left w:val="single" w:sz="12" w:space="0" w:color="auto"/>
              <w:right w:val="single" w:sz="4" w:space="0" w:color="auto"/>
            </w:tcBorders>
          </w:tcPr>
          <w:p w:rsidR="00D36AB8" w:rsidRPr="00C34C47" w:rsidRDefault="00D36AB8" w:rsidP="00D36AB8">
            <w:pPr>
              <w:spacing w:after="200" w:line="276" w:lineRule="auto"/>
              <w:jc w:val="center"/>
              <w:rPr>
                <w:b/>
                <w:color w:val="000000"/>
                <w:sz w:val="20"/>
                <w:szCs w:val="20"/>
              </w:rPr>
            </w:pPr>
          </w:p>
        </w:tc>
        <w:tc>
          <w:tcPr>
            <w:tcW w:w="4620" w:type="dxa"/>
            <w:vMerge/>
            <w:tcBorders>
              <w:top w:val="single" w:sz="4" w:space="0" w:color="auto"/>
              <w:left w:val="single" w:sz="4" w:space="0" w:color="auto"/>
              <w:right w:val="single" w:sz="4" w:space="0" w:color="auto"/>
            </w:tcBorders>
          </w:tcPr>
          <w:p w:rsidR="00D36AB8" w:rsidRPr="00C34C47" w:rsidRDefault="00D36AB8" w:rsidP="00D36AB8">
            <w:pPr>
              <w:adjustRightInd w:val="0"/>
              <w:rPr>
                <w:b/>
                <w:bCs/>
                <w:color w:val="000000"/>
                <w:sz w:val="20"/>
                <w:szCs w:val="20"/>
              </w:rPr>
            </w:pPr>
          </w:p>
        </w:tc>
        <w:tc>
          <w:tcPr>
            <w:tcW w:w="850" w:type="dxa"/>
            <w:vMerge/>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top w:val="single" w:sz="4" w:space="0" w:color="auto"/>
              <w:left w:val="nil"/>
              <w:right w:val="single" w:sz="4" w:space="0" w:color="auto"/>
            </w:tcBorders>
          </w:tcPr>
          <w:p w:rsidR="00D36AB8" w:rsidRPr="00C34C47" w:rsidRDefault="00D36AB8" w:rsidP="00D36AB8">
            <w:pPr>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jc w:val="center"/>
              <w:rPr>
                <w:color w:val="000000"/>
                <w:sz w:val="20"/>
                <w:szCs w:val="20"/>
              </w:rPr>
            </w:pPr>
            <w:r w:rsidRPr="00C34C47">
              <w:rPr>
                <w:color w:val="000000"/>
                <w:sz w:val="20"/>
                <w:szCs w:val="20"/>
              </w:rPr>
              <w:t>§ 38</w:t>
            </w:r>
          </w:p>
          <w:p w:rsidR="00D36AB8" w:rsidRDefault="00D36AB8" w:rsidP="00D36AB8">
            <w:pPr>
              <w:adjustRightInd w:val="0"/>
              <w:jc w:val="center"/>
              <w:rPr>
                <w:color w:val="000000"/>
                <w:sz w:val="20"/>
                <w:szCs w:val="20"/>
              </w:rPr>
            </w:pPr>
            <w:r w:rsidRPr="00C34C47">
              <w:rPr>
                <w:color w:val="000000"/>
                <w:sz w:val="20"/>
                <w:szCs w:val="20"/>
              </w:rPr>
              <w:t>O: 3</w:t>
            </w:r>
          </w:p>
          <w:p w:rsidR="007D0BBD" w:rsidRPr="00C34C47" w:rsidRDefault="007D0BBD" w:rsidP="00D36AB8">
            <w:pPr>
              <w:adjustRightInd w:val="0"/>
              <w:jc w:val="center"/>
              <w:rPr>
                <w:color w:val="000000"/>
                <w:sz w:val="20"/>
                <w:szCs w:val="20"/>
              </w:rPr>
            </w:pPr>
            <w:r w:rsidRPr="00525949">
              <w:rPr>
                <w:color w:val="000000"/>
                <w:sz w:val="20"/>
                <w:szCs w:val="20"/>
              </w:rPr>
              <w:t>P:a) a b)</w:t>
            </w:r>
          </w:p>
        </w:tc>
        <w:tc>
          <w:tcPr>
            <w:tcW w:w="3544" w:type="dxa"/>
            <w:tcBorders>
              <w:top w:val="single" w:sz="4" w:space="0" w:color="auto"/>
              <w:left w:val="single" w:sz="4" w:space="0" w:color="auto"/>
              <w:bottom w:val="single" w:sz="4" w:space="0" w:color="auto"/>
              <w:right w:val="single" w:sz="4" w:space="0" w:color="auto"/>
            </w:tcBorders>
          </w:tcPr>
          <w:p w:rsidR="00D36AB8" w:rsidRPr="00525949" w:rsidRDefault="00CD7803" w:rsidP="00D36AB8">
            <w:pPr>
              <w:jc w:val="both"/>
              <w:rPr>
                <w:sz w:val="20"/>
                <w:szCs w:val="20"/>
              </w:rPr>
            </w:pPr>
            <w:r w:rsidRPr="00525949">
              <w:rPr>
                <w:sz w:val="20"/>
                <w:szCs w:val="20"/>
              </w:rPr>
              <w:t xml:space="preserve">(3) </w:t>
            </w:r>
            <w:r w:rsidR="00D36AB8" w:rsidRPr="00525949">
              <w:rPr>
                <w:sz w:val="20"/>
                <w:szCs w:val="20"/>
              </w:rPr>
              <w:t>Správneho deliktu sa dopustí fyzická osoba podľa</w:t>
            </w:r>
          </w:p>
          <w:p w:rsidR="00D36AB8" w:rsidRPr="00525949" w:rsidRDefault="00D36AB8" w:rsidP="00D36AB8">
            <w:pPr>
              <w:jc w:val="both"/>
              <w:rPr>
                <w:sz w:val="20"/>
                <w:szCs w:val="20"/>
              </w:rPr>
            </w:pPr>
            <w:r w:rsidRPr="00525949">
              <w:rPr>
                <w:sz w:val="20"/>
                <w:szCs w:val="20"/>
              </w:rPr>
              <w:t>a) § 1 ods. 3 písm. a), ak porušila ustanovenie § 35 ods. 6,</w:t>
            </w:r>
          </w:p>
          <w:p w:rsidR="00D36AB8" w:rsidRPr="00525949" w:rsidRDefault="00D36AB8" w:rsidP="00D36AB8">
            <w:pPr>
              <w:jc w:val="both"/>
              <w:rPr>
                <w:sz w:val="20"/>
                <w:szCs w:val="20"/>
              </w:rPr>
            </w:pPr>
            <w:r w:rsidRPr="00525949">
              <w:rPr>
                <w:sz w:val="20"/>
                <w:szCs w:val="20"/>
              </w:rPr>
              <w:t>b) § 1 ods. 3 písm. b), ak porušila ustanovenie § 23a ods. 10.</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top w:val="single" w:sz="4" w:space="0" w:color="auto"/>
              <w:left w:val="single" w:sz="12" w:space="0" w:color="auto"/>
              <w:right w:val="single" w:sz="4" w:space="0" w:color="auto"/>
            </w:tcBorders>
          </w:tcPr>
          <w:p w:rsidR="00D36AB8" w:rsidRPr="00C34C47" w:rsidRDefault="00D36AB8" w:rsidP="00D36AB8">
            <w:pPr>
              <w:spacing w:after="200" w:line="276" w:lineRule="auto"/>
              <w:jc w:val="center"/>
              <w:rPr>
                <w:b/>
                <w:color w:val="000000"/>
                <w:sz w:val="20"/>
                <w:szCs w:val="20"/>
              </w:rPr>
            </w:pPr>
          </w:p>
        </w:tc>
        <w:tc>
          <w:tcPr>
            <w:tcW w:w="4620" w:type="dxa"/>
            <w:vMerge/>
            <w:tcBorders>
              <w:top w:val="single" w:sz="4" w:space="0" w:color="auto"/>
              <w:left w:val="single" w:sz="4" w:space="0" w:color="auto"/>
              <w:right w:val="single" w:sz="4" w:space="0" w:color="auto"/>
            </w:tcBorders>
          </w:tcPr>
          <w:p w:rsidR="00D36AB8" w:rsidRPr="00C34C47" w:rsidRDefault="00D36AB8" w:rsidP="00D36AB8">
            <w:pPr>
              <w:adjustRightInd w:val="0"/>
              <w:rPr>
                <w:b/>
                <w:bCs/>
                <w:color w:val="000000"/>
                <w:sz w:val="20"/>
                <w:szCs w:val="20"/>
              </w:rPr>
            </w:pPr>
          </w:p>
        </w:tc>
        <w:tc>
          <w:tcPr>
            <w:tcW w:w="850" w:type="dxa"/>
            <w:vMerge/>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top w:val="single" w:sz="4" w:space="0" w:color="auto"/>
              <w:left w:val="nil"/>
              <w:right w:val="single" w:sz="4" w:space="0" w:color="auto"/>
            </w:tcBorders>
          </w:tcPr>
          <w:p w:rsidR="00D36AB8" w:rsidRPr="00C34C47" w:rsidRDefault="00D36AB8" w:rsidP="00D36AB8">
            <w:pPr>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525949" w:rsidRDefault="00D36AB8" w:rsidP="00D36AB8">
            <w:pPr>
              <w:adjustRightInd w:val="0"/>
              <w:jc w:val="center"/>
              <w:rPr>
                <w:color w:val="000000"/>
                <w:sz w:val="20"/>
                <w:szCs w:val="20"/>
              </w:rPr>
            </w:pPr>
            <w:r w:rsidRPr="00525949">
              <w:rPr>
                <w:color w:val="000000"/>
                <w:sz w:val="20"/>
                <w:szCs w:val="20"/>
              </w:rPr>
              <w:t>§ 38</w:t>
            </w:r>
          </w:p>
          <w:p w:rsidR="00D36AB8" w:rsidRPr="00525949" w:rsidRDefault="00D36AB8" w:rsidP="00D36AB8">
            <w:pPr>
              <w:adjustRightInd w:val="0"/>
              <w:jc w:val="center"/>
              <w:rPr>
                <w:color w:val="000000"/>
                <w:sz w:val="20"/>
                <w:szCs w:val="20"/>
              </w:rPr>
            </w:pPr>
            <w:r w:rsidRPr="00525949">
              <w:rPr>
                <w:color w:val="000000"/>
                <w:sz w:val="20"/>
                <w:szCs w:val="20"/>
              </w:rPr>
              <w:t>O: 4</w:t>
            </w:r>
          </w:p>
        </w:tc>
        <w:tc>
          <w:tcPr>
            <w:tcW w:w="3544" w:type="dxa"/>
            <w:tcBorders>
              <w:top w:val="single" w:sz="4" w:space="0" w:color="auto"/>
              <w:left w:val="single" w:sz="4" w:space="0" w:color="auto"/>
              <w:bottom w:val="single" w:sz="4" w:space="0" w:color="auto"/>
              <w:right w:val="single" w:sz="4" w:space="0" w:color="auto"/>
            </w:tcBorders>
          </w:tcPr>
          <w:p w:rsidR="00D36AB8" w:rsidRPr="00525949" w:rsidRDefault="007D0BBD" w:rsidP="007D0BBD">
            <w:pPr>
              <w:jc w:val="both"/>
              <w:rPr>
                <w:sz w:val="20"/>
                <w:szCs w:val="20"/>
              </w:rPr>
            </w:pPr>
            <w:r w:rsidRPr="00525949">
              <w:rPr>
                <w:sz w:val="20"/>
                <w:szCs w:val="20"/>
              </w:rPr>
              <w:t xml:space="preserve">(4) </w:t>
            </w:r>
            <w:r w:rsidR="00D36AB8" w:rsidRPr="00525949">
              <w:rPr>
                <w:sz w:val="20"/>
                <w:szCs w:val="20"/>
              </w:rPr>
              <w:t>Daňový úrad za správny delikt podľa odseku 3 uloží pokutu od 100 eur do 100 000 eur.</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top w:val="single" w:sz="4" w:space="0" w:color="auto"/>
              <w:left w:val="single" w:sz="12" w:space="0" w:color="auto"/>
              <w:right w:val="single" w:sz="4" w:space="0" w:color="auto"/>
            </w:tcBorders>
          </w:tcPr>
          <w:p w:rsidR="00D36AB8" w:rsidRPr="00C34C47" w:rsidRDefault="00D36AB8" w:rsidP="00D36AB8">
            <w:pPr>
              <w:spacing w:after="200" w:line="276" w:lineRule="auto"/>
              <w:jc w:val="center"/>
              <w:rPr>
                <w:b/>
                <w:color w:val="000000"/>
                <w:sz w:val="20"/>
                <w:szCs w:val="20"/>
              </w:rPr>
            </w:pPr>
          </w:p>
        </w:tc>
        <w:tc>
          <w:tcPr>
            <w:tcW w:w="4620" w:type="dxa"/>
            <w:vMerge/>
            <w:tcBorders>
              <w:top w:val="single" w:sz="4" w:space="0" w:color="auto"/>
              <w:left w:val="single" w:sz="4" w:space="0" w:color="auto"/>
              <w:right w:val="single" w:sz="4" w:space="0" w:color="auto"/>
            </w:tcBorders>
          </w:tcPr>
          <w:p w:rsidR="00D36AB8" w:rsidRPr="00C34C47" w:rsidRDefault="00D36AB8" w:rsidP="00D36AB8">
            <w:pPr>
              <w:adjustRightInd w:val="0"/>
              <w:rPr>
                <w:b/>
                <w:bCs/>
                <w:color w:val="000000"/>
                <w:sz w:val="20"/>
                <w:szCs w:val="20"/>
              </w:rPr>
            </w:pPr>
          </w:p>
        </w:tc>
        <w:tc>
          <w:tcPr>
            <w:tcW w:w="850" w:type="dxa"/>
            <w:vMerge/>
            <w:tcBorders>
              <w:top w:val="single" w:sz="4" w:space="0" w:color="auto"/>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top w:val="single" w:sz="4" w:space="0" w:color="auto"/>
              <w:left w:val="nil"/>
              <w:right w:val="single" w:sz="4" w:space="0" w:color="auto"/>
            </w:tcBorders>
          </w:tcPr>
          <w:p w:rsidR="00D36AB8" w:rsidRPr="00C34C47" w:rsidRDefault="00D36AB8" w:rsidP="00D36AB8">
            <w:pPr>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C34C47" w:rsidRDefault="00D36AB8" w:rsidP="00D36AB8">
            <w:pPr>
              <w:adjustRightInd w:val="0"/>
              <w:jc w:val="center"/>
              <w:rPr>
                <w:color w:val="000000"/>
                <w:sz w:val="20"/>
                <w:szCs w:val="20"/>
              </w:rPr>
            </w:pPr>
            <w:r w:rsidRPr="00C34C47">
              <w:rPr>
                <w:color w:val="000000"/>
                <w:sz w:val="20"/>
                <w:szCs w:val="20"/>
              </w:rPr>
              <w:t>§ 38</w:t>
            </w:r>
          </w:p>
          <w:p w:rsidR="00D36AB8" w:rsidRPr="00C34C47" w:rsidRDefault="00D36AB8" w:rsidP="00D36AB8">
            <w:pPr>
              <w:adjustRightInd w:val="0"/>
              <w:jc w:val="center"/>
              <w:rPr>
                <w:color w:val="000000"/>
                <w:sz w:val="20"/>
                <w:szCs w:val="20"/>
              </w:rPr>
            </w:pPr>
            <w:r w:rsidRPr="00C34C47">
              <w:rPr>
                <w:color w:val="000000"/>
                <w:sz w:val="20"/>
                <w:szCs w:val="20"/>
              </w:rPr>
              <w:t>O: 10</w:t>
            </w:r>
          </w:p>
        </w:tc>
        <w:tc>
          <w:tcPr>
            <w:tcW w:w="3544" w:type="dxa"/>
            <w:tcBorders>
              <w:top w:val="single" w:sz="4" w:space="0" w:color="auto"/>
              <w:left w:val="single" w:sz="4" w:space="0" w:color="auto"/>
              <w:bottom w:val="single" w:sz="4" w:space="0" w:color="auto"/>
              <w:right w:val="single" w:sz="4" w:space="0" w:color="auto"/>
            </w:tcBorders>
          </w:tcPr>
          <w:p w:rsidR="00D36AB8" w:rsidRPr="00692CD1" w:rsidRDefault="007D0BBD" w:rsidP="00D36AB8">
            <w:pPr>
              <w:jc w:val="both"/>
              <w:rPr>
                <w:sz w:val="20"/>
                <w:szCs w:val="20"/>
              </w:rPr>
            </w:pPr>
            <w:r w:rsidRPr="00525949">
              <w:rPr>
                <w:sz w:val="20"/>
                <w:szCs w:val="20"/>
              </w:rPr>
              <w:t>(10)</w:t>
            </w:r>
            <w:r>
              <w:rPr>
                <w:sz w:val="20"/>
                <w:szCs w:val="20"/>
              </w:rPr>
              <w:t xml:space="preserve"> </w:t>
            </w:r>
            <w:r w:rsidR="00D36AB8" w:rsidRPr="00692CD1">
              <w:rPr>
                <w:sz w:val="20"/>
                <w:szCs w:val="20"/>
              </w:rPr>
              <w:t>Dokumenty podľa § 23 ods. 2 nemožno uložiť do registra za účtovné obdobie, za ktoré sa vykonáva kontrola dodržiavania ustanovení tohto zákona, odo dňa doručenia oznámenia o jej začatí alebo oznámenia o rozšírení daňovej kontroly o kontrolu dodržiavania ustanovení tohto zákona do dňa ukončenia tejto kontroly.</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bottom w:val="single" w:sz="4" w:space="0" w:color="auto"/>
              <w:right w:val="single" w:sz="4" w:space="0" w:color="auto"/>
            </w:tcBorders>
          </w:tcPr>
          <w:p w:rsidR="00D36AB8" w:rsidRPr="00C34C47" w:rsidRDefault="00D36AB8" w:rsidP="00D36AB8">
            <w:pPr>
              <w:spacing w:after="200" w:line="276" w:lineRule="auto"/>
              <w:jc w:val="center"/>
              <w:rPr>
                <w:b/>
                <w:color w:val="000000"/>
                <w:sz w:val="20"/>
                <w:szCs w:val="20"/>
              </w:rPr>
            </w:pPr>
          </w:p>
        </w:tc>
        <w:tc>
          <w:tcPr>
            <w:tcW w:w="4620" w:type="dxa"/>
            <w:vMerge/>
            <w:tcBorders>
              <w:left w:val="single" w:sz="4" w:space="0" w:color="auto"/>
              <w:bottom w:val="single" w:sz="4" w:space="0" w:color="auto"/>
              <w:right w:val="single" w:sz="4" w:space="0" w:color="auto"/>
            </w:tcBorders>
          </w:tcPr>
          <w:p w:rsidR="00D36AB8" w:rsidRPr="00C34C47" w:rsidRDefault="00D36AB8" w:rsidP="00D36AB8">
            <w:pPr>
              <w:adjustRightInd w:val="0"/>
              <w:rPr>
                <w:bCs/>
                <w:color w:val="000000"/>
                <w:sz w:val="20"/>
                <w:szCs w:val="20"/>
              </w:rPr>
            </w:pP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692CD1" w:rsidRDefault="00D36AB8" w:rsidP="00D36AB8">
            <w:pPr>
              <w:adjustRightInd w:val="0"/>
              <w:jc w:val="center"/>
              <w:rPr>
                <w:color w:val="000000"/>
                <w:sz w:val="20"/>
                <w:szCs w:val="20"/>
              </w:rPr>
            </w:pPr>
            <w:r w:rsidRPr="00692CD1">
              <w:rPr>
                <w:color w:val="000000"/>
                <w:sz w:val="20"/>
                <w:szCs w:val="20"/>
              </w:rPr>
              <w:t>§ 38</w:t>
            </w:r>
          </w:p>
          <w:p w:rsidR="00D36AB8" w:rsidRPr="00692CD1" w:rsidRDefault="00D36AB8" w:rsidP="00D36AB8">
            <w:pPr>
              <w:adjustRightInd w:val="0"/>
              <w:jc w:val="center"/>
              <w:rPr>
                <w:color w:val="000000"/>
                <w:sz w:val="20"/>
                <w:szCs w:val="20"/>
              </w:rPr>
            </w:pPr>
            <w:r w:rsidRPr="00692CD1">
              <w:rPr>
                <w:color w:val="000000"/>
                <w:sz w:val="20"/>
                <w:szCs w:val="20"/>
              </w:rPr>
              <w:t>O: 11</w:t>
            </w:r>
          </w:p>
        </w:tc>
        <w:tc>
          <w:tcPr>
            <w:tcW w:w="3544" w:type="dxa"/>
            <w:tcBorders>
              <w:top w:val="single" w:sz="4" w:space="0" w:color="auto"/>
              <w:left w:val="single" w:sz="4" w:space="0" w:color="auto"/>
              <w:bottom w:val="single" w:sz="4" w:space="0" w:color="auto"/>
              <w:right w:val="single" w:sz="4" w:space="0" w:color="auto"/>
            </w:tcBorders>
          </w:tcPr>
          <w:p w:rsidR="00D36AB8" w:rsidRPr="00692CD1" w:rsidRDefault="007D0BBD" w:rsidP="00D36AB8">
            <w:pPr>
              <w:jc w:val="both"/>
              <w:rPr>
                <w:sz w:val="20"/>
                <w:szCs w:val="20"/>
              </w:rPr>
            </w:pPr>
            <w:r w:rsidRPr="00525949">
              <w:rPr>
                <w:sz w:val="20"/>
                <w:szCs w:val="20"/>
              </w:rPr>
              <w:t>(11)</w:t>
            </w:r>
            <w:r w:rsidR="00D36AB8" w:rsidRPr="00692CD1">
              <w:rPr>
                <w:sz w:val="20"/>
                <w:szCs w:val="20"/>
              </w:rPr>
              <w:t>Daňový úrad uloží pokutu podľa odsekov 2 a 4 do jedného roka odo dňa, keď sa o správnom delikte dozvedel, najneskôr však do šiestich rokov od skončenia účtovného obdobia, v ktorom k správnemu deliktu došlo alebo ktorého sa splnenie povinností týka.</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F1238A">
        <w:tc>
          <w:tcPr>
            <w:tcW w:w="682" w:type="dxa"/>
            <w:vMerge/>
            <w:tcBorders>
              <w:left w:val="single" w:sz="12" w:space="0" w:color="auto"/>
              <w:bottom w:val="single" w:sz="4" w:space="0" w:color="auto"/>
              <w:right w:val="single" w:sz="4" w:space="0" w:color="auto"/>
            </w:tcBorders>
          </w:tcPr>
          <w:p w:rsidR="00D36AB8" w:rsidRPr="00C34C47" w:rsidRDefault="00D36AB8" w:rsidP="00D36AB8">
            <w:pPr>
              <w:spacing w:after="200" w:line="276" w:lineRule="auto"/>
              <w:jc w:val="center"/>
              <w:rPr>
                <w:b/>
                <w:color w:val="000000"/>
                <w:sz w:val="20"/>
                <w:szCs w:val="20"/>
              </w:rPr>
            </w:pPr>
          </w:p>
        </w:tc>
        <w:tc>
          <w:tcPr>
            <w:tcW w:w="4620" w:type="dxa"/>
            <w:vMerge/>
            <w:tcBorders>
              <w:left w:val="single" w:sz="4" w:space="0" w:color="auto"/>
              <w:bottom w:val="single" w:sz="4" w:space="0" w:color="auto"/>
              <w:right w:val="single" w:sz="4" w:space="0" w:color="auto"/>
            </w:tcBorders>
          </w:tcPr>
          <w:p w:rsidR="00D36AB8" w:rsidRPr="00C34C47" w:rsidRDefault="00D36AB8" w:rsidP="00D36AB8">
            <w:pPr>
              <w:adjustRightInd w:val="0"/>
              <w:rPr>
                <w:bCs/>
                <w:color w:val="000000"/>
                <w:sz w:val="20"/>
                <w:szCs w:val="20"/>
              </w:rPr>
            </w:pPr>
          </w:p>
        </w:tc>
        <w:tc>
          <w:tcPr>
            <w:tcW w:w="850" w:type="dxa"/>
            <w:vMerge/>
            <w:tcBorders>
              <w:left w:val="single" w:sz="4" w:space="0" w:color="auto"/>
              <w:bottom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1C6670" w:rsidRDefault="00D36AB8" w:rsidP="00D36AB8">
            <w:pPr>
              <w:adjustRightInd w:val="0"/>
              <w:jc w:val="center"/>
              <w:rPr>
                <w:color w:val="000000"/>
                <w:sz w:val="20"/>
                <w:szCs w:val="20"/>
              </w:rPr>
            </w:pPr>
            <w:r w:rsidRPr="001C6670">
              <w:rPr>
                <w:color w:val="000000"/>
                <w:sz w:val="20"/>
                <w:szCs w:val="20"/>
              </w:rPr>
              <w:t>§ 39zc</w:t>
            </w:r>
          </w:p>
          <w:p w:rsidR="00D36AB8" w:rsidRPr="001C6670" w:rsidRDefault="00D36AB8" w:rsidP="00525949">
            <w:pPr>
              <w:adjustRightInd w:val="0"/>
              <w:jc w:val="center"/>
              <w:rPr>
                <w:color w:val="000000"/>
                <w:sz w:val="20"/>
                <w:szCs w:val="20"/>
              </w:rPr>
            </w:pPr>
            <w:r w:rsidRPr="001C6670">
              <w:rPr>
                <w:color w:val="000000"/>
                <w:sz w:val="20"/>
                <w:szCs w:val="20"/>
              </w:rPr>
              <w:t>O: 1</w:t>
            </w:r>
            <w:r w:rsidR="00525949">
              <w:rPr>
                <w:color w:val="000000"/>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D36AB8" w:rsidRPr="001C6670" w:rsidRDefault="007D0BBD" w:rsidP="00525949">
            <w:pPr>
              <w:jc w:val="both"/>
              <w:rPr>
                <w:sz w:val="20"/>
                <w:szCs w:val="20"/>
              </w:rPr>
            </w:pPr>
            <w:r w:rsidRPr="00525949">
              <w:rPr>
                <w:sz w:val="20"/>
                <w:szCs w:val="20"/>
              </w:rPr>
              <w:t>(1</w:t>
            </w:r>
            <w:r w:rsidR="00525949" w:rsidRPr="00525949">
              <w:rPr>
                <w:sz w:val="20"/>
                <w:szCs w:val="20"/>
              </w:rPr>
              <w:t>4</w:t>
            </w:r>
            <w:r w:rsidRPr="00525949">
              <w:rPr>
                <w:sz w:val="20"/>
                <w:szCs w:val="20"/>
              </w:rPr>
              <w:t>)</w:t>
            </w:r>
            <w:r>
              <w:rPr>
                <w:sz w:val="20"/>
                <w:szCs w:val="20"/>
              </w:rPr>
              <w:t xml:space="preserve"> </w:t>
            </w:r>
            <w:r w:rsidR="00D36AB8" w:rsidRPr="001C6670">
              <w:rPr>
                <w:sz w:val="20"/>
                <w:szCs w:val="20"/>
              </w:rPr>
              <w:t>Ustanovenie § 38 ods. 1 písm. d) tretieho bodu a písm. p)  v znení účin</w:t>
            </w:r>
            <w:r w:rsidR="00F433AD" w:rsidRPr="001C6670">
              <w:rPr>
                <w:sz w:val="20"/>
                <w:szCs w:val="20"/>
              </w:rPr>
              <w:t>nom od 1. júna</w:t>
            </w:r>
            <w:r w:rsidR="00D36AB8" w:rsidRPr="001C6670">
              <w:rPr>
                <w:sz w:val="20"/>
                <w:szCs w:val="20"/>
              </w:rPr>
              <w:t xml:space="preserve"> 2024 sa použije na správne delikty spáchané po 31. </w:t>
            </w:r>
            <w:r w:rsidR="00F433AD" w:rsidRPr="001C6670">
              <w:rPr>
                <w:sz w:val="20"/>
                <w:szCs w:val="20"/>
              </w:rPr>
              <w:t>máji</w:t>
            </w:r>
            <w:r w:rsidR="00D36AB8" w:rsidRPr="001C6670">
              <w:rPr>
                <w:sz w:val="20"/>
                <w:szCs w:val="20"/>
              </w:rPr>
              <w:t xml:space="preserve"> 202</w:t>
            </w:r>
            <w:r w:rsidR="00F433AD" w:rsidRPr="001C6670">
              <w:rPr>
                <w:sz w:val="20"/>
                <w:szCs w:val="20"/>
              </w:rPr>
              <w:t>4</w:t>
            </w:r>
            <w:r w:rsidR="00D36AB8" w:rsidRPr="001C6670">
              <w:rPr>
                <w:sz w:val="20"/>
                <w:szCs w:val="20"/>
              </w:rPr>
              <w:t>.</w:t>
            </w:r>
          </w:p>
        </w:tc>
        <w:tc>
          <w:tcPr>
            <w:tcW w:w="709" w:type="dxa"/>
            <w:vMerge/>
            <w:tcBorders>
              <w:left w:val="single" w:sz="4" w:space="0" w:color="auto"/>
              <w:bottom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bottom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bottom w:val="single" w:sz="4" w:space="0" w:color="auto"/>
              <w:right w:val="single" w:sz="12" w:space="0" w:color="auto"/>
            </w:tcBorders>
          </w:tcPr>
          <w:p w:rsidR="00D36AB8" w:rsidRPr="00C34C47" w:rsidRDefault="00D36AB8" w:rsidP="00D36AB8">
            <w:pPr>
              <w:spacing w:before="75" w:after="75"/>
              <w:rPr>
                <w:sz w:val="20"/>
                <w:szCs w:val="20"/>
              </w:rPr>
            </w:pPr>
          </w:p>
        </w:tc>
      </w:tr>
      <w:tr w:rsidR="00D36AB8" w:rsidRPr="00C34C47" w:rsidTr="001C6670">
        <w:tc>
          <w:tcPr>
            <w:tcW w:w="682" w:type="dxa"/>
            <w:vMerge/>
            <w:tcBorders>
              <w:left w:val="single" w:sz="12" w:space="0" w:color="auto"/>
              <w:right w:val="single" w:sz="4" w:space="0" w:color="auto"/>
            </w:tcBorders>
          </w:tcPr>
          <w:p w:rsidR="00D36AB8" w:rsidRPr="00C34C47" w:rsidRDefault="00D36AB8" w:rsidP="00D36AB8">
            <w:pPr>
              <w:spacing w:after="200" w:line="276" w:lineRule="auto"/>
              <w:jc w:val="center"/>
              <w:rPr>
                <w:b/>
                <w:color w:val="000000"/>
                <w:sz w:val="20"/>
                <w:szCs w:val="20"/>
              </w:rPr>
            </w:pPr>
          </w:p>
        </w:tc>
        <w:tc>
          <w:tcPr>
            <w:tcW w:w="4620" w:type="dxa"/>
            <w:vMerge/>
            <w:tcBorders>
              <w:left w:val="single" w:sz="4" w:space="0" w:color="auto"/>
              <w:right w:val="single" w:sz="4" w:space="0" w:color="auto"/>
            </w:tcBorders>
          </w:tcPr>
          <w:p w:rsidR="00D36AB8" w:rsidRPr="00C34C47" w:rsidRDefault="00D36AB8" w:rsidP="00D36AB8">
            <w:pPr>
              <w:adjustRightInd w:val="0"/>
              <w:rPr>
                <w:bCs/>
                <w:color w:val="000000"/>
                <w:sz w:val="20"/>
                <w:szCs w:val="20"/>
              </w:rPr>
            </w:pPr>
          </w:p>
        </w:tc>
        <w:tc>
          <w:tcPr>
            <w:tcW w:w="850" w:type="dxa"/>
            <w:vMerge/>
            <w:tcBorders>
              <w:left w:val="single" w:sz="4" w:space="0" w:color="auto"/>
              <w:right w:val="single" w:sz="12" w:space="0" w:color="auto"/>
            </w:tcBorders>
          </w:tcPr>
          <w:p w:rsidR="00D36AB8" w:rsidRPr="00C34C47" w:rsidRDefault="00D36AB8" w:rsidP="00D36AB8">
            <w:pPr>
              <w:adjustRightInd w:val="0"/>
              <w:rPr>
                <w:color w:val="000000"/>
                <w:sz w:val="20"/>
                <w:szCs w:val="20"/>
              </w:rPr>
            </w:pPr>
          </w:p>
        </w:tc>
        <w:tc>
          <w:tcPr>
            <w:tcW w:w="993" w:type="dxa"/>
            <w:vMerge/>
            <w:tcBorders>
              <w:left w:val="nil"/>
              <w:right w:val="single" w:sz="4" w:space="0" w:color="auto"/>
            </w:tcBorders>
          </w:tcPr>
          <w:p w:rsidR="00D36AB8" w:rsidRPr="00C34C47" w:rsidRDefault="00D36AB8" w:rsidP="00D36AB8">
            <w:pPr>
              <w:adjustRightInd w:val="0"/>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6AB8" w:rsidRPr="00692CD1" w:rsidRDefault="00D36AB8" w:rsidP="00D36AB8">
            <w:pPr>
              <w:adjustRightInd w:val="0"/>
              <w:jc w:val="center"/>
              <w:rPr>
                <w:color w:val="000000"/>
                <w:sz w:val="20"/>
                <w:szCs w:val="20"/>
              </w:rPr>
            </w:pPr>
            <w:r w:rsidRPr="00692CD1">
              <w:rPr>
                <w:color w:val="000000"/>
                <w:sz w:val="20"/>
                <w:szCs w:val="20"/>
              </w:rPr>
              <w:t>§ 39zc</w:t>
            </w:r>
          </w:p>
          <w:p w:rsidR="00D36AB8" w:rsidRPr="00692CD1" w:rsidRDefault="00D36AB8" w:rsidP="00525949">
            <w:pPr>
              <w:adjustRightInd w:val="0"/>
              <w:jc w:val="center"/>
              <w:rPr>
                <w:color w:val="000000"/>
                <w:sz w:val="20"/>
                <w:szCs w:val="20"/>
              </w:rPr>
            </w:pPr>
            <w:r w:rsidRPr="00692CD1">
              <w:rPr>
                <w:color w:val="000000"/>
                <w:sz w:val="20"/>
                <w:szCs w:val="20"/>
              </w:rPr>
              <w:t>O: 1</w:t>
            </w:r>
            <w:r w:rsidR="00525949">
              <w:rPr>
                <w:color w:val="000000"/>
                <w:sz w:val="20"/>
                <w:szCs w:val="20"/>
              </w:rPr>
              <w:t>5</w:t>
            </w:r>
          </w:p>
        </w:tc>
        <w:tc>
          <w:tcPr>
            <w:tcW w:w="3544" w:type="dxa"/>
            <w:tcBorders>
              <w:top w:val="single" w:sz="4" w:space="0" w:color="auto"/>
              <w:left w:val="single" w:sz="4" w:space="0" w:color="auto"/>
              <w:bottom w:val="single" w:sz="4" w:space="0" w:color="auto"/>
              <w:right w:val="single" w:sz="4" w:space="0" w:color="auto"/>
            </w:tcBorders>
          </w:tcPr>
          <w:p w:rsidR="00D36AB8" w:rsidRPr="00692CD1" w:rsidRDefault="007D0BBD" w:rsidP="00525949">
            <w:pPr>
              <w:jc w:val="both"/>
              <w:rPr>
                <w:sz w:val="20"/>
                <w:szCs w:val="20"/>
              </w:rPr>
            </w:pPr>
            <w:r w:rsidRPr="00525949">
              <w:rPr>
                <w:sz w:val="20"/>
                <w:szCs w:val="20"/>
              </w:rPr>
              <w:t>(1</w:t>
            </w:r>
            <w:r w:rsidR="00525949" w:rsidRPr="00525949">
              <w:rPr>
                <w:sz w:val="20"/>
                <w:szCs w:val="20"/>
              </w:rPr>
              <w:t>5</w:t>
            </w:r>
            <w:r w:rsidRPr="00525949">
              <w:rPr>
                <w:sz w:val="20"/>
                <w:szCs w:val="20"/>
              </w:rPr>
              <w:t>)</w:t>
            </w:r>
            <w:r>
              <w:rPr>
                <w:sz w:val="20"/>
                <w:szCs w:val="20"/>
              </w:rPr>
              <w:t xml:space="preserve"> </w:t>
            </w:r>
            <w:r w:rsidR="00D36AB8" w:rsidRPr="00692CD1">
              <w:rPr>
                <w:sz w:val="20"/>
                <w:szCs w:val="20"/>
              </w:rPr>
              <w:t xml:space="preserve">Ustanovenia § 38 ods. 10 a </w:t>
            </w:r>
            <w:r w:rsidR="00F433AD" w:rsidRPr="00692CD1">
              <w:rPr>
                <w:sz w:val="20"/>
                <w:szCs w:val="20"/>
              </w:rPr>
              <w:t>11 v znení účinnom od 1. júna</w:t>
            </w:r>
            <w:r w:rsidR="00D36AB8" w:rsidRPr="00692CD1">
              <w:rPr>
                <w:sz w:val="20"/>
                <w:szCs w:val="20"/>
              </w:rPr>
              <w:t xml:space="preserve"> 2024 sa prvýkrát použijú v</w:t>
            </w:r>
            <w:r w:rsidR="00F433AD" w:rsidRPr="00692CD1">
              <w:rPr>
                <w:sz w:val="20"/>
                <w:szCs w:val="20"/>
              </w:rPr>
              <w:t xml:space="preserve"> konaní začatom po 31. máji 2024</w:t>
            </w:r>
            <w:r w:rsidR="00D36AB8" w:rsidRPr="00692CD1">
              <w:rPr>
                <w:sz w:val="20"/>
                <w:szCs w:val="20"/>
              </w:rPr>
              <w:t>.</w:t>
            </w:r>
          </w:p>
        </w:tc>
        <w:tc>
          <w:tcPr>
            <w:tcW w:w="709" w:type="dxa"/>
            <w:vMerge/>
            <w:tcBorders>
              <w:left w:val="single" w:sz="4" w:space="0" w:color="auto"/>
              <w:right w:val="single" w:sz="4" w:space="0" w:color="auto"/>
            </w:tcBorders>
          </w:tcPr>
          <w:p w:rsidR="00D36AB8" w:rsidRPr="00C34C47" w:rsidRDefault="00D36AB8" w:rsidP="00D36AB8">
            <w:pPr>
              <w:adjustRightInd w:val="0"/>
              <w:rPr>
                <w:color w:val="000000"/>
                <w:sz w:val="20"/>
                <w:szCs w:val="20"/>
              </w:rPr>
            </w:pPr>
          </w:p>
        </w:tc>
        <w:tc>
          <w:tcPr>
            <w:tcW w:w="1077" w:type="dxa"/>
            <w:vMerge/>
            <w:tcBorders>
              <w:left w:val="single" w:sz="4" w:space="0" w:color="auto"/>
              <w:right w:val="single" w:sz="4" w:space="0" w:color="auto"/>
            </w:tcBorders>
          </w:tcPr>
          <w:p w:rsidR="00D36AB8" w:rsidRPr="00C34C47" w:rsidRDefault="00D36AB8" w:rsidP="00D36AB8">
            <w:pPr>
              <w:spacing w:before="75" w:after="75"/>
              <w:rPr>
                <w:sz w:val="20"/>
                <w:szCs w:val="20"/>
              </w:rPr>
            </w:pPr>
          </w:p>
        </w:tc>
        <w:tc>
          <w:tcPr>
            <w:tcW w:w="1049"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c>
          <w:tcPr>
            <w:tcW w:w="1134" w:type="dxa"/>
            <w:vMerge/>
            <w:tcBorders>
              <w:left w:val="single" w:sz="4" w:space="0" w:color="auto"/>
              <w:right w:val="single" w:sz="12" w:space="0" w:color="auto"/>
            </w:tcBorders>
          </w:tcPr>
          <w:p w:rsidR="00D36AB8" w:rsidRPr="00C34C47" w:rsidRDefault="00D36AB8" w:rsidP="00D36AB8">
            <w:pPr>
              <w:spacing w:before="75" w:after="75"/>
              <w:rPr>
                <w:sz w:val="20"/>
                <w:szCs w:val="20"/>
              </w:rPr>
            </w:pPr>
          </w:p>
        </w:tc>
      </w:tr>
      <w:tr w:rsidR="001C6670" w:rsidRPr="00C34C47" w:rsidTr="00F1238A">
        <w:tc>
          <w:tcPr>
            <w:tcW w:w="682" w:type="dxa"/>
            <w:tcBorders>
              <w:left w:val="single" w:sz="12" w:space="0" w:color="auto"/>
              <w:bottom w:val="single" w:sz="4" w:space="0" w:color="auto"/>
              <w:right w:val="single" w:sz="4" w:space="0" w:color="auto"/>
            </w:tcBorders>
          </w:tcPr>
          <w:p w:rsidR="001C6670" w:rsidRPr="00C34C47" w:rsidRDefault="001C6670" w:rsidP="00D36AB8">
            <w:pPr>
              <w:spacing w:after="200" w:line="276" w:lineRule="auto"/>
              <w:jc w:val="center"/>
              <w:rPr>
                <w:b/>
                <w:color w:val="000000"/>
                <w:sz w:val="20"/>
                <w:szCs w:val="20"/>
              </w:rPr>
            </w:pPr>
          </w:p>
        </w:tc>
        <w:tc>
          <w:tcPr>
            <w:tcW w:w="4620" w:type="dxa"/>
            <w:tcBorders>
              <w:left w:val="single" w:sz="4" w:space="0" w:color="auto"/>
              <w:bottom w:val="single" w:sz="4" w:space="0" w:color="auto"/>
              <w:right w:val="single" w:sz="4" w:space="0" w:color="auto"/>
            </w:tcBorders>
          </w:tcPr>
          <w:p w:rsidR="001C6670" w:rsidRPr="00C34C47" w:rsidRDefault="001C6670" w:rsidP="00D36AB8">
            <w:pPr>
              <w:adjustRightInd w:val="0"/>
              <w:rPr>
                <w:bCs/>
                <w:color w:val="000000"/>
                <w:sz w:val="20"/>
                <w:szCs w:val="20"/>
              </w:rPr>
            </w:pPr>
          </w:p>
        </w:tc>
        <w:tc>
          <w:tcPr>
            <w:tcW w:w="850" w:type="dxa"/>
            <w:tcBorders>
              <w:left w:val="single" w:sz="4" w:space="0" w:color="auto"/>
              <w:bottom w:val="single" w:sz="4" w:space="0" w:color="auto"/>
              <w:right w:val="single" w:sz="12" w:space="0" w:color="auto"/>
            </w:tcBorders>
          </w:tcPr>
          <w:p w:rsidR="001C6670" w:rsidRPr="00C34C47" w:rsidRDefault="001C6670" w:rsidP="00D36AB8">
            <w:pPr>
              <w:adjustRightInd w:val="0"/>
              <w:rPr>
                <w:color w:val="000000"/>
                <w:sz w:val="20"/>
                <w:szCs w:val="20"/>
              </w:rPr>
            </w:pPr>
          </w:p>
        </w:tc>
        <w:tc>
          <w:tcPr>
            <w:tcW w:w="993" w:type="dxa"/>
            <w:tcBorders>
              <w:left w:val="nil"/>
              <w:bottom w:val="single" w:sz="4" w:space="0" w:color="auto"/>
              <w:right w:val="single" w:sz="4" w:space="0" w:color="auto"/>
            </w:tcBorders>
          </w:tcPr>
          <w:p w:rsidR="007D0BBD" w:rsidRDefault="007D0BBD" w:rsidP="007D0BBD">
            <w:pPr>
              <w:rPr>
                <w:b/>
                <w:color w:val="000000"/>
                <w:sz w:val="20"/>
                <w:szCs w:val="20"/>
              </w:rPr>
            </w:pPr>
            <w:r w:rsidRPr="00C34C47">
              <w:rPr>
                <w:b/>
                <w:color w:val="000000"/>
                <w:sz w:val="20"/>
                <w:szCs w:val="20"/>
              </w:rPr>
              <w:t>Návrh</w:t>
            </w:r>
          </w:p>
          <w:p w:rsidR="007D0BBD" w:rsidRPr="00C34C47" w:rsidRDefault="007D0BBD" w:rsidP="007D0BBD">
            <w:pPr>
              <w:rPr>
                <w:b/>
                <w:color w:val="000000"/>
                <w:sz w:val="20"/>
                <w:szCs w:val="20"/>
              </w:rPr>
            </w:pPr>
            <w:r>
              <w:rPr>
                <w:b/>
                <w:color w:val="000000"/>
                <w:sz w:val="20"/>
                <w:szCs w:val="20"/>
              </w:rPr>
              <w:t>zákona</w:t>
            </w:r>
          </w:p>
          <w:p w:rsidR="007D0BBD" w:rsidRPr="00C34C47" w:rsidRDefault="007D0BBD" w:rsidP="00FF4C28">
            <w:pPr>
              <w:adjustRightInd w:val="0"/>
              <w:rPr>
                <w:color w:val="000000"/>
                <w:sz w:val="20"/>
                <w:szCs w:val="20"/>
              </w:rPr>
            </w:pPr>
            <w:r w:rsidRPr="00336643">
              <w:rPr>
                <w:b/>
                <w:color w:val="000000"/>
                <w:sz w:val="20"/>
                <w:szCs w:val="20"/>
              </w:rPr>
              <w:t>Čl. V</w:t>
            </w:r>
          </w:p>
        </w:tc>
        <w:tc>
          <w:tcPr>
            <w:tcW w:w="850" w:type="dxa"/>
            <w:tcBorders>
              <w:top w:val="single" w:sz="4" w:space="0" w:color="auto"/>
              <w:left w:val="single" w:sz="4" w:space="0" w:color="auto"/>
              <w:bottom w:val="single" w:sz="4" w:space="0" w:color="auto"/>
              <w:right w:val="single" w:sz="4" w:space="0" w:color="auto"/>
            </w:tcBorders>
          </w:tcPr>
          <w:p w:rsidR="001C6670" w:rsidRPr="001C6670" w:rsidRDefault="001C6670" w:rsidP="00D36AB8">
            <w:pPr>
              <w:adjustRightInd w:val="0"/>
              <w:jc w:val="center"/>
              <w:rPr>
                <w:b/>
                <w:color w:val="000000"/>
                <w:sz w:val="20"/>
                <w:szCs w:val="20"/>
              </w:rPr>
            </w:pPr>
            <w:r w:rsidRPr="001C6670">
              <w:rPr>
                <w:b/>
                <w:color w:val="000000"/>
                <w:sz w:val="20"/>
                <w:szCs w:val="20"/>
              </w:rPr>
              <w:t>§ 39zd</w:t>
            </w:r>
          </w:p>
          <w:p w:rsidR="001C6670" w:rsidRPr="001C6670" w:rsidRDefault="001C6670" w:rsidP="00D36AB8">
            <w:pPr>
              <w:adjustRightInd w:val="0"/>
              <w:jc w:val="center"/>
              <w:rPr>
                <w:b/>
                <w:color w:val="000000"/>
                <w:sz w:val="20"/>
                <w:szCs w:val="20"/>
              </w:rPr>
            </w:pPr>
            <w:r w:rsidRPr="001C6670">
              <w:rPr>
                <w:b/>
                <w:color w:val="000000"/>
                <w:sz w:val="20"/>
                <w:szCs w:val="20"/>
              </w:rPr>
              <w:t>O: 3</w:t>
            </w:r>
          </w:p>
        </w:tc>
        <w:tc>
          <w:tcPr>
            <w:tcW w:w="3544" w:type="dxa"/>
            <w:tcBorders>
              <w:top w:val="single" w:sz="4" w:space="0" w:color="auto"/>
              <w:left w:val="single" w:sz="4" w:space="0" w:color="auto"/>
              <w:bottom w:val="single" w:sz="4" w:space="0" w:color="auto"/>
              <w:right w:val="single" w:sz="4" w:space="0" w:color="auto"/>
            </w:tcBorders>
          </w:tcPr>
          <w:p w:rsidR="001C6670" w:rsidRPr="001C6670" w:rsidRDefault="00A45F03" w:rsidP="00FF4C28">
            <w:pPr>
              <w:jc w:val="both"/>
              <w:rPr>
                <w:b/>
                <w:sz w:val="20"/>
                <w:szCs w:val="20"/>
              </w:rPr>
            </w:pPr>
            <w:r w:rsidRPr="00525949">
              <w:rPr>
                <w:b/>
                <w:sz w:val="20"/>
                <w:szCs w:val="20"/>
              </w:rPr>
              <w:t>(3)</w:t>
            </w:r>
            <w:r>
              <w:rPr>
                <w:b/>
                <w:sz w:val="20"/>
                <w:szCs w:val="20"/>
              </w:rPr>
              <w:t xml:space="preserve"> </w:t>
            </w:r>
            <w:r w:rsidR="001C6670" w:rsidRPr="001C6670">
              <w:rPr>
                <w:b/>
                <w:sz w:val="20"/>
                <w:szCs w:val="20"/>
              </w:rPr>
              <w:t>Ustanovenie § 38 ods. 1 písm. q) v znení účinnom od 1. januára 2026 sa použije na správne delikty spáchané po 9. januári 2028.</w:t>
            </w:r>
          </w:p>
        </w:tc>
        <w:tc>
          <w:tcPr>
            <w:tcW w:w="709" w:type="dxa"/>
            <w:tcBorders>
              <w:left w:val="single" w:sz="4" w:space="0" w:color="auto"/>
              <w:bottom w:val="single" w:sz="4" w:space="0" w:color="auto"/>
              <w:right w:val="single" w:sz="4" w:space="0" w:color="auto"/>
            </w:tcBorders>
          </w:tcPr>
          <w:p w:rsidR="001C6670" w:rsidRPr="00C34C47" w:rsidRDefault="001C6670" w:rsidP="00D36AB8">
            <w:pPr>
              <w:adjustRightInd w:val="0"/>
              <w:rPr>
                <w:color w:val="000000"/>
                <w:sz w:val="20"/>
                <w:szCs w:val="20"/>
              </w:rPr>
            </w:pPr>
          </w:p>
        </w:tc>
        <w:tc>
          <w:tcPr>
            <w:tcW w:w="1077" w:type="dxa"/>
            <w:tcBorders>
              <w:left w:val="single" w:sz="4" w:space="0" w:color="auto"/>
              <w:bottom w:val="single" w:sz="4" w:space="0" w:color="auto"/>
              <w:right w:val="single" w:sz="4" w:space="0" w:color="auto"/>
            </w:tcBorders>
          </w:tcPr>
          <w:p w:rsidR="001C6670" w:rsidRPr="00C34C47" w:rsidRDefault="001C6670" w:rsidP="00D36AB8">
            <w:pPr>
              <w:spacing w:before="75" w:after="75"/>
              <w:rPr>
                <w:sz w:val="20"/>
                <w:szCs w:val="20"/>
              </w:rPr>
            </w:pPr>
          </w:p>
        </w:tc>
        <w:tc>
          <w:tcPr>
            <w:tcW w:w="1049" w:type="dxa"/>
            <w:tcBorders>
              <w:left w:val="single" w:sz="4" w:space="0" w:color="auto"/>
              <w:bottom w:val="single" w:sz="4" w:space="0" w:color="auto"/>
              <w:right w:val="single" w:sz="12" w:space="0" w:color="auto"/>
            </w:tcBorders>
          </w:tcPr>
          <w:p w:rsidR="001C6670" w:rsidRPr="00C34C47" w:rsidRDefault="001C6670" w:rsidP="00D36AB8">
            <w:pPr>
              <w:spacing w:before="75" w:after="75"/>
              <w:rPr>
                <w:sz w:val="20"/>
                <w:szCs w:val="20"/>
              </w:rPr>
            </w:pPr>
          </w:p>
        </w:tc>
        <w:tc>
          <w:tcPr>
            <w:tcW w:w="1134" w:type="dxa"/>
            <w:tcBorders>
              <w:left w:val="single" w:sz="4" w:space="0" w:color="auto"/>
              <w:bottom w:val="single" w:sz="4" w:space="0" w:color="auto"/>
              <w:right w:val="single" w:sz="12" w:space="0" w:color="auto"/>
            </w:tcBorders>
          </w:tcPr>
          <w:p w:rsidR="001C6670" w:rsidRPr="00C34C47" w:rsidRDefault="001C6670" w:rsidP="00D36AB8">
            <w:pPr>
              <w:spacing w:before="75" w:after="75"/>
              <w:rPr>
                <w:sz w:val="20"/>
                <w:szCs w:val="20"/>
              </w:rPr>
            </w:pPr>
          </w:p>
        </w:tc>
      </w:tr>
    </w:tbl>
    <w:p w:rsidR="00662E99" w:rsidRPr="00C34C47" w:rsidRDefault="00662E99">
      <w:pPr>
        <w:rPr>
          <w:sz w:val="20"/>
          <w:szCs w:val="20"/>
        </w:rPr>
      </w:pPr>
    </w:p>
    <w:sectPr w:rsidR="00662E99" w:rsidRPr="00C34C47" w:rsidSect="00A56669">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64F" w:rsidRDefault="00E5664F" w:rsidP="00315D6B">
      <w:r>
        <w:separator/>
      </w:r>
    </w:p>
  </w:endnote>
  <w:endnote w:type="continuationSeparator" w:id="0">
    <w:p w:rsidR="00E5664F" w:rsidRDefault="00E5664F" w:rsidP="0031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120735"/>
      <w:docPartObj>
        <w:docPartGallery w:val="Page Numbers (Bottom of Page)"/>
        <w:docPartUnique/>
      </w:docPartObj>
    </w:sdtPr>
    <w:sdtEndPr/>
    <w:sdtContent>
      <w:p w:rsidR="00E62F10" w:rsidRDefault="00E62F10" w:rsidP="008250EB">
        <w:pPr>
          <w:pStyle w:val="Pta"/>
          <w:ind w:left="13452"/>
          <w:jc w:val="both"/>
        </w:pPr>
        <w:r>
          <w:fldChar w:fldCharType="begin"/>
        </w:r>
        <w:r>
          <w:instrText>PAGE   \* MERGEFORMAT</w:instrText>
        </w:r>
        <w:r>
          <w:fldChar w:fldCharType="separate"/>
        </w:r>
        <w:r w:rsidR="00FF4C28">
          <w:rPr>
            <w:noProof/>
          </w:rPr>
          <w:t>9</w:t>
        </w:r>
        <w:r>
          <w:fldChar w:fldCharType="end"/>
        </w:r>
      </w:p>
    </w:sdtContent>
  </w:sdt>
  <w:p w:rsidR="00E62F10" w:rsidRDefault="00E62F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64F" w:rsidRDefault="00E5664F" w:rsidP="00315D6B">
      <w:r>
        <w:separator/>
      </w:r>
    </w:p>
  </w:footnote>
  <w:footnote w:type="continuationSeparator" w:id="0">
    <w:p w:rsidR="00E5664F" w:rsidRDefault="00E5664F" w:rsidP="00315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F59ED"/>
    <w:multiLevelType w:val="hybridMultilevel"/>
    <w:tmpl w:val="BC466B3C"/>
    <w:lvl w:ilvl="0" w:tplc="041B000F">
      <w:start w:val="1"/>
      <w:numFmt w:val="decimal"/>
      <w:lvlText w:val="%1."/>
      <w:lvlJc w:val="left"/>
      <w:pPr>
        <w:ind w:left="1068" w:hanging="360"/>
      </w:pPr>
    </w:lvl>
    <w:lvl w:ilvl="1" w:tplc="041B0001">
      <w:start w:val="1"/>
      <w:numFmt w:val="bullet"/>
      <w:lvlText w:val=""/>
      <w:lvlJc w:val="left"/>
      <w:pPr>
        <w:ind w:left="1788" w:hanging="360"/>
      </w:pPr>
      <w:rPr>
        <w:rFonts w:ascii="Symbol" w:hAnsi="Symbol"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8BD0DD3"/>
    <w:multiLevelType w:val="singleLevel"/>
    <w:tmpl w:val="C7DE110C"/>
    <w:lvl w:ilvl="0">
      <w:start w:val="1"/>
      <w:numFmt w:val="lowerLetter"/>
      <w:lvlText w:val="%1)"/>
      <w:lvlJc w:val="left"/>
      <w:pPr>
        <w:tabs>
          <w:tab w:val="num" w:pos="360"/>
        </w:tabs>
        <w:ind w:left="360" w:hanging="360"/>
      </w:pPr>
      <w:rPr>
        <w:rFonts w:cs="Times New Roman"/>
      </w:rPr>
    </w:lvl>
  </w:abstractNum>
  <w:abstractNum w:abstractNumId="2" w15:restartNumberingAfterBreak="0">
    <w:nsid w:val="305C7B92"/>
    <w:multiLevelType w:val="hybridMultilevel"/>
    <w:tmpl w:val="A9FA5DEA"/>
    <w:lvl w:ilvl="0" w:tplc="86D8A4F2">
      <w:start w:val="9"/>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335212BE"/>
    <w:multiLevelType w:val="hybridMultilevel"/>
    <w:tmpl w:val="BC466B3C"/>
    <w:lvl w:ilvl="0" w:tplc="041B000F">
      <w:start w:val="1"/>
      <w:numFmt w:val="decimal"/>
      <w:lvlText w:val="%1."/>
      <w:lvlJc w:val="left"/>
      <w:pPr>
        <w:ind w:left="1068" w:hanging="360"/>
      </w:pPr>
    </w:lvl>
    <w:lvl w:ilvl="1" w:tplc="041B0001">
      <w:start w:val="1"/>
      <w:numFmt w:val="bullet"/>
      <w:lvlText w:val=""/>
      <w:lvlJc w:val="left"/>
      <w:pPr>
        <w:ind w:left="1788" w:hanging="360"/>
      </w:pPr>
      <w:rPr>
        <w:rFonts w:ascii="Symbol" w:hAnsi="Symbol"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35146F62"/>
    <w:multiLevelType w:val="singleLevel"/>
    <w:tmpl w:val="C7DE110C"/>
    <w:lvl w:ilvl="0">
      <w:start w:val="1"/>
      <w:numFmt w:val="lowerLetter"/>
      <w:lvlText w:val="%1)"/>
      <w:lvlJc w:val="left"/>
      <w:pPr>
        <w:tabs>
          <w:tab w:val="num" w:pos="360"/>
        </w:tabs>
        <w:ind w:left="360" w:hanging="360"/>
      </w:pPr>
      <w:rPr>
        <w:rFonts w:cs="Times New Roman"/>
      </w:rPr>
    </w:lvl>
  </w:abstractNum>
  <w:abstractNum w:abstractNumId="5" w15:restartNumberingAfterBreak="0">
    <w:nsid w:val="395412D3"/>
    <w:multiLevelType w:val="hybridMultilevel"/>
    <w:tmpl w:val="FEE4FF18"/>
    <w:lvl w:ilvl="0" w:tplc="E37C8AF4">
      <w:start w:val="3"/>
      <w:numFmt w:val="lowerLetter"/>
      <w:lvlText w:val="%1)"/>
      <w:lvlJc w:val="left"/>
      <w:pPr>
        <w:ind w:left="1121" w:hanging="360"/>
      </w:pPr>
      <w:rPr>
        <w:rFonts w:ascii="Times New Roman" w:hAnsi="Times New Roman" w:cs="Times New Roman" w:hint="default"/>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8412FBA"/>
    <w:multiLevelType w:val="hybridMultilevel"/>
    <w:tmpl w:val="1C6EFE04"/>
    <w:lvl w:ilvl="0" w:tplc="67F0DD60">
      <w:start w:val="1"/>
      <w:numFmt w:val="decimal"/>
      <w:lvlText w:val="%1."/>
      <w:lvlJc w:val="left"/>
      <w:pPr>
        <w:ind w:left="502" w:hanging="360"/>
      </w:pPr>
      <w:rPr>
        <w:color w:val="000000" w:themeColor="text1"/>
      </w:rPr>
    </w:lvl>
    <w:lvl w:ilvl="1" w:tplc="A472322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A954B05"/>
    <w:multiLevelType w:val="singleLevel"/>
    <w:tmpl w:val="C7DE110C"/>
    <w:lvl w:ilvl="0">
      <w:start w:val="1"/>
      <w:numFmt w:val="lowerLetter"/>
      <w:lvlText w:val="%1)"/>
      <w:lvlJc w:val="left"/>
      <w:pPr>
        <w:tabs>
          <w:tab w:val="num" w:pos="360"/>
        </w:tabs>
        <w:ind w:left="360" w:hanging="360"/>
      </w:pPr>
      <w:rPr>
        <w:rFonts w:cs="Times New Roman"/>
      </w:rPr>
    </w:lvl>
  </w:abstractNum>
  <w:abstractNum w:abstractNumId="8" w15:restartNumberingAfterBreak="0">
    <w:nsid w:val="799A6B6D"/>
    <w:multiLevelType w:val="singleLevel"/>
    <w:tmpl w:val="C7DE110C"/>
    <w:lvl w:ilvl="0">
      <w:start w:val="1"/>
      <w:numFmt w:val="lowerLetter"/>
      <w:lvlText w:val="%1)"/>
      <w:lvlJc w:val="left"/>
      <w:pPr>
        <w:tabs>
          <w:tab w:val="num" w:pos="360"/>
        </w:tabs>
        <w:ind w:left="360" w:hanging="360"/>
      </w:pPr>
      <w:rPr>
        <w:rFonts w:cs="Times New Roman"/>
      </w:rPr>
    </w:lvl>
  </w:abstractNum>
  <w:num w:numId="1">
    <w:abstractNumId w:val="7"/>
  </w:num>
  <w:num w:numId="2">
    <w:abstractNumId w:val="6"/>
  </w:num>
  <w:num w:numId="3">
    <w:abstractNumId w:val="1"/>
  </w:num>
  <w:num w:numId="4">
    <w:abstractNumId w:val="5"/>
  </w:num>
  <w:num w:numId="5">
    <w:abstractNumId w:val="2"/>
  </w:num>
  <w:num w:numId="6">
    <w:abstractNumId w:val="0"/>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69"/>
    <w:rsid w:val="000021D2"/>
    <w:rsid w:val="0002139E"/>
    <w:rsid w:val="00023717"/>
    <w:rsid w:val="000238EC"/>
    <w:rsid w:val="00036242"/>
    <w:rsid w:val="00041623"/>
    <w:rsid w:val="00077602"/>
    <w:rsid w:val="00081A97"/>
    <w:rsid w:val="00094CA9"/>
    <w:rsid w:val="000A0225"/>
    <w:rsid w:val="000B1DDE"/>
    <w:rsid w:val="000D0BE9"/>
    <w:rsid w:val="000D2AA0"/>
    <w:rsid w:val="000E5D9B"/>
    <w:rsid w:val="0010531C"/>
    <w:rsid w:val="0012053F"/>
    <w:rsid w:val="00123686"/>
    <w:rsid w:val="00132191"/>
    <w:rsid w:val="0014637C"/>
    <w:rsid w:val="0018229D"/>
    <w:rsid w:val="00184051"/>
    <w:rsid w:val="001A069A"/>
    <w:rsid w:val="001B3B7A"/>
    <w:rsid w:val="001C6670"/>
    <w:rsid w:val="001D7CCE"/>
    <w:rsid w:val="001F0452"/>
    <w:rsid w:val="001F4EAB"/>
    <w:rsid w:val="00282C4D"/>
    <w:rsid w:val="00294D03"/>
    <w:rsid w:val="002B7CD3"/>
    <w:rsid w:val="002D39A5"/>
    <w:rsid w:val="002F480B"/>
    <w:rsid w:val="002F71DA"/>
    <w:rsid w:val="00304033"/>
    <w:rsid w:val="00315D6B"/>
    <w:rsid w:val="00335491"/>
    <w:rsid w:val="00336643"/>
    <w:rsid w:val="00337A88"/>
    <w:rsid w:val="00355E27"/>
    <w:rsid w:val="00383EE7"/>
    <w:rsid w:val="003916BC"/>
    <w:rsid w:val="00396FB1"/>
    <w:rsid w:val="003B0FCB"/>
    <w:rsid w:val="003C1247"/>
    <w:rsid w:val="003C543D"/>
    <w:rsid w:val="003D5262"/>
    <w:rsid w:val="004027C7"/>
    <w:rsid w:val="00410EDA"/>
    <w:rsid w:val="00414737"/>
    <w:rsid w:val="00420191"/>
    <w:rsid w:val="00443B90"/>
    <w:rsid w:val="00455BD8"/>
    <w:rsid w:val="0046345F"/>
    <w:rsid w:val="00490CFC"/>
    <w:rsid w:val="004A1931"/>
    <w:rsid w:val="004D6949"/>
    <w:rsid w:val="004D76B5"/>
    <w:rsid w:val="004E31F0"/>
    <w:rsid w:val="00502893"/>
    <w:rsid w:val="00502D61"/>
    <w:rsid w:val="005038C8"/>
    <w:rsid w:val="00525949"/>
    <w:rsid w:val="00535E61"/>
    <w:rsid w:val="00536044"/>
    <w:rsid w:val="005674CE"/>
    <w:rsid w:val="005A31DA"/>
    <w:rsid w:val="005C16A5"/>
    <w:rsid w:val="005C7CA9"/>
    <w:rsid w:val="005D1300"/>
    <w:rsid w:val="005E3CE0"/>
    <w:rsid w:val="0062647C"/>
    <w:rsid w:val="00662E99"/>
    <w:rsid w:val="00692CD1"/>
    <w:rsid w:val="006A73B0"/>
    <w:rsid w:val="006A770C"/>
    <w:rsid w:val="00702FA4"/>
    <w:rsid w:val="00707EC6"/>
    <w:rsid w:val="0072500F"/>
    <w:rsid w:val="0072768E"/>
    <w:rsid w:val="007747D9"/>
    <w:rsid w:val="007A036A"/>
    <w:rsid w:val="007A2CCF"/>
    <w:rsid w:val="007A3A92"/>
    <w:rsid w:val="007C0570"/>
    <w:rsid w:val="007C38E5"/>
    <w:rsid w:val="007D0BBD"/>
    <w:rsid w:val="007F1B2B"/>
    <w:rsid w:val="00823D12"/>
    <w:rsid w:val="008250EB"/>
    <w:rsid w:val="00833A08"/>
    <w:rsid w:val="00860B29"/>
    <w:rsid w:val="00865B81"/>
    <w:rsid w:val="008727D2"/>
    <w:rsid w:val="00886251"/>
    <w:rsid w:val="008C678B"/>
    <w:rsid w:val="009113E4"/>
    <w:rsid w:val="009345E3"/>
    <w:rsid w:val="00976A6C"/>
    <w:rsid w:val="00981488"/>
    <w:rsid w:val="00A21435"/>
    <w:rsid w:val="00A229B4"/>
    <w:rsid w:val="00A24C33"/>
    <w:rsid w:val="00A371FA"/>
    <w:rsid w:val="00A45F03"/>
    <w:rsid w:val="00A516F4"/>
    <w:rsid w:val="00A556A2"/>
    <w:rsid w:val="00A56669"/>
    <w:rsid w:val="00AB2177"/>
    <w:rsid w:val="00AB41AB"/>
    <w:rsid w:val="00AD7E65"/>
    <w:rsid w:val="00AE2787"/>
    <w:rsid w:val="00AF07F5"/>
    <w:rsid w:val="00B000CF"/>
    <w:rsid w:val="00B446E4"/>
    <w:rsid w:val="00B5775A"/>
    <w:rsid w:val="00B7477B"/>
    <w:rsid w:val="00BA6649"/>
    <w:rsid w:val="00BA67D3"/>
    <w:rsid w:val="00BB169F"/>
    <w:rsid w:val="00BD6191"/>
    <w:rsid w:val="00C258DA"/>
    <w:rsid w:val="00C30D8F"/>
    <w:rsid w:val="00C34C47"/>
    <w:rsid w:val="00C446CE"/>
    <w:rsid w:val="00C601EF"/>
    <w:rsid w:val="00CA3131"/>
    <w:rsid w:val="00CC2CCF"/>
    <w:rsid w:val="00CD7803"/>
    <w:rsid w:val="00D04651"/>
    <w:rsid w:val="00D355B2"/>
    <w:rsid w:val="00D35F7A"/>
    <w:rsid w:val="00D36AB8"/>
    <w:rsid w:val="00D43A61"/>
    <w:rsid w:val="00D7173F"/>
    <w:rsid w:val="00D7433A"/>
    <w:rsid w:val="00D909F8"/>
    <w:rsid w:val="00DA1CB6"/>
    <w:rsid w:val="00DD1903"/>
    <w:rsid w:val="00E1703B"/>
    <w:rsid w:val="00E21B7E"/>
    <w:rsid w:val="00E30B19"/>
    <w:rsid w:val="00E31097"/>
    <w:rsid w:val="00E3623A"/>
    <w:rsid w:val="00E45FCC"/>
    <w:rsid w:val="00E5664F"/>
    <w:rsid w:val="00E62F10"/>
    <w:rsid w:val="00E92CA0"/>
    <w:rsid w:val="00EE07C8"/>
    <w:rsid w:val="00EF3DA4"/>
    <w:rsid w:val="00F035A5"/>
    <w:rsid w:val="00F1238A"/>
    <w:rsid w:val="00F24D33"/>
    <w:rsid w:val="00F433AD"/>
    <w:rsid w:val="00F43910"/>
    <w:rsid w:val="00F54E6A"/>
    <w:rsid w:val="00F60798"/>
    <w:rsid w:val="00F84632"/>
    <w:rsid w:val="00FB1AF2"/>
    <w:rsid w:val="00FB2694"/>
    <w:rsid w:val="00FC182D"/>
    <w:rsid w:val="00FE311B"/>
    <w:rsid w:val="00FE49DF"/>
    <w:rsid w:val="00FF4C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5FEEE-7DBB-4585-94EC-E4147331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38E5"/>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A56669"/>
    <w:pPr>
      <w:keepNext/>
      <w:jc w:val="center"/>
      <w:outlineLvl w:val="0"/>
    </w:pPr>
    <w:rPr>
      <w:b/>
      <w:bCs/>
    </w:rPr>
  </w:style>
  <w:style w:type="paragraph" w:styleId="Nadpis4">
    <w:name w:val="heading 4"/>
    <w:basedOn w:val="Normlny"/>
    <w:next w:val="Normlny"/>
    <w:link w:val="Nadpis4Char"/>
    <w:uiPriority w:val="99"/>
    <w:qFormat/>
    <w:rsid w:val="00A56669"/>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A56669"/>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A56669"/>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A56669"/>
    <w:pPr>
      <w:spacing w:line="240" w:lineRule="atLeast"/>
      <w:jc w:val="both"/>
    </w:pPr>
  </w:style>
  <w:style w:type="character" w:customStyle="1" w:styleId="Zkladntext3Char">
    <w:name w:val="Základný text 3 Char"/>
    <w:basedOn w:val="Predvolenpsmoodseku"/>
    <w:link w:val="Zkladntext3"/>
    <w:uiPriority w:val="99"/>
    <w:rsid w:val="00A56669"/>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A56669"/>
    <w:pPr>
      <w:jc w:val="center"/>
    </w:pPr>
    <w:rPr>
      <w:sz w:val="20"/>
      <w:szCs w:val="20"/>
    </w:rPr>
  </w:style>
  <w:style w:type="character" w:customStyle="1" w:styleId="Zkladntext2Char">
    <w:name w:val="Základný text 2 Char"/>
    <w:basedOn w:val="Predvolenpsmoodseku"/>
    <w:link w:val="Zkladntext2"/>
    <w:uiPriority w:val="99"/>
    <w:rsid w:val="00A56669"/>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A56669"/>
    <w:rPr>
      <w:sz w:val="20"/>
      <w:szCs w:val="20"/>
      <w:lang w:eastAsia="en-US"/>
    </w:rPr>
  </w:style>
  <w:style w:type="paragraph" w:customStyle="1" w:styleId="Zkladntext">
    <w:name w:val="Základní text"/>
    <w:aliases w:val="Základný text Char Char"/>
    <w:uiPriority w:val="99"/>
    <w:rsid w:val="00A56669"/>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443B90"/>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3B90"/>
    <w:rPr>
      <w:rFonts w:ascii="Segoe UI" w:eastAsia="Times New Roman" w:hAnsi="Segoe UI" w:cs="Segoe UI"/>
      <w:sz w:val="18"/>
      <w:szCs w:val="18"/>
      <w:lang w:eastAsia="sk-SK"/>
    </w:rPr>
  </w:style>
  <w:style w:type="paragraph" w:styleId="Odsekzoznamu">
    <w:name w:val="List Paragraph"/>
    <w:basedOn w:val="Normlny"/>
    <w:link w:val="OdsekzoznamuChar"/>
    <w:uiPriority w:val="34"/>
    <w:qFormat/>
    <w:rsid w:val="00A516F4"/>
    <w:pPr>
      <w:autoSpaceDE/>
      <w:autoSpaceDN/>
      <w:spacing w:after="160" w:line="259" w:lineRule="auto"/>
      <w:ind w:left="720"/>
      <w:contextualSpacing/>
    </w:pPr>
    <w:rPr>
      <w:rFonts w:eastAsiaTheme="minorHAnsi" w:cstheme="minorBidi"/>
      <w:szCs w:val="22"/>
      <w:lang w:eastAsia="en-US"/>
    </w:rPr>
  </w:style>
  <w:style w:type="character" w:customStyle="1" w:styleId="OdsekzoznamuChar">
    <w:name w:val="Odsek zoznamu Char"/>
    <w:link w:val="Odsekzoznamu"/>
    <w:uiPriority w:val="34"/>
    <w:locked/>
    <w:rsid w:val="00A516F4"/>
    <w:rPr>
      <w:rFonts w:ascii="Times New Roman" w:hAnsi="Times New Roman"/>
      <w:sz w:val="24"/>
    </w:rPr>
  </w:style>
  <w:style w:type="paragraph" w:styleId="Hlavika">
    <w:name w:val="header"/>
    <w:basedOn w:val="Normlny"/>
    <w:link w:val="HlavikaChar"/>
    <w:uiPriority w:val="99"/>
    <w:unhideWhenUsed/>
    <w:rsid w:val="00315D6B"/>
    <w:pPr>
      <w:tabs>
        <w:tab w:val="center" w:pos="4536"/>
        <w:tab w:val="right" w:pos="9072"/>
      </w:tabs>
    </w:pPr>
  </w:style>
  <w:style w:type="character" w:customStyle="1" w:styleId="HlavikaChar">
    <w:name w:val="Hlavička Char"/>
    <w:basedOn w:val="Predvolenpsmoodseku"/>
    <w:link w:val="Hlavika"/>
    <w:uiPriority w:val="99"/>
    <w:rsid w:val="00315D6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15D6B"/>
    <w:pPr>
      <w:tabs>
        <w:tab w:val="center" w:pos="4536"/>
        <w:tab w:val="right" w:pos="9072"/>
      </w:tabs>
    </w:pPr>
  </w:style>
  <w:style w:type="character" w:customStyle="1" w:styleId="PtaChar">
    <w:name w:val="Päta Char"/>
    <w:basedOn w:val="Predvolenpsmoodseku"/>
    <w:link w:val="Pta"/>
    <w:uiPriority w:val="99"/>
    <w:rsid w:val="00315D6B"/>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3C543D"/>
    <w:rPr>
      <w:i/>
      <w:iCs/>
    </w:rPr>
  </w:style>
  <w:style w:type="character" w:styleId="Jemnzvraznenie">
    <w:name w:val="Subtle Emphasis"/>
    <w:basedOn w:val="Predvolenpsmoodseku"/>
    <w:uiPriority w:val="19"/>
    <w:qFormat/>
    <w:rsid w:val="000238E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630">
      <w:bodyDiv w:val="1"/>
      <w:marLeft w:val="0"/>
      <w:marRight w:val="0"/>
      <w:marTop w:val="0"/>
      <w:marBottom w:val="0"/>
      <w:divBdr>
        <w:top w:val="none" w:sz="0" w:space="0" w:color="auto"/>
        <w:left w:val="none" w:sz="0" w:space="0" w:color="auto"/>
        <w:bottom w:val="none" w:sz="0" w:space="0" w:color="auto"/>
        <w:right w:val="none" w:sz="0" w:space="0" w:color="auto"/>
      </w:divBdr>
      <w:divsChild>
        <w:div w:id="1781218310">
          <w:marLeft w:val="255"/>
          <w:marRight w:val="0"/>
          <w:marTop w:val="0"/>
          <w:marBottom w:val="0"/>
          <w:divBdr>
            <w:top w:val="none" w:sz="0" w:space="0" w:color="auto"/>
            <w:left w:val="none" w:sz="0" w:space="0" w:color="auto"/>
            <w:bottom w:val="none" w:sz="0" w:space="0" w:color="auto"/>
            <w:right w:val="none" w:sz="0" w:space="0" w:color="auto"/>
          </w:divBdr>
        </w:div>
        <w:div w:id="1403716714">
          <w:marLeft w:val="255"/>
          <w:marRight w:val="0"/>
          <w:marTop w:val="0"/>
          <w:marBottom w:val="0"/>
          <w:divBdr>
            <w:top w:val="none" w:sz="0" w:space="0" w:color="auto"/>
            <w:left w:val="none" w:sz="0" w:space="0" w:color="auto"/>
            <w:bottom w:val="none" w:sz="0" w:space="0" w:color="auto"/>
            <w:right w:val="none" w:sz="0" w:space="0" w:color="auto"/>
          </w:divBdr>
        </w:div>
        <w:div w:id="1346593260">
          <w:marLeft w:val="255"/>
          <w:marRight w:val="0"/>
          <w:marTop w:val="0"/>
          <w:marBottom w:val="0"/>
          <w:divBdr>
            <w:top w:val="none" w:sz="0" w:space="0" w:color="auto"/>
            <w:left w:val="none" w:sz="0" w:space="0" w:color="auto"/>
            <w:bottom w:val="none" w:sz="0" w:space="0" w:color="auto"/>
            <w:right w:val="none" w:sz="0" w:space="0" w:color="auto"/>
          </w:divBdr>
        </w:div>
        <w:div w:id="1059012346">
          <w:marLeft w:val="255"/>
          <w:marRight w:val="0"/>
          <w:marTop w:val="0"/>
          <w:marBottom w:val="0"/>
          <w:divBdr>
            <w:top w:val="none" w:sz="0" w:space="0" w:color="auto"/>
            <w:left w:val="none" w:sz="0" w:space="0" w:color="auto"/>
            <w:bottom w:val="none" w:sz="0" w:space="0" w:color="auto"/>
            <w:right w:val="none" w:sz="0" w:space="0" w:color="auto"/>
          </w:divBdr>
        </w:div>
        <w:div w:id="554581411">
          <w:marLeft w:val="255"/>
          <w:marRight w:val="0"/>
          <w:marTop w:val="0"/>
          <w:marBottom w:val="0"/>
          <w:divBdr>
            <w:top w:val="none" w:sz="0" w:space="0" w:color="auto"/>
            <w:left w:val="none" w:sz="0" w:space="0" w:color="auto"/>
            <w:bottom w:val="none" w:sz="0" w:space="0" w:color="auto"/>
            <w:right w:val="none" w:sz="0" w:space="0" w:color="auto"/>
          </w:divBdr>
        </w:div>
        <w:div w:id="817187472">
          <w:marLeft w:val="255"/>
          <w:marRight w:val="0"/>
          <w:marTop w:val="0"/>
          <w:marBottom w:val="0"/>
          <w:divBdr>
            <w:top w:val="none" w:sz="0" w:space="0" w:color="auto"/>
            <w:left w:val="none" w:sz="0" w:space="0" w:color="auto"/>
            <w:bottom w:val="none" w:sz="0" w:space="0" w:color="auto"/>
            <w:right w:val="none" w:sz="0" w:space="0" w:color="auto"/>
          </w:divBdr>
        </w:div>
        <w:div w:id="613943969">
          <w:marLeft w:val="255"/>
          <w:marRight w:val="0"/>
          <w:marTop w:val="0"/>
          <w:marBottom w:val="0"/>
          <w:divBdr>
            <w:top w:val="none" w:sz="0" w:space="0" w:color="auto"/>
            <w:left w:val="none" w:sz="0" w:space="0" w:color="auto"/>
            <w:bottom w:val="none" w:sz="0" w:space="0" w:color="auto"/>
            <w:right w:val="none" w:sz="0" w:space="0" w:color="auto"/>
          </w:divBdr>
        </w:div>
        <w:div w:id="1486892207">
          <w:marLeft w:val="255"/>
          <w:marRight w:val="0"/>
          <w:marTop w:val="0"/>
          <w:marBottom w:val="0"/>
          <w:divBdr>
            <w:top w:val="none" w:sz="0" w:space="0" w:color="auto"/>
            <w:left w:val="none" w:sz="0" w:space="0" w:color="auto"/>
            <w:bottom w:val="none" w:sz="0" w:space="0" w:color="auto"/>
            <w:right w:val="none" w:sz="0" w:space="0" w:color="auto"/>
          </w:divBdr>
        </w:div>
        <w:div w:id="1029186327">
          <w:marLeft w:val="255"/>
          <w:marRight w:val="0"/>
          <w:marTop w:val="0"/>
          <w:marBottom w:val="0"/>
          <w:divBdr>
            <w:top w:val="none" w:sz="0" w:space="0" w:color="auto"/>
            <w:left w:val="none" w:sz="0" w:space="0" w:color="auto"/>
            <w:bottom w:val="none" w:sz="0" w:space="0" w:color="auto"/>
            <w:right w:val="none" w:sz="0" w:space="0" w:color="auto"/>
          </w:divBdr>
        </w:div>
        <w:div w:id="991910883">
          <w:marLeft w:val="255"/>
          <w:marRight w:val="0"/>
          <w:marTop w:val="0"/>
          <w:marBottom w:val="0"/>
          <w:divBdr>
            <w:top w:val="none" w:sz="0" w:space="0" w:color="auto"/>
            <w:left w:val="none" w:sz="0" w:space="0" w:color="auto"/>
            <w:bottom w:val="none" w:sz="0" w:space="0" w:color="auto"/>
            <w:right w:val="none" w:sz="0" w:space="0" w:color="auto"/>
          </w:divBdr>
        </w:div>
        <w:div w:id="650598463">
          <w:marLeft w:val="255"/>
          <w:marRight w:val="0"/>
          <w:marTop w:val="0"/>
          <w:marBottom w:val="0"/>
          <w:divBdr>
            <w:top w:val="none" w:sz="0" w:space="0" w:color="auto"/>
            <w:left w:val="none" w:sz="0" w:space="0" w:color="auto"/>
            <w:bottom w:val="none" w:sz="0" w:space="0" w:color="auto"/>
            <w:right w:val="none" w:sz="0" w:space="0" w:color="auto"/>
          </w:divBdr>
        </w:div>
        <w:div w:id="2058580113">
          <w:marLeft w:val="255"/>
          <w:marRight w:val="0"/>
          <w:marTop w:val="0"/>
          <w:marBottom w:val="0"/>
          <w:divBdr>
            <w:top w:val="none" w:sz="0" w:space="0" w:color="auto"/>
            <w:left w:val="none" w:sz="0" w:space="0" w:color="auto"/>
            <w:bottom w:val="none" w:sz="0" w:space="0" w:color="auto"/>
            <w:right w:val="none" w:sz="0" w:space="0" w:color="auto"/>
          </w:divBdr>
        </w:div>
        <w:div w:id="360056759">
          <w:marLeft w:val="255"/>
          <w:marRight w:val="0"/>
          <w:marTop w:val="0"/>
          <w:marBottom w:val="0"/>
          <w:divBdr>
            <w:top w:val="none" w:sz="0" w:space="0" w:color="auto"/>
            <w:left w:val="none" w:sz="0" w:space="0" w:color="auto"/>
            <w:bottom w:val="none" w:sz="0" w:space="0" w:color="auto"/>
            <w:right w:val="none" w:sz="0" w:space="0" w:color="auto"/>
          </w:divBdr>
        </w:div>
        <w:div w:id="2141993767">
          <w:marLeft w:val="255"/>
          <w:marRight w:val="0"/>
          <w:marTop w:val="0"/>
          <w:marBottom w:val="0"/>
          <w:divBdr>
            <w:top w:val="none" w:sz="0" w:space="0" w:color="auto"/>
            <w:left w:val="none" w:sz="0" w:space="0" w:color="auto"/>
            <w:bottom w:val="none" w:sz="0" w:space="0" w:color="auto"/>
            <w:right w:val="none" w:sz="0" w:space="0" w:color="auto"/>
          </w:divBdr>
        </w:div>
        <w:div w:id="1574395167">
          <w:marLeft w:val="255"/>
          <w:marRight w:val="0"/>
          <w:marTop w:val="0"/>
          <w:marBottom w:val="0"/>
          <w:divBdr>
            <w:top w:val="none" w:sz="0" w:space="0" w:color="auto"/>
            <w:left w:val="none" w:sz="0" w:space="0" w:color="auto"/>
            <w:bottom w:val="none" w:sz="0" w:space="0" w:color="auto"/>
            <w:right w:val="none" w:sz="0" w:space="0" w:color="auto"/>
          </w:divBdr>
        </w:div>
      </w:divsChild>
    </w:div>
    <w:div w:id="270860416">
      <w:bodyDiv w:val="1"/>
      <w:marLeft w:val="0"/>
      <w:marRight w:val="0"/>
      <w:marTop w:val="0"/>
      <w:marBottom w:val="0"/>
      <w:divBdr>
        <w:top w:val="none" w:sz="0" w:space="0" w:color="auto"/>
        <w:left w:val="none" w:sz="0" w:space="0" w:color="auto"/>
        <w:bottom w:val="none" w:sz="0" w:space="0" w:color="auto"/>
        <w:right w:val="none" w:sz="0" w:space="0" w:color="auto"/>
      </w:divBdr>
      <w:divsChild>
        <w:div w:id="362827977">
          <w:marLeft w:val="255"/>
          <w:marRight w:val="0"/>
          <w:marTop w:val="0"/>
          <w:marBottom w:val="0"/>
          <w:divBdr>
            <w:top w:val="none" w:sz="0" w:space="0" w:color="auto"/>
            <w:left w:val="none" w:sz="0" w:space="0" w:color="auto"/>
            <w:bottom w:val="none" w:sz="0" w:space="0" w:color="auto"/>
            <w:right w:val="none" w:sz="0" w:space="0" w:color="auto"/>
          </w:divBdr>
        </w:div>
        <w:div w:id="1087072840">
          <w:marLeft w:val="255"/>
          <w:marRight w:val="0"/>
          <w:marTop w:val="0"/>
          <w:marBottom w:val="0"/>
          <w:divBdr>
            <w:top w:val="none" w:sz="0" w:space="0" w:color="auto"/>
            <w:left w:val="none" w:sz="0" w:space="0" w:color="auto"/>
            <w:bottom w:val="none" w:sz="0" w:space="0" w:color="auto"/>
            <w:right w:val="none" w:sz="0" w:space="0" w:color="auto"/>
          </w:divBdr>
        </w:div>
        <w:div w:id="70082640">
          <w:marLeft w:val="255"/>
          <w:marRight w:val="0"/>
          <w:marTop w:val="0"/>
          <w:marBottom w:val="0"/>
          <w:divBdr>
            <w:top w:val="none" w:sz="0" w:space="0" w:color="auto"/>
            <w:left w:val="none" w:sz="0" w:space="0" w:color="auto"/>
            <w:bottom w:val="none" w:sz="0" w:space="0" w:color="auto"/>
            <w:right w:val="none" w:sz="0" w:space="0" w:color="auto"/>
          </w:divBdr>
        </w:div>
        <w:div w:id="2034838858">
          <w:marLeft w:val="255"/>
          <w:marRight w:val="0"/>
          <w:marTop w:val="0"/>
          <w:marBottom w:val="0"/>
          <w:divBdr>
            <w:top w:val="none" w:sz="0" w:space="0" w:color="auto"/>
            <w:left w:val="none" w:sz="0" w:space="0" w:color="auto"/>
            <w:bottom w:val="none" w:sz="0" w:space="0" w:color="auto"/>
            <w:right w:val="none" w:sz="0" w:space="0" w:color="auto"/>
          </w:divBdr>
        </w:div>
        <w:div w:id="56245638">
          <w:marLeft w:val="255"/>
          <w:marRight w:val="0"/>
          <w:marTop w:val="0"/>
          <w:marBottom w:val="0"/>
          <w:divBdr>
            <w:top w:val="none" w:sz="0" w:space="0" w:color="auto"/>
            <w:left w:val="none" w:sz="0" w:space="0" w:color="auto"/>
            <w:bottom w:val="none" w:sz="0" w:space="0" w:color="auto"/>
            <w:right w:val="none" w:sz="0" w:space="0" w:color="auto"/>
          </w:divBdr>
        </w:div>
        <w:div w:id="1234390278">
          <w:marLeft w:val="255"/>
          <w:marRight w:val="0"/>
          <w:marTop w:val="0"/>
          <w:marBottom w:val="0"/>
          <w:divBdr>
            <w:top w:val="none" w:sz="0" w:space="0" w:color="auto"/>
            <w:left w:val="none" w:sz="0" w:space="0" w:color="auto"/>
            <w:bottom w:val="none" w:sz="0" w:space="0" w:color="auto"/>
            <w:right w:val="none" w:sz="0" w:space="0" w:color="auto"/>
          </w:divBdr>
        </w:div>
        <w:div w:id="2072732624">
          <w:marLeft w:val="255"/>
          <w:marRight w:val="0"/>
          <w:marTop w:val="0"/>
          <w:marBottom w:val="0"/>
          <w:divBdr>
            <w:top w:val="none" w:sz="0" w:space="0" w:color="auto"/>
            <w:left w:val="none" w:sz="0" w:space="0" w:color="auto"/>
            <w:bottom w:val="none" w:sz="0" w:space="0" w:color="auto"/>
            <w:right w:val="none" w:sz="0" w:space="0" w:color="auto"/>
          </w:divBdr>
        </w:div>
        <w:div w:id="1395424590">
          <w:marLeft w:val="255"/>
          <w:marRight w:val="0"/>
          <w:marTop w:val="0"/>
          <w:marBottom w:val="0"/>
          <w:divBdr>
            <w:top w:val="none" w:sz="0" w:space="0" w:color="auto"/>
            <w:left w:val="none" w:sz="0" w:space="0" w:color="auto"/>
            <w:bottom w:val="none" w:sz="0" w:space="0" w:color="auto"/>
            <w:right w:val="none" w:sz="0" w:space="0" w:color="auto"/>
          </w:divBdr>
        </w:div>
        <w:div w:id="1366565018">
          <w:marLeft w:val="255"/>
          <w:marRight w:val="0"/>
          <w:marTop w:val="0"/>
          <w:marBottom w:val="0"/>
          <w:divBdr>
            <w:top w:val="none" w:sz="0" w:space="0" w:color="auto"/>
            <w:left w:val="none" w:sz="0" w:space="0" w:color="auto"/>
            <w:bottom w:val="none" w:sz="0" w:space="0" w:color="auto"/>
            <w:right w:val="none" w:sz="0" w:space="0" w:color="auto"/>
          </w:divBdr>
        </w:div>
        <w:div w:id="864563676">
          <w:marLeft w:val="255"/>
          <w:marRight w:val="0"/>
          <w:marTop w:val="0"/>
          <w:marBottom w:val="0"/>
          <w:divBdr>
            <w:top w:val="none" w:sz="0" w:space="0" w:color="auto"/>
            <w:left w:val="none" w:sz="0" w:space="0" w:color="auto"/>
            <w:bottom w:val="none" w:sz="0" w:space="0" w:color="auto"/>
            <w:right w:val="none" w:sz="0" w:space="0" w:color="auto"/>
          </w:divBdr>
        </w:div>
        <w:div w:id="1850291748">
          <w:marLeft w:val="255"/>
          <w:marRight w:val="0"/>
          <w:marTop w:val="0"/>
          <w:marBottom w:val="0"/>
          <w:divBdr>
            <w:top w:val="none" w:sz="0" w:space="0" w:color="auto"/>
            <w:left w:val="none" w:sz="0" w:space="0" w:color="auto"/>
            <w:bottom w:val="none" w:sz="0" w:space="0" w:color="auto"/>
            <w:right w:val="none" w:sz="0" w:space="0" w:color="auto"/>
          </w:divBdr>
        </w:div>
        <w:div w:id="715159554">
          <w:marLeft w:val="255"/>
          <w:marRight w:val="0"/>
          <w:marTop w:val="0"/>
          <w:marBottom w:val="0"/>
          <w:divBdr>
            <w:top w:val="none" w:sz="0" w:space="0" w:color="auto"/>
            <w:left w:val="none" w:sz="0" w:space="0" w:color="auto"/>
            <w:bottom w:val="none" w:sz="0" w:space="0" w:color="auto"/>
            <w:right w:val="none" w:sz="0" w:space="0" w:color="auto"/>
          </w:divBdr>
        </w:div>
      </w:divsChild>
    </w:div>
    <w:div w:id="488327054">
      <w:bodyDiv w:val="1"/>
      <w:marLeft w:val="0"/>
      <w:marRight w:val="0"/>
      <w:marTop w:val="0"/>
      <w:marBottom w:val="0"/>
      <w:divBdr>
        <w:top w:val="none" w:sz="0" w:space="0" w:color="auto"/>
        <w:left w:val="none" w:sz="0" w:space="0" w:color="auto"/>
        <w:bottom w:val="none" w:sz="0" w:space="0" w:color="auto"/>
        <w:right w:val="none" w:sz="0" w:space="0" w:color="auto"/>
      </w:divBdr>
      <w:divsChild>
        <w:div w:id="2091803068">
          <w:marLeft w:val="255"/>
          <w:marRight w:val="0"/>
          <w:marTop w:val="0"/>
          <w:marBottom w:val="0"/>
          <w:divBdr>
            <w:top w:val="none" w:sz="0" w:space="0" w:color="auto"/>
            <w:left w:val="none" w:sz="0" w:space="0" w:color="auto"/>
            <w:bottom w:val="none" w:sz="0" w:space="0" w:color="auto"/>
            <w:right w:val="none" w:sz="0" w:space="0" w:color="auto"/>
          </w:divBdr>
        </w:div>
        <w:div w:id="991517767">
          <w:marLeft w:val="255"/>
          <w:marRight w:val="0"/>
          <w:marTop w:val="0"/>
          <w:marBottom w:val="0"/>
          <w:divBdr>
            <w:top w:val="none" w:sz="0" w:space="0" w:color="auto"/>
            <w:left w:val="none" w:sz="0" w:space="0" w:color="auto"/>
            <w:bottom w:val="none" w:sz="0" w:space="0" w:color="auto"/>
            <w:right w:val="none" w:sz="0" w:space="0" w:color="auto"/>
          </w:divBdr>
          <w:divsChild>
            <w:div w:id="2031642788">
              <w:marLeft w:val="255"/>
              <w:marRight w:val="0"/>
              <w:marTop w:val="75"/>
              <w:marBottom w:val="0"/>
              <w:divBdr>
                <w:top w:val="none" w:sz="0" w:space="0" w:color="auto"/>
                <w:left w:val="none" w:sz="0" w:space="0" w:color="auto"/>
                <w:bottom w:val="none" w:sz="0" w:space="0" w:color="auto"/>
                <w:right w:val="none" w:sz="0" w:space="0" w:color="auto"/>
              </w:divBdr>
              <w:divsChild>
                <w:div w:id="7025057">
                  <w:marLeft w:val="0"/>
                  <w:marRight w:val="225"/>
                  <w:marTop w:val="0"/>
                  <w:marBottom w:val="0"/>
                  <w:divBdr>
                    <w:top w:val="none" w:sz="0" w:space="0" w:color="auto"/>
                    <w:left w:val="none" w:sz="0" w:space="0" w:color="auto"/>
                    <w:bottom w:val="none" w:sz="0" w:space="0" w:color="auto"/>
                    <w:right w:val="none" w:sz="0" w:space="0" w:color="auto"/>
                  </w:divBdr>
                </w:div>
              </w:divsChild>
            </w:div>
            <w:div w:id="279344198">
              <w:marLeft w:val="255"/>
              <w:marRight w:val="0"/>
              <w:marTop w:val="75"/>
              <w:marBottom w:val="0"/>
              <w:divBdr>
                <w:top w:val="none" w:sz="0" w:space="0" w:color="auto"/>
                <w:left w:val="none" w:sz="0" w:space="0" w:color="auto"/>
                <w:bottom w:val="none" w:sz="0" w:space="0" w:color="auto"/>
                <w:right w:val="none" w:sz="0" w:space="0" w:color="auto"/>
              </w:divBdr>
              <w:divsChild>
                <w:div w:id="806816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31346917">
          <w:marLeft w:val="255"/>
          <w:marRight w:val="0"/>
          <w:marTop w:val="0"/>
          <w:marBottom w:val="0"/>
          <w:divBdr>
            <w:top w:val="none" w:sz="0" w:space="0" w:color="auto"/>
            <w:left w:val="none" w:sz="0" w:space="0" w:color="auto"/>
            <w:bottom w:val="none" w:sz="0" w:space="0" w:color="auto"/>
            <w:right w:val="none" w:sz="0" w:space="0" w:color="auto"/>
          </w:divBdr>
          <w:divsChild>
            <w:div w:id="567150047">
              <w:marLeft w:val="255"/>
              <w:marRight w:val="0"/>
              <w:marTop w:val="75"/>
              <w:marBottom w:val="0"/>
              <w:divBdr>
                <w:top w:val="none" w:sz="0" w:space="0" w:color="auto"/>
                <w:left w:val="none" w:sz="0" w:space="0" w:color="auto"/>
                <w:bottom w:val="none" w:sz="0" w:space="0" w:color="auto"/>
                <w:right w:val="none" w:sz="0" w:space="0" w:color="auto"/>
              </w:divBdr>
              <w:divsChild>
                <w:div w:id="1043212261">
                  <w:marLeft w:val="0"/>
                  <w:marRight w:val="225"/>
                  <w:marTop w:val="0"/>
                  <w:marBottom w:val="0"/>
                  <w:divBdr>
                    <w:top w:val="none" w:sz="0" w:space="0" w:color="auto"/>
                    <w:left w:val="none" w:sz="0" w:space="0" w:color="auto"/>
                    <w:bottom w:val="none" w:sz="0" w:space="0" w:color="auto"/>
                    <w:right w:val="none" w:sz="0" w:space="0" w:color="auto"/>
                  </w:divBdr>
                </w:div>
              </w:divsChild>
            </w:div>
            <w:div w:id="301008044">
              <w:marLeft w:val="255"/>
              <w:marRight w:val="0"/>
              <w:marTop w:val="75"/>
              <w:marBottom w:val="0"/>
              <w:divBdr>
                <w:top w:val="none" w:sz="0" w:space="0" w:color="auto"/>
                <w:left w:val="none" w:sz="0" w:space="0" w:color="auto"/>
                <w:bottom w:val="none" w:sz="0" w:space="0" w:color="auto"/>
                <w:right w:val="none" w:sz="0" w:space="0" w:color="auto"/>
              </w:divBdr>
              <w:divsChild>
                <w:div w:id="11210755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82564911">
          <w:marLeft w:val="255"/>
          <w:marRight w:val="0"/>
          <w:marTop w:val="0"/>
          <w:marBottom w:val="0"/>
          <w:divBdr>
            <w:top w:val="none" w:sz="0" w:space="0" w:color="auto"/>
            <w:left w:val="none" w:sz="0" w:space="0" w:color="auto"/>
            <w:bottom w:val="none" w:sz="0" w:space="0" w:color="auto"/>
            <w:right w:val="none" w:sz="0" w:space="0" w:color="auto"/>
          </w:divBdr>
          <w:divsChild>
            <w:div w:id="623468583">
              <w:marLeft w:val="255"/>
              <w:marRight w:val="0"/>
              <w:marTop w:val="75"/>
              <w:marBottom w:val="0"/>
              <w:divBdr>
                <w:top w:val="none" w:sz="0" w:space="0" w:color="auto"/>
                <w:left w:val="none" w:sz="0" w:space="0" w:color="auto"/>
                <w:bottom w:val="none" w:sz="0" w:space="0" w:color="auto"/>
                <w:right w:val="none" w:sz="0" w:space="0" w:color="auto"/>
              </w:divBdr>
              <w:divsChild>
                <w:div w:id="1091775188">
                  <w:marLeft w:val="0"/>
                  <w:marRight w:val="225"/>
                  <w:marTop w:val="0"/>
                  <w:marBottom w:val="0"/>
                  <w:divBdr>
                    <w:top w:val="none" w:sz="0" w:space="0" w:color="auto"/>
                    <w:left w:val="none" w:sz="0" w:space="0" w:color="auto"/>
                    <w:bottom w:val="none" w:sz="0" w:space="0" w:color="auto"/>
                    <w:right w:val="none" w:sz="0" w:space="0" w:color="auto"/>
                  </w:divBdr>
                </w:div>
              </w:divsChild>
            </w:div>
            <w:div w:id="1127285352">
              <w:marLeft w:val="255"/>
              <w:marRight w:val="0"/>
              <w:marTop w:val="75"/>
              <w:marBottom w:val="0"/>
              <w:divBdr>
                <w:top w:val="none" w:sz="0" w:space="0" w:color="auto"/>
                <w:left w:val="none" w:sz="0" w:space="0" w:color="auto"/>
                <w:bottom w:val="none" w:sz="0" w:space="0" w:color="auto"/>
                <w:right w:val="none" w:sz="0" w:space="0" w:color="auto"/>
              </w:divBdr>
              <w:divsChild>
                <w:div w:id="131617758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01001419">
          <w:marLeft w:val="255"/>
          <w:marRight w:val="0"/>
          <w:marTop w:val="0"/>
          <w:marBottom w:val="0"/>
          <w:divBdr>
            <w:top w:val="none" w:sz="0" w:space="0" w:color="auto"/>
            <w:left w:val="none" w:sz="0" w:space="0" w:color="auto"/>
            <w:bottom w:val="none" w:sz="0" w:space="0" w:color="auto"/>
            <w:right w:val="none" w:sz="0" w:space="0" w:color="auto"/>
          </w:divBdr>
        </w:div>
        <w:div w:id="777411026">
          <w:marLeft w:val="255"/>
          <w:marRight w:val="0"/>
          <w:marTop w:val="0"/>
          <w:marBottom w:val="0"/>
          <w:divBdr>
            <w:top w:val="none" w:sz="0" w:space="0" w:color="auto"/>
            <w:left w:val="none" w:sz="0" w:space="0" w:color="auto"/>
            <w:bottom w:val="none" w:sz="0" w:space="0" w:color="auto"/>
            <w:right w:val="none" w:sz="0" w:space="0" w:color="auto"/>
          </w:divBdr>
        </w:div>
        <w:div w:id="1586256453">
          <w:marLeft w:val="255"/>
          <w:marRight w:val="0"/>
          <w:marTop w:val="0"/>
          <w:marBottom w:val="0"/>
          <w:divBdr>
            <w:top w:val="none" w:sz="0" w:space="0" w:color="auto"/>
            <w:left w:val="none" w:sz="0" w:space="0" w:color="auto"/>
            <w:bottom w:val="none" w:sz="0" w:space="0" w:color="auto"/>
            <w:right w:val="none" w:sz="0" w:space="0" w:color="auto"/>
          </w:divBdr>
        </w:div>
      </w:divsChild>
    </w:div>
    <w:div w:id="812986017">
      <w:bodyDiv w:val="1"/>
      <w:marLeft w:val="0"/>
      <w:marRight w:val="0"/>
      <w:marTop w:val="0"/>
      <w:marBottom w:val="0"/>
      <w:divBdr>
        <w:top w:val="none" w:sz="0" w:space="0" w:color="auto"/>
        <w:left w:val="none" w:sz="0" w:space="0" w:color="auto"/>
        <w:bottom w:val="none" w:sz="0" w:space="0" w:color="auto"/>
        <w:right w:val="none" w:sz="0" w:space="0" w:color="auto"/>
      </w:divBdr>
      <w:divsChild>
        <w:div w:id="8482927">
          <w:marLeft w:val="255"/>
          <w:marRight w:val="0"/>
          <w:marTop w:val="0"/>
          <w:marBottom w:val="0"/>
          <w:divBdr>
            <w:top w:val="none" w:sz="0" w:space="0" w:color="auto"/>
            <w:left w:val="none" w:sz="0" w:space="0" w:color="auto"/>
            <w:bottom w:val="none" w:sz="0" w:space="0" w:color="auto"/>
            <w:right w:val="none" w:sz="0" w:space="0" w:color="auto"/>
          </w:divBdr>
        </w:div>
        <w:div w:id="75714040">
          <w:marLeft w:val="255"/>
          <w:marRight w:val="0"/>
          <w:marTop w:val="0"/>
          <w:marBottom w:val="0"/>
          <w:divBdr>
            <w:top w:val="none" w:sz="0" w:space="0" w:color="auto"/>
            <w:left w:val="none" w:sz="0" w:space="0" w:color="auto"/>
            <w:bottom w:val="none" w:sz="0" w:space="0" w:color="auto"/>
            <w:right w:val="none" w:sz="0" w:space="0" w:color="auto"/>
          </w:divBdr>
        </w:div>
      </w:divsChild>
    </w:div>
    <w:div w:id="899055530">
      <w:bodyDiv w:val="1"/>
      <w:marLeft w:val="0"/>
      <w:marRight w:val="0"/>
      <w:marTop w:val="0"/>
      <w:marBottom w:val="0"/>
      <w:divBdr>
        <w:top w:val="none" w:sz="0" w:space="0" w:color="auto"/>
        <w:left w:val="none" w:sz="0" w:space="0" w:color="auto"/>
        <w:bottom w:val="none" w:sz="0" w:space="0" w:color="auto"/>
        <w:right w:val="none" w:sz="0" w:space="0" w:color="auto"/>
      </w:divBdr>
    </w:div>
    <w:div w:id="1172642203">
      <w:bodyDiv w:val="1"/>
      <w:marLeft w:val="0"/>
      <w:marRight w:val="0"/>
      <w:marTop w:val="0"/>
      <w:marBottom w:val="0"/>
      <w:divBdr>
        <w:top w:val="none" w:sz="0" w:space="0" w:color="auto"/>
        <w:left w:val="none" w:sz="0" w:space="0" w:color="auto"/>
        <w:bottom w:val="none" w:sz="0" w:space="0" w:color="auto"/>
        <w:right w:val="none" w:sz="0" w:space="0" w:color="auto"/>
      </w:divBdr>
      <w:divsChild>
        <w:div w:id="1213157724">
          <w:marLeft w:val="255"/>
          <w:marRight w:val="0"/>
          <w:marTop w:val="0"/>
          <w:marBottom w:val="0"/>
          <w:divBdr>
            <w:top w:val="none" w:sz="0" w:space="0" w:color="auto"/>
            <w:left w:val="none" w:sz="0" w:space="0" w:color="auto"/>
            <w:bottom w:val="none" w:sz="0" w:space="0" w:color="auto"/>
            <w:right w:val="none" w:sz="0" w:space="0" w:color="auto"/>
          </w:divBdr>
        </w:div>
      </w:divsChild>
    </w:div>
    <w:div w:id="1414470512">
      <w:bodyDiv w:val="1"/>
      <w:marLeft w:val="0"/>
      <w:marRight w:val="0"/>
      <w:marTop w:val="0"/>
      <w:marBottom w:val="0"/>
      <w:divBdr>
        <w:top w:val="none" w:sz="0" w:space="0" w:color="auto"/>
        <w:left w:val="none" w:sz="0" w:space="0" w:color="auto"/>
        <w:bottom w:val="none" w:sz="0" w:space="0" w:color="auto"/>
        <w:right w:val="none" w:sz="0" w:space="0" w:color="auto"/>
      </w:divBdr>
    </w:div>
    <w:div w:id="1492409197">
      <w:bodyDiv w:val="1"/>
      <w:marLeft w:val="0"/>
      <w:marRight w:val="0"/>
      <w:marTop w:val="0"/>
      <w:marBottom w:val="0"/>
      <w:divBdr>
        <w:top w:val="none" w:sz="0" w:space="0" w:color="auto"/>
        <w:left w:val="none" w:sz="0" w:space="0" w:color="auto"/>
        <w:bottom w:val="none" w:sz="0" w:space="0" w:color="auto"/>
        <w:right w:val="none" w:sz="0" w:space="0" w:color="auto"/>
      </w:divBdr>
    </w:div>
    <w:div w:id="1572885934">
      <w:bodyDiv w:val="1"/>
      <w:marLeft w:val="0"/>
      <w:marRight w:val="0"/>
      <w:marTop w:val="0"/>
      <w:marBottom w:val="0"/>
      <w:divBdr>
        <w:top w:val="none" w:sz="0" w:space="0" w:color="auto"/>
        <w:left w:val="none" w:sz="0" w:space="0" w:color="auto"/>
        <w:bottom w:val="none" w:sz="0" w:space="0" w:color="auto"/>
        <w:right w:val="none" w:sz="0" w:space="0" w:color="auto"/>
      </w:divBdr>
    </w:div>
    <w:div w:id="1878396411">
      <w:bodyDiv w:val="1"/>
      <w:marLeft w:val="0"/>
      <w:marRight w:val="0"/>
      <w:marTop w:val="0"/>
      <w:marBottom w:val="0"/>
      <w:divBdr>
        <w:top w:val="none" w:sz="0" w:space="0" w:color="auto"/>
        <w:left w:val="none" w:sz="0" w:space="0" w:color="auto"/>
        <w:bottom w:val="none" w:sz="0" w:space="0" w:color="auto"/>
        <w:right w:val="none" w:sz="0" w:space="0" w:color="auto"/>
      </w:divBdr>
      <w:divsChild>
        <w:div w:id="1469199590">
          <w:marLeft w:val="255"/>
          <w:marRight w:val="0"/>
          <w:marTop w:val="0"/>
          <w:marBottom w:val="0"/>
          <w:divBdr>
            <w:top w:val="none" w:sz="0" w:space="0" w:color="auto"/>
            <w:left w:val="none" w:sz="0" w:space="0" w:color="auto"/>
            <w:bottom w:val="none" w:sz="0" w:space="0" w:color="auto"/>
            <w:right w:val="none" w:sz="0" w:space="0" w:color="auto"/>
          </w:divBdr>
        </w:div>
        <w:div w:id="3781923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431/20230101?ucinnost=04.03.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ov-lex.sk/pravne-predpisy/SK/ZZ/2002/431/20230101?ucinnost=04.03.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lov-lex.sk/pravne-predpisy/SK/ZZ/2002/431/20230101?ucinnost=04.03.2024" TargetMode="External"/><Relationship Id="rId4" Type="http://schemas.openxmlformats.org/officeDocument/2006/relationships/webSettings" Target="webSettings.xml"/><Relationship Id="rId9" Type="http://schemas.openxmlformats.org/officeDocument/2006/relationships/hyperlink" Target="https://www.slov-lex.sk/pravne-predpisy/SK/ZZ/2002/431/20230101?ucinnost=04.03.202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2017</Words>
  <Characters>11503</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Salkovicova Ingrid</dc:creator>
  <cp:keywords/>
  <dc:description/>
  <cp:lastModifiedBy>Precuchova Georgina</cp:lastModifiedBy>
  <cp:revision>5</cp:revision>
  <cp:lastPrinted>2023-07-26T08:16:00Z</cp:lastPrinted>
  <dcterms:created xsi:type="dcterms:W3CDTF">2025-01-21T10:31:00Z</dcterms:created>
  <dcterms:modified xsi:type="dcterms:W3CDTF">2025-02-25T11:36:00Z</dcterms:modified>
</cp:coreProperties>
</file>