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894" w:rsidRPr="003A2894" w:rsidRDefault="003A2894" w:rsidP="003A2894">
      <w:pPr>
        <w:spacing w:after="0" w:line="240" w:lineRule="auto"/>
        <w:jc w:val="center"/>
        <w:rPr>
          <w:rFonts w:ascii="Times New Roman" w:eastAsia="Times New Roman" w:hAnsi="Times New Roman" w:cs="Times New Roman"/>
          <w:b/>
          <w:sz w:val="28"/>
          <w:lang w:val="en-US"/>
        </w:rPr>
      </w:pPr>
    </w:p>
    <w:p w:rsidR="00E66622" w:rsidRPr="003A2894" w:rsidRDefault="00B97231" w:rsidP="003A2894">
      <w:pPr>
        <w:spacing w:after="0" w:line="240" w:lineRule="auto"/>
        <w:jc w:val="center"/>
        <w:rPr>
          <w:rFonts w:ascii="Times New Roman" w:eastAsia="Times New Roman" w:hAnsi="Times New Roman" w:cs="Times New Roman"/>
          <w:bCs/>
          <w:sz w:val="24"/>
          <w:szCs w:val="24"/>
        </w:rPr>
      </w:pPr>
      <w:r w:rsidRPr="003A2894">
        <w:rPr>
          <w:rFonts w:ascii="Times New Roman" w:eastAsia="Times New Roman" w:hAnsi="Times New Roman" w:cs="Times New Roman"/>
          <w:b/>
          <w:sz w:val="28"/>
          <w:lang w:val="en-US"/>
        </w:rPr>
        <w:t>V</w:t>
      </w:r>
      <w:r w:rsidR="00461B69" w:rsidRPr="003A2894">
        <w:rPr>
          <w:rFonts w:ascii="Times New Roman" w:eastAsia="Times New Roman" w:hAnsi="Times New Roman" w:cs="Times New Roman"/>
          <w:b/>
          <w:sz w:val="28"/>
          <w:lang w:val="en-US"/>
        </w:rPr>
        <w:t>yhodnoteni</w:t>
      </w:r>
      <w:r w:rsidR="00322A8A" w:rsidRPr="003A2894">
        <w:rPr>
          <w:rFonts w:ascii="Times New Roman" w:eastAsia="Times New Roman" w:hAnsi="Times New Roman" w:cs="Times New Roman"/>
          <w:b/>
          <w:sz w:val="28"/>
          <w:lang w:val="en-US"/>
        </w:rPr>
        <w:t>e</w:t>
      </w:r>
      <w:r w:rsidR="00461B69" w:rsidRPr="003A2894">
        <w:rPr>
          <w:rFonts w:ascii="Times New Roman" w:eastAsia="Times New Roman" w:hAnsi="Times New Roman" w:cs="Times New Roman"/>
          <w:b/>
          <w:sz w:val="28"/>
          <w:lang w:val="en-US"/>
        </w:rPr>
        <w:t xml:space="preserve"> pripomienkového konania</w:t>
      </w:r>
      <w:r w:rsidR="00785E8D" w:rsidRPr="003A2894">
        <w:rPr>
          <w:rFonts w:ascii="Times New Roman" w:eastAsia="Times New Roman" w:hAnsi="Times New Roman" w:cs="Times New Roman"/>
          <w:b/>
          <w:sz w:val="28"/>
        </w:rPr>
        <w:br/>
      </w:r>
      <w:r w:rsidR="009D32B4" w:rsidRPr="003A2894">
        <w:rPr>
          <w:rFonts w:ascii="Times New Roman" w:eastAsia="Times New Roman" w:hAnsi="Times New Roman" w:cs="Times New Roman"/>
          <w:b/>
          <w:sz w:val="24"/>
          <w:szCs w:val="20"/>
        </w:rPr>
        <w:t>Návrh nariadenia vlády Slovenskej republiky, ktorým sa mení a dopĺňa nariadenie vlády Slovenskej republiky č. 236/2022 Z. z. o poskytovaní podpory v rámci spoločnej organizácie poľnohospodárskych trhov na financovanie podporných opatrení na pomoc sektoru vinohradníctva a vinárstva v znení nariadenia vlády Slovenskej republiky č. 314/2023 Z. z.</w:t>
      </w:r>
      <w:r w:rsidR="00917A99" w:rsidRPr="003A2894">
        <w:rPr>
          <w:rFonts w:ascii="Times New Roman" w:eastAsia="Times New Roman" w:hAnsi="Times New Roman" w:cs="Times New Roman"/>
          <w:b/>
          <w:sz w:val="28"/>
        </w:rPr>
        <w:br/>
      </w:r>
      <w:r w:rsidR="003F1216" w:rsidRPr="003A2894">
        <w:rPr>
          <w:rFonts w:ascii="Times New Roman" w:eastAsia="Times New Roman" w:hAnsi="Times New Roman" w:cs="Times New Roman"/>
          <w:bCs/>
          <w:sz w:val="24"/>
          <w:szCs w:val="24"/>
        </w:rPr>
        <w:t>LP/2025/41</w:t>
      </w:r>
    </w:p>
    <w:p w:rsidR="00362D69" w:rsidRPr="003A2894" w:rsidRDefault="00785E8D" w:rsidP="003A2894">
      <w:pPr>
        <w:spacing w:after="0" w:line="240" w:lineRule="auto"/>
        <w:rPr>
          <w:rFonts w:ascii="Times New Roman" w:eastAsia="Times New Roman" w:hAnsi="Times New Roman" w:cs="Times New Roman"/>
          <w:sz w:val="24"/>
          <w:szCs w:val="24"/>
        </w:rPr>
        <w:sectPr w:rsidR="00362D69" w:rsidRPr="003A2894" w:rsidSect="003A2894">
          <w:footerReference w:type="default" r:id="rId7"/>
          <w:footerReference w:type="first" r:id="rId8"/>
          <w:pgSz w:w="15840" w:h="12240" w:orient="landscape"/>
          <w:pgMar w:top="709" w:right="1440" w:bottom="851" w:left="1440" w:header="720" w:footer="348" w:gutter="0"/>
          <w:cols w:space="720"/>
          <w:titlePg/>
          <w:docGrid w:linePitch="360"/>
        </w:sectPr>
      </w:pPr>
      <w:r w:rsidRPr="003A2894">
        <w:rPr>
          <w:rFonts w:ascii="Times New Roman" w:eastAsia="Times New Roman" w:hAnsi="Times New Roman" w:cs="Times New Roman"/>
          <w:b/>
          <w:bCs/>
          <w:sz w:val="24"/>
          <w:szCs w:val="24"/>
        </w:rPr>
        <w:t>Spôsob pripomienkového konania</w:t>
      </w:r>
      <w:r w:rsidRPr="003A2894">
        <w:rPr>
          <w:rFonts w:ascii="Times New Roman" w:eastAsia="Times New Roman" w:hAnsi="Times New Roman" w:cs="Times New Roman"/>
          <w:sz w:val="24"/>
          <w:szCs w:val="24"/>
        </w:rPr>
        <w:br/>
        <w:t>Počet vznesených pripomienok</w:t>
      </w:r>
      <w:r w:rsidR="009275DB" w:rsidRPr="003A2894">
        <w:rPr>
          <w:rFonts w:ascii="Times New Roman" w:eastAsia="Times New Roman" w:hAnsi="Times New Roman" w:cs="Times New Roman"/>
          <w:sz w:val="24"/>
          <w:szCs w:val="24"/>
        </w:rPr>
        <w:t xml:space="preserve">, </w:t>
      </w:r>
      <w:r w:rsidR="009275DB" w:rsidRPr="003A2894">
        <w:rPr>
          <w:rFonts w:ascii="Times New Roman" w:eastAsia="Times New Roman" w:hAnsi="Times New Roman" w:cs="Times New Roman"/>
          <w:sz w:val="24"/>
          <w:szCs w:val="24"/>
          <w:lang w:val="en-US"/>
        </w:rPr>
        <w:t>z toho zásadných:</w:t>
      </w:r>
      <w:r w:rsidR="00FC0831" w:rsidRPr="003A2894">
        <w:rPr>
          <w:rFonts w:ascii="Times New Roman" w:eastAsia="Times New Roman" w:hAnsi="Times New Roman" w:cs="Times New Roman"/>
          <w:sz w:val="24"/>
          <w:szCs w:val="24"/>
          <w:lang w:val="en-US"/>
        </w:rPr>
        <w:tab/>
      </w:r>
      <w:r w:rsidR="00FC0831" w:rsidRPr="003A2894">
        <w:rPr>
          <w:rFonts w:ascii="Times New Roman" w:eastAsia="Times New Roman" w:hAnsi="Times New Roman" w:cs="Times New Roman"/>
          <w:sz w:val="24"/>
          <w:szCs w:val="24"/>
          <w:lang w:val="en-US"/>
        </w:rPr>
        <w:tab/>
      </w:r>
      <w:r w:rsidR="00FC0831" w:rsidRPr="003A2894">
        <w:rPr>
          <w:rFonts w:ascii="Times New Roman" w:eastAsia="Times New Roman" w:hAnsi="Times New Roman" w:cs="Times New Roman"/>
          <w:sz w:val="24"/>
          <w:szCs w:val="24"/>
          <w:lang w:val="en-US"/>
        </w:rPr>
        <w:tab/>
      </w:r>
      <w:r w:rsidR="00AD6CAE" w:rsidRPr="003A2894">
        <w:rPr>
          <w:rFonts w:ascii="Times New Roman" w:eastAsia="Times New Roman" w:hAnsi="Times New Roman" w:cs="Times New Roman"/>
          <w:sz w:val="24"/>
          <w:szCs w:val="24"/>
          <w:lang w:val="en-US"/>
        </w:rPr>
        <w:t>33/1</w:t>
      </w:r>
      <w:r w:rsidRPr="003A2894">
        <w:rPr>
          <w:rFonts w:ascii="Times New Roman" w:eastAsia="Times New Roman" w:hAnsi="Times New Roman" w:cs="Times New Roman"/>
          <w:sz w:val="24"/>
          <w:szCs w:val="24"/>
        </w:rPr>
        <w:br/>
      </w:r>
      <w:r w:rsidR="009275DB" w:rsidRPr="003A2894">
        <w:rPr>
          <w:rFonts w:ascii="Times New Roman" w:eastAsia="Times New Roman" w:hAnsi="Times New Roman" w:cs="Times New Roman"/>
          <w:sz w:val="24"/>
          <w:szCs w:val="24"/>
          <w:lang w:val="en-US"/>
        </w:rPr>
        <w:t>Po</w:t>
      </w:r>
      <w:r w:rsidR="00677591" w:rsidRPr="003A2894">
        <w:rPr>
          <w:rFonts w:ascii="Times New Roman" w:eastAsia="Times New Roman" w:hAnsi="Times New Roman" w:cs="Times New Roman"/>
          <w:sz w:val="24"/>
          <w:szCs w:val="24"/>
        </w:rPr>
        <w:t>č</w:t>
      </w:r>
      <w:r w:rsidR="009275DB" w:rsidRPr="003A2894">
        <w:rPr>
          <w:rFonts w:ascii="Times New Roman" w:eastAsia="Times New Roman" w:hAnsi="Times New Roman" w:cs="Times New Roman"/>
          <w:sz w:val="24"/>
          <w:szCs w:val="24"/>
          <w:lang w:val="en-US"/>
        </w:rPr>
        <w:t>et vyhodnotených pripomienok:</w:t>
      </w:r>
      <w:r w:rsidR="00B41FEA" w:rsidRPr="003A2894">
        <w:rPr>
          <w:rFonts w:ascii="Times New Roman" w:eastAsia="Times New Roman" w:hAnsi="Times New Roman" w:cs="Times New Roman"/>
          <w:sz w:val="24"/>
          <w:szCs w:val="24"/>
          <w:lang w:val="en-US"/>
        </w:rPr>
        <w:tab/>
      </w:r>
      <w:r w:rsidR="00B41FEA" w:rsidRPr="003A2894">
        <w:rPr>
          <w:rFonts w:ascii="Times New Roman" w:eastAsia="Times New Roman" w:hAnsi="Times New Roman" w:cs="Times New Roman"/>
          <w:sz w:val="24"/>
          <w:szCs w:val="24"/>
          <w:lang w:val="en-US"/>
        </w:rPr>
        <w:tab/>
      </w:r>
      <w:r w:rsidR="00B41FEA" w:rsidRPr="003A2894">
        <w:rPr>
          <w:rFonts w:ascii="Times New Roman" w:eastAsia="Times New Roman" w:hAnsi="Times New Roman" w:cs="Times New Roman"/>
          <w:sz w:val="24"/>
          <w:szCs w:val="24"/>
          <w:lang w:val="en-US"/>
        </w:rPr>
        <w:tab/>
      </w:r>
      <w:r w:rsidR="00B41FEA" w:rsidRPr="003A2894">
        <w:rPr>
          <w:rFonts w:ascii="Times New Roman" w:eastAsia="Times New Roman" w:hAnsi="Times New Roman" w:cs="Times New Roman"/>
          <w:sz w:val="24"/>
          <w:szCs w:val="24"/>
          <w:lang w:val="en-US"/>
        </w:rPr>
        <w:tab/>
      </w:r>
      <w:r w:rsidR="00B41FEA" w:rsidRPr="003A2894">
        <w:rPr>
          <w:rFonts w:ascii="Times New Roman" w:eastAsia="Times New Roman" w:hAnsi="Times New Roman" w:cs="Times New Roman"/>
          <w:sz w:val="24"/>
          <w:szCs w:val="24"/>
          <w:lang w:val="en-US"/>
        </w:rPr>
        <w:tab/>
      </w:r>
      <w:r w:rsidR="00754CB0" w:rsidRPr="003A2894">
        <w:rPr>
          <w:rFonts w:ascii="Times New Roman" w:eastAsia="Times New Roman" w:hAnsi="Times New Roman" w:cs="Times New Roman"/>
          <w:sz w:val="24"/>
          <w:szCs w:val="24"/>
        </w:rPr>
        <w:t>33</w:t>
      </w:r>
      <w:r w:rsidR="00677591" w:rsidRPr="003A2894">
        <w:rPr>
          <w:sz w:val="24"/>
          <w:szCs w:val="24"/>
        </w:rPr>
        <w:br/>
      </w:r>
      <w:r w:rsidR="00677591" w:rsidRPr="003A2894">
        <w:rPr>
          <w:sz w:val="24"/>
          <w:szCs w:val="24"/>
        </w:rPr>
        <w:br/>
      </w:r>
      <w:r w:rsidR="009275DB" w:rsidRPr="003A2894">
        <w:rPr>
          <w:rFonts w:ascii="Times New Roman" w:eastAsia="Times New Roman" w:hAnsi="Times New Roman" w:cs="Times New Roman"/>
          <w:sz w:val="24"/>
          <w:szCs w:val="24"/>
          <w:lang w:val="en-US"/>
        </w:rPr>
        <w:t>Po</w:t>
      </w:r>
      <w:r w:rsidR="00677591" w:rsidRPr="003A2894">
        <w:rPr>
          <w:rFonts w:ascii="Times New Roman" w:eastAsia="Times New Roman" w:hAnsi="Times New Roman" w:cs="Times New Roman"/>
          <w:sz w:val="24"/>
          <w:szCs w:val="24"/>
        </w:rPr>
        <w:t>č</w:t>
      </w:r>
      <w:r w:rsidR="009275DB" w:rsidRPr="003A2894">
        <w:rPr>
          <w:rFonts w:ascii="Times New Roman" w:eastAsia="Times New Roman" w:hAnsi="Times New Roman" w:cs="Times New Roman"/>
          <w:sz w:val="24"/>
          <w:szCs w:val="24"/>
          <w:lang w:val="en-US"/>
        </w:rPr>
        <w:t>et akceptovaných pripomienok, z toho zásadných</w:t>
      </w:r>
      <w:r w:rsidRPr="003A2894">
        <w:rPr>
          <w:rFonts w:ascii="Times New Roman" w:eastAsia="Times New Roman" w:hAnsi="Times New Roman" w:cs="Times New Roman"/>
          <w:sz w:val="24"/>
          <w:szCs w:val="24"/>
        </w:rPr>
        <w:t xml:space="preserve">: </w:t>
      </w:r>
      <w:r w:rsidRPr="003A2894">
        <w:rPr>
          <w:rFonts w:ascii="Times New Roman" w:eastAsia="Times New Roman" w:hAnsi="Times New Roman" w:cs="Times New Roman"/>
          <w:sz w:val="18"/>
          <w:szCs w:val="18"/>
        </w:rPr>
        <w:tab/>
      </w:r>
      <w:r w:rsidR="009275DB" w:rsidRPr="003A2894">
        <w:rPr>
          <w:rFonts w:ascii="Times New Roman" w:eastAsia="Times New Roman" w:hAnsi="Times New Roman" w:cs="Times New Roman"/>
          <w:sz w:val="18"/>
          <w:szCs w:val="18"/>
        </w:rPr>
        <w:tab/>
      </w:r>
      <w:r w:rsidR="00273DAE" w:rsidRPr="003A2894">
        <w:rPr>
          <w:rFonts w:ascii="Times New Roman" w:eastAsia="Times New Roman" w:hAnsi="Times New Roman" w:cs="Times New Roman"/>
          <w:sz w:val="24"/>
          <w:szCs w:val="24"/>
        </w:rPr>
        <w:t>23</w:t>
      </w:r>
      <w:r w:rsidR="00754CB0" w:rsidRPr="003A2894">
        <w:rPr>
          <w:rFonts w:ascii="Times New Roman" w:eastAsia="Times New Roman" w:hAnsi="Times New Roman" w:cs="Times New Roman"/>
          <w:sz w:val="24"/>
          <w:szCs w:val="24"/>
        </w:rPr>
        <w:t>/1</w:t>
      </w:r>
      <w:r w:rsidR="009275DB" w:rsidRPr="003A2894">
        <w:rPr>
          <w:sz w:val="24"/>
          <w:szCs w:val="24"/>
        </w:rPr>
        <w:br/>
      </w:r>
      <w:r w:rsidR="009275DB" w:rsidRPr="003A2894">
        <w:rPr>
          <w:rFonts w:ascii="Times New Roman" w:eastAsia="Times New Roman" w:hAnsi="Times New Roman" w:cs="Times New Roman"/>
          <w:sz w:val="24"/>
          <w:szCs w:val="24"/>
        </w:rPr>
        <w:t>Po</w:t>
      </w:r>
      <w:r w:rsidR="00677591" w:rsidRPr="003A2894">
        <w:rPr>
          <w:rFonts w:ascii="Times New Roman" w:eastAsia="Times New Roman" w:hAnsi="Times New Roman" w:cs="Times New Roman"/>
          <w:sz w:val="24"/>
          <w:szCs w:val="24"/>
        </w:rPr>
        <w:t>č</w:t>
      </w:r>
      <w:r w:rsidR="009275DB" w:rsidRPr="003A2894">
        <w:rPr>
          <w:rFonts w:ascii="Times New Roman" w:eastAsia="Times New Roman" w:hAnsi="Times New Roman" w:cs="Times New Roman"/>
          <w:sz w:val="24"/>
          <w:szCs w:val="24"/>
        </w:rPr>
        <w:t>et čiasto</w:t>
      </w:r>
      <w:r w:rsidR="00677591" w:rsidRPr="003A2894">
        <w:rPr>
          <w:rFonts w:ascii="Times New Roman" w:eastAsia="Times New Roman" w:hAnsi="Times New Roman" w:cs="Times New Roman"/>
          <w:sz w:val="24"/>
          <w:szCs w:val="24"/>
        </w:rPr>
        <w:t>č</w:t>
      </w:r>
      <w:r w:rsidR="009275DB" w:rsidRPr="003A2894">
        <w:rPr>
          <w:rFonts w:ascii="Times New Roman" w:eastAsia="Times New Roman" w:hAnsi="Times New Roman" w:cs="Times New Roman"/>
          <w:sz w:val="24"/>
          <w:szCs w:val="24"/>
        </w:rPr>
        <w:t>ne akceptovaných pripomienok, z toho zásadných</w:t>
      </w:r>
      <w:r w:rsidRPr="003A2894">
        <w:rPr>
          <w:rFonts w:ascii="Times New Roman" w:eastAsia="Times New Roman" w:hAnsi="Times New Roman" w:cs="Times New Roman"/>
          <w:sz w:val="24"/>
          <w:szCs w:val="24"/>
        </w:rPr>
        <w:t xml:space="preserve">: </w:t>
      </w:r>
      <w:r w:rsidRPr="003A2894">
        <w:rPr>
          <w:rFonts w:ascii="Times New Roman" w:eastAsia="Times New Roman" w:hAnsi="Times New Roman" w:cs="Times New Roman"/>
          <w:sz w:val="24"/>
          <w:szCs w:val="24"/>
        </w:rPr>
        <w:tab/>
      </w:r>
      <w:r w:rsidR="00AD6CAE" w:rsidRPr="003A2894">
        <w:rPr>
          <w:rFonts w:ascii="Times New Roman" w:eastAsia="Times New Roman" w:hAnsi="Times New Roman" w:cs="Times New Roman"/>
          <w:sz w:val="24"/>
          <w:szCs w:val="24"/>
        </w:rPr>
        <w:t>5/</w:t>
      </w:r>
      <w:r w:rsidR="008E0404" w:rsidRPr="003A2894">
        <w:rPr>
          <w:rFonts w:ascii="Times New Roman" w:eastAsia="Times New Roman" w:hAnsi="Times New Roman" w:cs="Times New Roman"/>
          <w:sz w:val="24"/>
          <w:szCs w:val="24"/>
        </w:rPr>
        <w:t xml:space="preserve">0 </w:t>
      </w:r>
      <w:r w:rsidR="009275DB" w:rsidRPr="003A2894">
        <w:rPr>
          <w:rFonts w:ascii="Times New Roman" w:eastAsia="Times New Roman" w:hAnsi="Times New Roman" w:cs="Times New Roman"/>
          <w:sz w:val="24"/>
          <w:szCs w:val="24"/>
        </w:rPr>
        <w:br/>
      </w:r>
      <w:r w:rsidR="009275DB" w:rsidRPr="003A2894">
        <w:rPr>
          <w:rFonts w:ascii="Times New Roman" w:hAnsi="Times New Roman" w:cs="Times New Roman"/>
          <w:sz w:val="24"/>
          <w:szCs w:val="24"/>
        </w:rPr>
        <w:t>Po</w:t>
      </w:r>
      <w:r w:rsidR="00677591" w:rsidRPr="003A2894">
        <w:rPr>
          <w:rFonts w:ascii="Times New Roman" w:eastAsia="Times New Roman" w:hAnsi="Times New Roman" w:cs="Times New Roman"/>
          <w:sz w:val="24"/>
          <w:szCs w:val="24"/>
        </w:rPr>
        <w:t>č</w:t>
      </w:r>
      <w:r w:rsidR="009275DB" w:rsidRPr="003A2894">
        <w:rPr>
          <w:rFonts w:ascii="Times New Roman" w:hAnsi="Times New Roman" w:cs="Times New Roman"/>
          <w:sz w:val="24"/>
          <w:szCs w:val="24"/>
        </w:rPr>
        <w:t>et neakceptovaných pripomienok, z toho zásadných:</w:t>
      </w:r>
      <w:r w:rsidR="00AE09D4" w:rsidRPr="003A2894">
        <w:rPr>
          <w:rFonts w:ascii="Times New Roman" w:hAnsi="Times New Roman" w:cs="Times New Roman"/>
          <w:sz w:val="24"/>
          <w:szCs w:val="24"/>
        </w:rPr>
        <w:tab/>
      </w:r>
      <w:r w:rsidR="00AE09D4" w:rsidRPr="003A2894">
        <w:rPr>
          <w:rFonts w:ascii="Times New Roman" w:hAnsi="Times New Roman" w:cs="Times New Roman"/>
          <w:sz w:val="24"/>
          <w:szCs w:val="24"/>
        </w:rPr>
        <w:tab/>
      </w:r>
      <w:r w:rsidR="00AD6CAE" w:rsidRPr="003A2894">
        <w:rPr>
          <w:rFonts w:ascii="Times New Roman" w:eastAsia="Times New Roman" w:hAnsi="Times New Roman" w:cs="Times New Roman"/>
          <w:sz w:val="24"/>
          <w:szCs w:val="24"/>
        </w:rPr>
        <w:t>5</w:t>
      </w:r>
      <w:r w:rsidR="004A48F0" w:rsidRPr="003A2894">
        <w:rPr>
          <w:rFonts w:ascii="Times New Roman" w:eastAsia="Times New Roman" w:hAnsi="Times New Roman" w:cs="Times New Roman"/>
          <w:sz w:val="24"/>
          <w:szCs w:val="24"/>
        </w:rPr>
        <w:t>/0</w:t>
      </w:r>
      <w:r w:rsidR="00677591" w:rsidRPr="003A2894">
        <w:rPr>
          <w:sz w:val="24"/>
          <w:szCs w:val="24"/>
        </w:rPr>
        <w:br/>
      </w:r>
      <w:r w:rsidR="00677591" w:rsidRPr="003A2894">
        <w:rPr>
          <w:sz w:val="24"/>
          <w:szCs w:val="24"/>
        </w:rPr>
        <w:br/>
      </w:r>
      <w:r w:rsidR="009275DB" w:rsidRPr="003A2894">
        <w:rPr>
          <w:rFonts w:ascii="Times New Roman" w:eastAsia="Times New Roman" w:hAnsi="Times New Roman" w:cs="Times New Roman"/>
          <w:sz w:val="24"/>
          <w:szCs w:val="24"/>
        </w:rPr>
        <w:t>Po</w:t>
      </w:r>
      <w:r w:rsidR="00677591" w:rsidRPr="003A2894">
        <w:rPr>
          <w:rFonts w:ascii="Times New Roman" w:eastAsia="Times New Roman" w:hAnsi="Times New Roman" w:cs="Times New Roman"/>
          <w:sz w:val="24"/>
          <w:szCs w:val="24"/>
        </w:rPr>
        <w:t>č</w:t>
      </w:r>
      <w:r w:rsidR="009275DB" w:rsidRPr="003A2894">
        <w:rPr>
          <w:rFonts w:ascii="Times New Roman" w:eastAsia="Times New Roman" w:hAnsi="Times New Roman" w:cs="Times New Roman"/>
          <w:sz w:val="24"/>
          <w:szCs w:val="24"/>
        </w:rPr>
        <w:t>et vznesených hromadných pripomienok:</w:t>
      </w:r>
      <w:r w:rsidR="00B41FEA" w:rsidRPr="003A2894">
        <w:rPr>
          <w:rFonts w:ascii="Times New Roman" w:eastAsia="Times New Roman" w:hAnsi="Times New Roman" w:cs="Times New Roman"/>
          <w:sz w:val="24"/>
          <w:szCs w:val="24"/>
        </w:rPr>
        <w:tab/>
      </w:r>
      <w:r w:rsidR="00B41FEA" w:rsidRPr="003A2894">
        <w:rPr>
          <w:rFonts w:ascii="Times New Roman" w:eastAsia="Times New Roman" w:hAnsi="Times New Roman" w:cs="Times New Roman"/>
          <w:sz w:val="24"/>
          <w:szCs w:val="24"/>
        </w:rPr>
        <w:tab/>
      </w:r>
      <w:r w:rsidR="00B41FEA" w:rsidRPr="003A2894">
        <w:rPr>
          <w:rFonts w:ascii="Times New Roman" w:eastAsia="Times New Roman" w:hAnsi="Times New Roman" w:cs="Times New Roman"/>
          <w:sz w:val="24"/>
          <w:szCs w:val="24"/>
        </w:rPr>
        <w:tab/>
      </w:r>
      <w:r w:rsidR="00011D51" w:rsidRPr="003A2894">
        <w:rPr>
          <w:rFonts w:ascii="Times New Roman" w:eastAsia="Times New Roman" w:hAnsi="Times New Roman" w:cs="Times New Roman"/>
          <w:sz w:val="24"/>
          <w:szCs w:val="24"/>
        </w:rPr>
        <w:t>0</w:t>
      </w:r>
      <w:r w:rsidR="009275DB" w:rsidRPr="003A2894">
        <w:rPr>
          <w:rFonts w:ascii="Times New Roman" w:eastAsia="Times New Roman" w:hAnsi="Times New Roman" w:cs="Times New Roman"/>
          <w:sz w:val="24"/>
          <w:szCs w:val="24"/>
        </w:rPr>
        <w:br/>
        <w:t>Po</w:t>
      </w:r>
      <w:r w:rsidR="00677591" w:rsidRPr="003A2894">
        <w:rPr>
          <w:rFonts w:ascii="Times New Roman" w:eastAsia="Times New Roman" w:hAnsi="Times New Roman" w:cs="Times New Roman"/>
          <w:sz w:val="24"/>
          <w:szCs w:val="24"/>
        </w:rPr>
        <w:t>č</w:t>
      </w:r>
      <w:r w:rsidR="009275DB" w:rsidRPr="003A2894">
        <w:rPr>
          <w:rFonts w:ascii="Times New Roman" w:eastAsia="Times New Roman" w:hAnsi="Times New Roman" w:cs="Times New Roman"/>
          <w:sz w:val="24"/>
          <w:szCs w:val="24"/>
        </w:rPr>
        <w:t>et vyhodnotených hromadných pripomienok:</w:t>
      </w:r>
      <w:r w:rsidR="00B41FEA" w:rsidRPr="003A2894">
        <w:rPr>
          <w:rFonts w:ascii="Times New Roman" w:eastAsia="Times New Roman" w:hAnsi="Times New Roman" w:cs="Times New Roman"/>
          <w:sz w:val="24"/>
          <w:szCs w:val="24"/>
        </w:rPr>
        <w:tab/>
      </w:r>
      <w:r w:rsidR="00B41FEA" w:rsidRPr="003A2894">
        <w:rPr>
          <w:rFonts w:ascii="Times New Roman" w:eastAsia="Times New Roman" w:hAnsi="Times New Roman" w:cs="Times New Roman"/>
          <w:sz w:val="24"/>
          <w:szCs w:val="24"/>
        </w:rPr>
        <w:tab/>
      </w:r>
      <w:r w:rsidR="00B41FEA" w:rsidRPr="003A2894">
        <w:rPr>
          <w:rFonts w:ascii="Times New Roman" w:eastAsia="Times New Roman" w:hAnsi="Times New Roman" w:cs="Times New Roman"/>
          <w:sz w:val="24"/>
          <w:szCs w:val="24"/>
        </w:rPr>
        <w:tab/>
      </w:r>
      <w:r w:rsidR="00AD6CAE" w:rsidRPr="003A2894">
        <w:rPr>
          <w:rFonts w:ascii="Times New Roman" w:hAnsi="Times New Roman" w:cs="Times New Roman"/>
          <w:sz w:val="24"/>
          <w:szCs w:val="24"/>
        </w:rPr>
        <w:t>0</w:t>
      </w:r>
      <w:r w:rsidR="00677591" w:rsidRPr="003A2894">
        <w:rPr>
          <w:sz w:val="24"/>
          <w:szCs w:val="24"/>
        </w:rPr>
        <w:br/>
      </w:r>
      <w:r w:rsidR="00677591" w:rsidRPr="003A2894">
        <w:rPr>
          <w:sz w:val="24"/>
          <w:szCs w:val="24"/>
        </w:rPr>
        <w:br/>
      </w:r>
      <w:r w:rsidR="009275DB" w:rsidRPr="003A2894">
        <w:rPr>
          <w:rFonts w:ascii="Times New Roman" w:eastAsia="Times New Roman" w:hAnsi="Times New Roman" w:cs="Times New Roman"/>
          <w:sz w:val="24"/>
          <w:szCs w:val="24"/>
        </w:rPr>
        <w:t>Po</w:t>
      </w:r>
      <w:r w:rsidR="00677591" w:rsidRPr="003A2894">
        <w:rPr>
          <w:rFonts w:ascii="Times New Roman" w:eastAsia="Times New Roman" w:hAnsi="Times New Roman" w:cs="Times New Roman"/>
          <w:sz w:val="24"/>
          <w:szCs w:val="24"/>
        </w:rPr>
        <w:t>č</w:t>
      </w:r>
      <w:r w:rsidR="009275DB" w:rsidRPr="003A2894">
        <w:rPr>
          <w:rFonts w:ascii="Times New Roman" w:eastAsia="Times New Roman" w:hAnsi="Times New Roman" w:cs="Times New Roman"/>
          <w:sz w:val="24"/>
          <w:szCs w:val="24"/>
        </w:rPr>
        <w:t>et akceptovaných hromadných pripomienok:</w:t>
      </w:r>
      <w:r w:rsidR="00B41FEA" w:rsidRPr="003A2894">
        <w:rPr>
          <w:rFonts w:ascii="Times New Roman" w:eastAsia="Times New Roman" w:hAnsi="Times New Roman" w:cs="Times New Roman"/>
          <w:sz w:val="24"/>
          <w:szCs w:val="24"/>
        </w:rPr>
        <w:tab/>
      </w:r>
      <w:r w:rsidR="00B41FEA" w:rsidRPr="003A2894">
        <w:rPr>
          <w:rFonts w:ascii="Times New Roman" w:eastAsia="Times New Roman" w:hAnsi="Times New Roman" w:cs="Times New Roman"/>
          <w:sz w:val="24"/>
          <w:szCs w:val="24"/>
        </w:rPr>
        <w:tab/>
      </w:r>
      <w:r w:rsidR="00B41FEA" w:rsidRPr="003A2894">
        <w:rPr>
          <w:rFonts w:ascii="Times New Roman" w:eastAsia="Times New Roman" w:hAnsi="Times New Roman" w:cs="Times New Roman"/>
          <w:sz w:val="24"/>
          <w:szCs w:val="24"/>
        </w:rPr>
        <w:tab/>
      </w:r>
      <w:r w:rsidR="00AD6CAE" w:rsidRPr="003A2894">
        <w:rPr>
          <w:rFonts w:ascii="Times New Roman" w:eastAsia="Times New Roman" w:hAnsi="Times New Roman" w:cs="Times New Roman"/>
          <w:sz w:val="24"/>
          <w:szCs w:val="24"/>
        </w:rPr>
        <w:t>0</w:t>
      </w:r>
      <w:r w:rsidR="009275DB" w:rsidRPr="003A2894">
        <w:rPr>
          <w:rFonts w:ascii="Times New Roman" w:hAnsi="Times New Roman" w:cs="Times New Roman"/>
          <w:sz w:val="24"/>
          <w:szCs w:val="24"/>
        </w:rPr>
        <w:br/>
      </w:r>
      <w:r w:rsidR="009275DB" w:rsidRPr="003A2894">
        <w:rPr>
          <w:rFonts w:ascii="Times New Roman" w:eastAsia="Times New Roman" w:hAnsi="Times New Roman" w:cs="Times New Roman"/>
          <w:sz w:val="24"/>
          <w:szCs w:val="24"/>
        </w:rPr>
        <w:t>Po</w:t>
      </w:r>
      <w:r w:rsidR="00677591" w:rsidRPr="003A2894">
        <w:rPr>
          <w:rFonts w:ascii="Times New Roman" w:eastAsia="Times New Roman" w:hAnsi="Times New Roman" w:cs="Times New Roman"/>
          <w:sz w:val="24"/>
          <w:szCs w:val="24"/>
        </w:rPr>
        <w:t>č</w:t>
      </w:r>
      <w:r w:rsidR="009275DB" w:rsidRPr="003A2894">
        <w:rPr>
          <w:rFonts w:ascii="Times New Roman" w:eastAsia="Times New Roman" w:hAnsi="Times New Roman" w:cs="Times New Roman"/>
          <w:sz w:val="24"/>
          <w:szCs w:val="24"/>
        </w:rPr>
        <w:t>et čiasto</w:t>
      </w:r>
      <w:r w:rsidR="00677591" w:rsidRPr="003A2894">
        <w:rPr>
          <w:rFonts w:ascii="Times New Roman" w:eastAsia="Times New Roman" w:hAnsi="Times New Roman" w:cs="Times New Roman"/>
          <w:sz w:val="24"/>
          <w:szCs w:val="24"/>
        </w:rPr>
        <w:t>č</w:t>
      </w:r>
      <w:r w:rsidR="009275DB" w:rsidRPr="003A2894">
        <w:rPr>
          <w:rFonts w:ascii="Times New Roman" w:eastAsia="Times New Roman" w:hAnsi="Times New Roman" w:cs="Times New Roman"/>
          <w:sz w:val="24"/>
          <w:szCs w:val="24"/>
        </w:rPr>
        <w:t>ne akceptovaných hromadných pripomienok:</w:t>
      </w:r>
      <w:r w:rsidR="00B41FEA" w:rsidRPr="003A2894">
        <w:rPr>
          <w:rFonts w:ascii="Times New Roman" w:eastAsia="Times New Roman" w:hAnsi="Times New Roman" w:cs="Times New Roman"/>
          <w:sz w:val="24"/>
          <w:szCs w:val="24"/>
        </w:rPr>
        <w:tab/>
      </w:r>
      <w:r w:rsidR="00B41FEA" w:rsidRPr="003A2894">
        <w:rPr>
          <w:rFonts w:ascii="Times New Roman" w:eastAsia="Times New Roman" w:hAnsi="Times New Roman" w:cs="Times New Roman"/>
          <w:sz w:val="24"/>
          <w:szCs w:val="24"/>
        </w:rPr>
        <w:tab/>
      </w:r>
      <w:r w:rsidR="00AD6CAE" w:rsidRPr="003A2894">
        <w:rPr>
          <w:rFonts w:ascii="Times New Roman" w:eastAsia="Times New Roman" w:hAnsi="Times New Roman" w:cs="Times New Roman"/>
          <w:sz w:val="24"/>
          <w:szCs w:val="24"/>
        </w:rPr>
        <w:t>0</w:t>
      </w:r>
      <w:r w:rsidR="009275DB" w:rsidRPr="003A2894">
        <w:rPr>
          <w:rFonts w:ascii="Times New Roman" w:hAnsi="Times New Roman" w:cs="Times New Roman"/>
          <w:sz w:val="24"/>
          <w:szCs w:val="24"/>
        </w:rPr>
        <w:br/>
      </w:r>
      <w:r w:rsidR="009275DB" w:rsidRPr="003A2894">
        <w:rPr>
          <w:rFonts w:ascii="Times New Roman" w:eastAsia="Times New Roman" w:hAnsi="Times New Roman" w:cs="Times New Roman"/>
          <w:sz w:val="24"/>
          <w:szCs w:val="24"/>
        </w:rPr>
        <w:t>Po</w:t>
      </w:r>
      <w:r w:rsidR="00677591" w:rsidRPr="003A2894">
        <w:rPr>
          <w:rFonts w:ascii="Times New Roman" w:eastAsia="Times New Roman" w:hAnsi="Times New Roman" w:cs="Times New Roman"/>
          <w:sz w:val="24"/>
          <w:szCs w:val="24"/>
        </w:rPr>
        <w:t>č</w:t>
      </w:r>
      <w:r w:rsidR="009275DB" w:rsidRPr="003A2894">
        <w:rPr>
          <w:rFonts w:ascii="Times New Roman" w:eastAsia="Times New Roman" w:hAnsi="Times New Roman" w:cs="Times New Roman"/>
          <w:sz w:val="24"/>
          <w:szCs w:val="24"/>
        </w:rPr>
        <w:t>et neakceptovaných hromadných pripomienok:</w:t>
      </w:r>
      <w:r w:rsidR="00B41FEA" w:rsidRPr="003A2894">
        <w:rPr>
          <w:rFonts w:ascii="Times New Roman" w:eastAsia="Times New Roman" w:hAnsi="Times New Roman" w:cs="Times New Roman"/>
          <w:sz w:val="24"/>
          <w:szCs w:val="24"/>
        </w:rPr>
        <w:tab/>
      </w:r>
      <w:r w:rsidR="00B41FEA" w:rsidRPr="003A2894">
        <w:rPr>
          <w:rFonts w:ascii="Times New Roman" w:eastAsia="Times New Roman" w:hAnsi="Times New Roman" w:cs="Times New Roman"/>
          <w:sz w:val="24"/>
          <w:szCs w:val="24"/>
        </w:rPr>
        <w:tab/>
      </w:r>
      <w:r w:rsidR="00B41FEA" w:rsidRPr="003A2894">
        <w:rPr>
          <w:rFonts w:ascii="Times New Roman" w:eastAsia="Times New Roman" w:hAnsi="Times New Roman" w:cs="Times New Roman"/>
          <w:sz w:val="24"/>
          <w:szCs w:val="24"/>
        </w:rPr>
        <w:tab/>
      </w:r>
      <w:r w:rsidR="00AD6CAE" w:rsidRPr="003A2894">
        <w:rPr>
          <w:rFonts w:ascii="Times New Roman" w:eastAsia="Times New Roman" w:hAnsi="Times New Roman" w:cs="Times New Roman"/>
          <w:sz w:val="24"/>
          <w:szCs w:val="24"/>
        </w:rPr>
        <w:t>0</w:t>
      </w:r>
      <w:r w:rsidR="00362D69" w:rsidRPr="003A2894">
        <w:rPr>
          <w:sz w:val="24"/>
          <w:szCs w:val="24"/>
        </w:rPr>
        <w:tab/>
      </w:r>
    </w:p>
    <w:p w:rsidR="00677591" w:rsidRPr="003A2894" w:rsidRDefault="00677591" w:rsidP="003A2894">
      <w:pPr>
        <w:spacing w:after="0" w:line="240" w:lineRule="auto"/>
        <w:rPr>
          <w:rFonts w:ascii="Times New Roman" w:eastAsia="Times New Roman" w:hAnsi="Times New Roman" w:cs="Times New Roman"/>
          <w:sz w:val="24"/>
          <w:szCs w:val="24"/>
        </w:rPr>
      </w:pPr>
      <w:r w:rsidRPr="003A2894">
        <w:rPr>
          <w:rFonts w:ascii="Times New Roman" w:eastAsia="Times New Roman" w:hAnsi="Times New Roman" w:cs="Times New Roman"/>
          <w:sz w:val="24"/>
          <w:szCs w:val="24"/>
        </w:rPr>
        <w:t>Vysvetlivky k použitým skratkám v tabu</w:t>
      </w:r>
      <w:r w:rsidR="00A6034C" w:rsidRPr="003A2894">
        <w:rPr>
          <w:rFonts w:ascii="Times New Roman" w:eastAsia="Times New Roman" w:hAnsi="Times New Roman" w:cs="Times New Roman"/>
          <w:sz w:val="24"/>
          <w:szCs w:val="24"/>
        </w:rPr>
        <w:t>ľ</w:t>
      </w:r>
      <w:r w:rsidRPr="003A2894">
        <w:rPr>
          <w:rFonts w:ascii="Times New Roman" w:eastAsia="Times New Roman" w:hAnsi="Times New Roman" w:cs="Times New Roman"/>
          <w:sz w:val="24"/>
          <w:szCs w:val="24"/>
        </w:rPr>
        <w:t>kách:</w:t>
      </w:r>
    </w:p>
    <w:p w:rsidR="00677591" w:rsidRPr="003A2894" w:rsidRDefault="00677591" w:rsidP="003A2894">
      <w:pPr>
        <w:spacing w:after="0" w:line="240" w:lineRule="auto"/>
        <w:rPr>
          <w:rFonts w:ascii="Times New Roman" w:eastAsia="Times New Roman" w:hAnsi="Times New Roman" w:cs="Times New Roman"/>
          <w:sz w:val="24"/>
          <w:szCs w:val="24"/>
        </w:rPr>
      </w:pPr>
      <w:r w:rsidRPr="003A2894">
        <w:rPr>
          <w:rFonts w:ascii="Times New Roman" w:eastAsia="Times New Roman" w:hAnsi="Times New Roman" w:cs="Times New Roman"/>
          <w:sz w:val="24"/>
          <w:szCs w:val="24"/>
        </w:rPr>
        <w:t>O – obyčajná</w:t>
      </w:r>
      <w:r w:rsidRPr="003A2894">
        <w:rPr>
          <w:rFonts w:ascii="Times New Roman" w:eastAsia="Times New Roman" w:hAnsi="Times New Roman" w:cs="Times New Roman"/>
          <w:sz w:val="24"/>
          <w:szCs w:val="24"/>
        </w:rPr>
        <w:tab/>
        <w:t>A – akceptovaná</w:t>
      </w:r>
      <w:r w:rsidRPr="003A2894">
        <w:rPr>
          <w:rFonts w:ascii="Times New Roman" w:eastAsia="Times New Roman" w:hAnsi="Times New Roman" w:cs="Times New Roman"/>
          <w:sz w:val="24"/>
          <w:szCs w:val="24"/>
        </w:rPr>
        <w:br/>
        <w:t>Z – zásadná</w:t>
      </w:r>
      <w:r w:rsidRPr="003A2894">
        <w:rPr>
          <w:rFonts w:ascii="Times New Roman" w:eastAsia="Times New Roman" w:hAnsi="Times New Roman" w:cs="Times New Roman"/>
          <w:sz w:val="24"/>
          <w:szCs w:val="24"/>
        </w:rPr>
        <w:tab/>
        <w:t>N – neakceptovaná</w:t>
      </w:r>
      <w:r w:rsidRPr="003A2894">
        <w:rPr>
          <w:rFonts w:ascii="Times New Roman" w:eastAsia="Times New Roman" w:hAnsi="Times New Roman" w:cs="Times New Roman"/>
          <w:sz w:val="24"/>
          <w:szCs w:val="24"/>
        </w:rPr>
        <w:br/>
        <w:t xml:space="preserve">                        ČA – čiastočne akceptovaná</w:t>
      </w:r>
      <w:r w:rsidRPr="003A2894">
        <w:rPr>
          <w:rFonts w:ascii="Times New Roman" w:eastAsia="Times New Roman" w:hAnsi="Times New Roman" w:cs="Times New Roman"/>
          <w:sz w:val="24"/>
          <w:szCs w:val="24"/>
        </w:rPr>
        <w:br/>
        <w:t xml:space="preserve">                        NEP – neprihliada sa</w:t>
      </w:r>
    </w:p>
    <w:p w:rsidR="00677591" w:rsidRPr="003A2894" w:rsidRDefault="00677591" w:rsidP="003A2894">
      <w:pPr>
        <w:spacing w:after="0" w:line="240" w:lineRule="auto"/>
        <w:rPr>
          <w:rFonts w:ascii="Times New Roman" w:eastAsia="Times New Roman" w:hAnsi="Times New Roman" w:cs="Times New Roman"/>
          <w:sz w:val="20"/>
        </w:rPr>
      </w:pPr>
      <w:r w:rsidRPr="003A2894">
        <w:rPr>
          <w:rFonts w:ascii="Times New Roman" w:eastAsia="Times New Roman" w:hAnsi="Times New Roman" w:cs="Times New Roman"/>
          <w:sz w:val="24"/>
          <w:szCs w:val="24"/>
        </w:rPr>
        <w:t>Vyhodnotenie vecných pripomienok</w:t>
      </w:r>
    </w:p>
    <w:p w:rsidR="007C1A93" w:rsidRPr="003A2894" w:rsidRDefault="00E66622" w:rsidP="003A2894">
      <w:pPr>
        <w:keepLines/>
        <w:spacing w:after="0" w:line="240" w:lineRule="auto"/>
        <w:rPr>
          <w:rFonts w:ascii="Times New Roman" w:eastAsia="Times New Roman" w:hAnsi="Times New Roman" w:cs="Times New Roman"/>
          <w:sz w:val="24"/>
          <w:szCs w:val="24"/>
        </w:rPr>
      </w:pPr>
      <w:r w:rsidRPr="003A2894">
        <w:rPr>
          <w:rFonts w:ascii="Times New Roman" w:eastAsia="Times New Roman" w:hAnsi="Times New Roman" w:cs="Times New Roman"/>
          <w:sz w:val="24"/>
          <w:szCs w:val="24"/>
        </w:rPr>
        <w:t>Vznesené pripomienky</w:t>
      </w:r>
    </w:p>
    <w:tbl>
      <w:tblPr>
        <w:tblW w:w="1375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750"/>
        <w:gridCol w:w="6945"/>
        <w:gridCol w:w="778"/>
        <w:gridCol w:w="3333"/>
      </w:tblGrid>
      <w:tr w:rsidR="003A2894" w:rsidRPr="003A2894" w:rsidTr="003A2894">
        <w:trPr>
          <w:trHeight w:val="648"/>
          <w:jc w:val="center"/>
        </w:trPr>
        <w:tc>
          <w:tcPr>
            <w:tcW w:w="1944" w:type="dxa"/>
            <w:vAlign w:val="center"/>
          </w:tcPr>
          <w:p w:rsidR="000B16EA" w:rsidRPr="003A2894" w:rsidRDefault="000B16EA" w:rsidP="003A2894">
            <w:pPr>
              <w:keepLines/>
              <w:spacing w:after="0" w:line="240" w:lineRule="auto"/>
              <w:jc w:val="center"/>
              <w:rPr>
                <w:rFonts w:ascii="Times New Roman" w:hAnsi="Times New Roman" w:cs="Times New Roman"/>
                <w:b/>
                <w:bCs/>
                <w:sz w:val="24"/>
                <w:szCs w:val="24"/>
              </w:rPr>
            </w:pPr>
            <w:r w:rsidRPr="003A2894">
              <w:rPr>
                <w:rFonts w:ascii="Times New Roman" w:hAnsi="Times New Roman" w:cs="Times New Roman"/>
                <w:b/>
                <w:bCs/>
                <w:sz w:val="24"/>
                <w:szCs w:val="24"/>
              </w:rPr>
              <w:t>Subjekt</w:t>
            </w:r>
          </w:p>
        </w:tc>
        <w:tc>
          <w:tcPr>
            <w:tcW w:w="750" w:type="dxa"/>
            <w:vAlign w:val="center"/>
          </w:tcPr>
          <w:p w:rsidR="000B16EA" w:rsidRPr="003A2894" w:rsidRDefault="000B16EA" w:rsidP="003A2894">
            <w:pPr>
              <w:keepLines/>
              <w:spacing w:after="0" w:line="240" w:lineRule="auto"/>
              <w:jc w:val="center"/>
              <w:rPr>
                <w:rFonts w:ascii="Times New Roman" w:hAnsi="Times New Roman" w:cs="Times New Roman"/>
                <w:b/>
                <w:bCs/>
                <w:sz w:val="24"/>
                <w:szCs w:val="24"/>
              </w:rPr>
            </w:pPr>
            <w:r w:rsidRPr="003A2894">
              <w:rPr>
                <w:rFonts w:ascii="Times New Roman" w:hAnsi="Times New Roman" w:cs="Times New Roman"/>
                <w:b/>
                <w:bCs/>
                <w:sz w:val="24"/>
                <w:szCs w:val="24"/>
              </w:rPr>
              <w:t>Typ</w:t>
            </w:r>
          </w:p>
        </w:tc>
        <w:tc>
          <w:tcPr>
            <w:tcW w:w="6945" w:type="dxa"/>
            <w:vAlign w:val="center"/>
          </w:tcPr>
          <w:p w:rsidR="000B16EA" w:rsidRPr="003A2894" w:rsidRDefault="000B16EA" w:rsidP="003A2894">
            <w:pPr>
              <w:keepLines/>
              <w:spacing w:after="0" w:line="240" w:lineRule="auto"/>
              <w:ind w:left="-21" w:firstLine="21"/>
              <w:jc w:val="center"/>
              <w:rPr>
                <w:rFonts w:ascii="Times New Roman" w:hAnsi="Times New Roman" w:cs="Times New Roman"/>
                <w:b/>
                <w:bCs/>
                <w:sz w:val="24"/>
                <w:szCs w:val="24"/>
              </w:rPr>
            </w:pPr>
            <w:r w:rsidRPr="003A2894">
              <w:rPr>
                <w:rFonts w:ascii="Times New Roman" w:hAnsi="Times New Roman" w:cs="Times New Roman"/>
                <w:b/>
                <w:bCs/>
                <w:sz w:val="24"/>
                <w:szCs w:val="24"/>
              </w:rPr>
              <w:t>Pripomienka</w:t>
            </w:r>
          </w:p>
        </w:tc>
        <w:tc>
          <w:tcPr>
            <w:tcW w:w="778" w:type="dxa"/>
            <w:vAlign w:val="center"/>
          </w:tcPr>
          <w:p w:rsidR="000B16EA" w:rsidRPr="003A2894" w:rsidRDefault="000B16EA" w:rsidP="003A2894">
            <w:pPr>
              <w:keepLines/>
              <w:spacing w:after="0" w:line="240" w:lineRule="auto"/>
              <w:jc w:val="center"/>
              <w:rPr>
                <w:rFonts w:ascii="Times New Roman" w:hAnsi="Times New Roman" w:cs="Times New Roman"/>
                <w:b/>
                <w:bCs/>
                <w:sz w:val="24"/>
                <w:szCs w:val="24"/>
              </w:rPr>
            </w:pPr>
            <w:r w:rsidRPr="003A2894">
              <w:rPr>
                <w:rFonts w:ascii="Times New Roman" w:hAnsi="Times New Roman" w:cs="Times New Roman"/>
                <w:b/>
                <w:bCs/>
                <w:sz w:val="24"/>
                <w:szCs w:val="24"/>
              </w:rPr>
              <w:t>Vyh.</w:t>
            </w:r>
          </w:p>
        </w:tc>
        <w:tc>
          <w:tcPr>
            <w:tcW w:w="3333" w:type="dxa"/>
            <w:vAlign w:val="center"/>
          </w:tcPr>
          <w:p w:rsidR="000B16EA" w:rsidRPr="003A2894" w:rsidRDefault="000B16EA" w:rsidP="003A2894">
            <w:pPr>
              <w:keepLines/>
              <w:spacing w:after="0" w:line="240" w:lineRule="auto"/>
              <w:jc w:val="center"/>
              <w:rPr>
                <w:rFonts w:ascii="Times New Roman" w:hAnsi="Times New Roman" w:cs="Times New Roman"/>
                <w:b/>
                <w:bCs/>
                <w:sz w:val="24"/>
                <w:szCs w:val="24"/>
              </w:rPr>
            </w:pPr>
            <w:r w:rsidRPr="003A2894">
              <w:rPr>
                <w:rFonts w:ascii="Times New Roman" w:hAnsi="Times New Roman" w:cs="Times New Roman"/>
                <w:b/>
                <w:bCs/>
                <w:sz w:val="24"/>
                <w:szCs w:val="24"/>
              </w:rPr>
              <w:t>Spôsob vyhodnotenia</w:t>
            </w: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MDSR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Ministerstvo dopravy Slovenskej republiky</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predkladacej správe</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1.</w:t>
            </w:r>
            <w:r w:rsidRPr="003A2894">
              <w:rPr>
                <w:rFonts w:ascii="Times New Roman" w:eastAsia="Times New Roman" w:hAnsi="Times New Roman" w:cs="Times New Roman"/>
                <w:sz w:val="24"/>
              </w:rPr>
              <w:tab/>
              <w:t xml:space="preserve">V predkladacej správe odporúčame </w:t>
            </w:r>
            <w:r w:rsidRPr="003A2894">
              <w:rPr>
                <w:rFonts w:ascii="Times New Roman" w:eastAsia="Times New Roman" w:hAnsi="Times New Roman" w:cs="Times New Roman"/>
                <w:sz w:val="24"/>
              </w:rPr>
              <w:br/>
              <w:t>- slovné spojenie „EPZF“ rozpísať na prvom mieste, kde sa v texte vyskytuje, tamtiež zaviesť legislatívnu skratku a túto potom používať v ďalšom texte; tá istá pripomienka sa vzťahuje aj na osobitnú časť dôvodovej správy, v ktorej odporúčame už zavedenú skratku „EPZF“ dôsledne používať v celom ďalšom texte;</w:t>
            </w:r>
            <w:r w:rsidRPr="003A2894">
              <w:rPr>
                <w:rFonts w:ascii="Times New Roman" w:eastAsia="Times New Roman" w:hAnsi="Times New Roman" w:cs="Times New Roman"/>
                <w:sz w:val="24"/>
              </w:rPr>
              <w:br/>
              <w:t>- druhý odsek, ktorý pozostáva z jednej vety v rozsahu 20 riadkov, rozdeliť na niekoľko viet z dôvodu nezrozumiteľnosti.</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MDSR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Ministerstvo dopravy Slovenskej republiky</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Čl. I bodu 14</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2. V čl. I bod 14 navrhujeme upraviť takto: „... slová „§ 8“ nahrádzajú slovami „§ 4“...“ resp. „...číslo „8“ nahrádza číslom „4“...“.</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MDSR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Ministerstvo dopravy Slovenskej republiky</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Čl. I bodu 16</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3. V čl. I bode 16 navrhujeme upraviť takto: „16. V § 5 ods. 4 sa na konci pripájajú tieto vety:“ a v piatej vete navrhujeme slová „musia byť uvedené“ nahradiť slovami „sa musia uviesť“.</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MDSR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Ministerstvo dopravy Slovenskej republiky</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Čl. I bodu 21</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4. V čl. I bode 21 navrhujeme slová „ak tieto údaje už nie sú platobnej agentúre poskytnuté“ nahradiť slovami „ak sa tieto údaje už platobnej agentúre neposkytli“.</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N</w:t>
            </w:r>
          </w:p>
        </w:tc>
        <w:tc>
          <w:tcPr>
            <w:tcW w:w="3333" w:type="dxa"/>
          </w:tcPr>
          <w:p w:rsidR="00F07B1F" w:rsidRPr="003A2894" w:rsidRDefault="00C72E42" w:rsidP="003A2894">
            <w:pPr>
              <w:spacing w:after="0" w:line="240" w:lineRule="auto"/>
            </w:pPr>
            <w:r w:rsidRPr="003A2894">
              <w:rPr>
                <w:rFonts w:ascii="Times New Roman" w:eastAsia="Times New Roman" w:hAnsi="Times New Roman" w:cs="Times New Roman"/>
                <w:sz w:val="24"/>
              </w:rPr>
              <w:t>Preberá sa formulácia používaná v ostatných aproximačných nariadeniach vlády SR v oblasti Spoločnej poľnohospodárskej politiky EÚ.</w:t>
            </w: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MDSR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Ministerstvo dopravy Slovenskej republiky</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Čl. I bodu 22</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5. V čl. I bode 22 navrhujeme za slovo „pripája“ vložiť slovo „toto“ a za slovo „slovo“ umiestniť dvojbodku.</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MDSR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Ministerstvo dopravy Slovenskej republiky</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Čl. I bodu 26</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6. V čl. I bode 26 v § 8a ods. 2 navrhujeme uviesť  v akom znení (účinnom od / do) sa má § 4 ods. 13 na mysli, keďže sa čl. I bodom 8 novelizuje.</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N</w:t>
            </w:r>
          </w:p>
        </w:tc>
        <w:tc>
          <w:tcPr>
            <w:tcW w:w="3333" w:type="dxa"/>
          </w:tcPr>
          <w:p w:rsidR="00F07B1F" w:rsidRPr="003A2894" w:rsidRDefault="00C72E42" w:rsidP="003A2894">
            <w:pPr>
              <w:spacing w:after="0" w:line="240" w:lineRule="auto"/>
            </w:pPr>
            <w:r w:rsidRPr="003A2894">
              <w:rPr>
                <w:rFonts w:ascii="Times New Roman" w:eastAsia="Times New Roman" w:hAnsi="Times New Roman" w:cs="Times New Roman"/>
                <w:sz w:val="24"/>
              </w:rPr>
              <w:t xml:space="preserve">Predkladateľ má za to, že v predmetnom ustanovení z odkazu na odsek 1 je zrejmé, že ide o znenie § 4 ods. 13 účinné podľa navrhovanej účinnosti novely. </w:t>
            </w: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MDSR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Ministerstvo dopravy Slovenskej republiky</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Čl. I bodu 26</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7. V čl. I bode 26 v § 8a ods. 4 navrhujeme za slovo „aj“ vložiť slovo „vtedy,“.</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MFSR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Ministerstvo financií Slovenskej republiky</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Celému materiálu</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Návrh je potrebné zosúladiť s prílohou č. 1 Legislatívnych pravidiel vlády SR (napríklad v            čl. I bode 8 § 4 ods. 13 spresniť slová „od uplynutia tejto lehoty“, aby bolo zrejmé o akú lehotu ide, v bode 10 poznámke pod čiarou k odkazu 32a na konci za slovo „predpisov“ vložiť slová „v znení zákona č. 247/2024 Z. z.“, v bode 14 slová „číslica „8“ nahrádza číslicou „4““ nahradiť slovami „slová „§ 8“ nahrádzajú slovami „§ 4““, v bode 16 úvodnú vetu preformulovať takto: „16. V § 5 ods. 4 sa na konci pripájajú tieto vety:“, v § 5 ods. 4 prvej vete slová „alebo o finančné“ nahradiť slovami „alebo žiadosti o finančné“, v bode 21 slová „slová „ak je právnickou osobou““ nahradiť slovami „vypúšťa čiarka a slová „ak je právnickou osobou“ sa“, v bode 22 slová „pripája slovo“ nahradiť slovami „čiarka nahrádza slovom“, v bode 27 prílohe č. 1 tabuľkách č. 1 až 4 slovo „eur“ nahradiť slovami „v eurách“, v tabuľkách č. 1 a 3 za slovo „nanovo“ doplniť chýbajúcu jednotku množstva (napr. ks/ha), tak ako je to uvedené v platnom nariadení vlády).</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ČA</w:t>
            </w:r>
          </w:p>
        </w:tc>
        <w:tc>
          <w:tcPr>
            <w:tcW w:w="3333" w:type="dxa"/>
          </w:tcPr>
          <w:p w:rsidR="00F07B1F" w:rsidRPr="003A2894" w:rsidRDefault="00C72E42" w:rsidP="003A2894">
            <w:pPr>
              <w:spacing w:after="0" w:line="240" w:lineRule="auto"/>
            </w:pPr>
            <w:r w:rsidRPr="003A2894">
              <w:rPr>
                <w:rFonts w:ascii="Times New Roman" w:eastAsia="Times New Roman" w:hAnsi="Times New Roman" w:cs="Times New Roman"/>
                <w:sz w:val="24"/>
              </w:rPr>
              <w:t>Niektoré pripomienky neboli akceptované z dôvodu uprednostnenia legislatívnej techniky navrhovanej ostatnými pripomienkujúcimi subjektmi alebo uprednostnenia pôvodne navrhovanej legislatívnej techniky. K bodu 27 – tabuľky č. 1 až 4 – slová „v eurách“ doplnené podľa pripomienky namiesto poznámky „[eur]“. V tabuľkách č. 1 a 3 je však hustota aj s jej jednotkou vyjadrená slovne formuláciou „Priemerná hustota, v ktorej je nový vinič vysadený na jednom hektári vinohradu“. Je teda zrejmé, že ide o priemerný počet nových rastlín viniča vysadený na jednom hektári vinohradu, teda jednotka ks/ha, akurát vyjadrená slovne.</w:t>
            </w: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MHSR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Ministerstvo hospodárstva Slovenskej republiky</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doložke vybraných vplyvov:</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Odporúčame predkladateľovi v bode 13. Doložky vybraných vplyvov doplniť číslo Stanoviska Komisie na posudzovanie vybraných vplyvov z PPK.</w:t>
            </w:r>
            <w:r w:rsidRPr="003A2894">
              <w:rPr>
                <w:rFonts w:ascii="Times New Roman" w:eastAsia="Times New Roman" w:hAnsi="Times New Roman" w:cs="Times New Roman"/>
                <w:sz w:val="24"/>
              </w:rPr>
              <w:br/>
              <w:t>Odôvodnenie: Uvedenie bodu 13. Stanovisko Komisie na posudzovanie vybraných vplyvov z PPK, ktorého číslo je podstatná informácia pre vyhľadanie príslušného materiálu v procese.</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MINCRS</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Ministerstvo cestovného ruchu a športu Slovenskej republiky</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Čl. I bodu 8</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Odporúčame v § 4 ods. 13 za slová „9 a10“ vložiť čiarku a slová „od uplynutia tejto lehoty“ odporúčame preformulovať, vzhľadom na to, že nie je jasné k čomu sa tieto slová viažu a uplynutie ktorej lehoty je tu rozhodujúce.</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C72E42" w:rsidP="003A2894">
            <w:pPr>
              <w:spacing w:after="0" w:line="240" w:lineRule="auto"/>
            </w:pPr>
            <w:r w:rsidRPr="003A2894">
              <w:rPr>
                <w:rFonts w:ascii="Times New Roman" w:eastAsia="Times New Roman" w:hAnsi="Times New Roman" w:cs="Times New Roman"/>
                <w:sz w:val="24"/>
              </w:rPr>
              <w:t>Pozn.: Znenie ustanovenia je navrhnuté tak, aby uvádzalo len jednu lehotu, a to lehotu ustanovenú samotným novelizovaným nariadením vlády na ukončenie daného podporného opatrenia v SR. Čiže aj formulácia „od uplynutia tejto lehoty“ odkazuje stále na tú istú lehotu, a to lehotu na dokončenie príslušného podporného opatrenia v SR.</w:t>
            </w:r>
            <w:r w:rsidRPr="003A2894">
              <w:rPr>
                <w:rFonts w:ascii="Times New Roman" w:eastAsia="Times New Roman" w:hAnsi="Times New Roman" w:cs="Times New Roman"/>
                <w:sz w:val="24"/>
              </w:rPr>
              <w:br/>
              <w:t>Toto ustanovenie by bolo možné navrhnúť aj tak, že by uvádzalo dva typy lehôt, a to vyššie spomenutú lehotu na ukončenie daného podporného opatrenia v SR, a lehotu na zaslanie písomného oznámenia o tomto jeho ukončení platobnej agentúre, avšak práve takýto variant by mohol pôsobiť neprehľadne. Preto bol vybraný tento variant ustanovenia, ktorý konzistentne pracuje len s lehotou na ukončenie podporného opatrenia v SR, pričom lehota na zaslanie písomného oznámenia o ukončení tohto podporného opatrenia v SR platobnej agentúre je ukrytá vo formulácii „nezašle platobnej agentúre písomné oznámenie o ukončení jeho vykonávania podľa § 5 ods. 3 písm. b), ods. 9 písm. b) alebo ods. 13“, ktorej začiatok plynutia je podľa tohto ustanovenia naviazaný práve na uplynutie lehoty na ukončenie tohto podporného opatrenia v SR, nie na jeho prípadné skoršie ukončenie.</w:t>
            </w:r>
            <w:r w:rsidRPr="003A2894">
              <w:rPr>
                <w:rFonts w:ascii="Times New Roman" w:eastAsia="Times New Roman" w:hAnsi="Times New Roman" w:cs="Times New Roman"/>
                <w:sz w:val="24"/>
              </w:rPr>
              <w:br/>
              <w:t>Na koniec tohto ustanovenia sa explicitne dopĺňa, že ide o lehotu na ukončenie vykonávania daného podporného opatrenia v SR.</w:t>
            </w: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MINCRS</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Ministerstvo cestovného ruchu a športu Slovenskej republiky</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Čl. I bodu 14</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Odporúčame slovo „číslica“ nahradiť slovom „číslo“ v príslušnom gramatickom tvare, alebo slová „číslica „8“ nahrádza číslicou „4““ nahradiť slovami „slová „ods. 8“ nahrádzajú slovami „ods. 4““.</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MINCRS</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Ministerstvo cestovného ruchu a športu Slovenskej republiky</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Čl. I bodu 22</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Odporúčame za slovo „pripája“ vložiť slovo „toto“ a za slovo „slovo“ vložiť dvojbodku, a to v súlade s bodom 35.2. prílohy č. 1 k Legislatívnym pravidlám vlády SR.</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MSSR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Ministerstvo spravodlivosti Slovenskej republiky</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Všeobecne</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Navrhujeme prepracovať dôvodovú správu z dôvodu jej ťažšej zrozumiteľnosti po obsahovej aj gramatickej stránke. V bode 16 navrhujeme v novelizačnej vete vypustiť slovo „sa“ z dôvodu duplicity.</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ČA</w:t>
            </w:r>
          </w:p>
        </w:tc>
        <w:tc>
          <w:tcPr>
            <w:tcW w:w="3333" w:type="dxa"/>
          </w:tcPr>
          <w:p w:rsidR="00F07B1F" w:rsidRPr="003A2894" w:rsidRDefault="00C72E42" w:rsidP="003A2894">
            <w:pPr>
              <w:spacing w:after="0" w:line="240" w:lineRule="auto"/>
            </w:pPr>
            <w:r w:rsidRPr="003A2894">
              <w:rPr>
                <w:rFonts w:ascii="Times New Roman" w:eastAsia="Times New Roman" w:hAnsi="Times New Roman" w:cs="Times New Roman"/>
                <w:sz w:val="24"/>
              </w:rPr>
              <w:t>Duplicita v čl. I ods. 16 odstránená podľa pripomienky. Dôvodová správa k navrhovanému nariadeniu vlády je podrobná. Pripomienku k jej zneniu by bolo možné vyhodnotiť, ak by bola formulovaná konkrétne, vo vzťahu ku konkrétnej časti textu.</w:t>
            </w: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OAPSVLÚVSR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Odbor aproximácie práva sekcie vládnej legislatívy Úradu vlády SR</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predkladacej správe</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1. Žiadame v druhom odseku predkladacej správy vykonávacie rozhodnutie (EÚ) 2023/1408 citovať nasledovne: vykonávacie rozhodnutie Komisie (EÚ) 2023/1408 z 3. júla 2023, ktorým sa z financovania Európskou úniou vylučujú určité výdavky vynaložené členskými štátmi v rámci Európskeho poľnohospodárskeho záručného fondu (EPZF) a v rámci Európskeho poľnohospodárskeho fondu pre rozvoj vidieka (EPFRV) [oznámené pod číslom C(2023) 3494] (Ú. v. EÚ L 170, 5.7.2023) a až následne používať skrátenú citáciu.</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OAPSVLÚVSR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Odbor aproximácie práva sekcie vládnej legislatívy Úradu vlády SR</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predkladacej správe</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2. Žiadame vykonávacie nariadenie (EÚ) 2016/1150 v platnom znení citovať nasledovne:</w:t>
            </w:r>
            <w:r w:rsidRPr="003A2894">
              <w:rPr>
                <w:rFonts w:ascii="Times New Roman" w:eastAsia="Times New Roman" w:hAnsi="Times New Roman" w:cs="Times New Roman"/>
                <w:sz w:val="24"/>
              </w:rPr>
              <w:br/>
              <w:t>vykonávacie nariadenie Komisie (EÚ) 2016/1150 z 15. apríla 2016 , ktorým sa stanovujú pravidlá uplatňovania nariadenia Európskeho parlamentu a Rady (EÚ) č. 1308/2013 pokiaľ ide o vnútroštátne podporné programy v sektore vinohradníctva a vinárstva (Ú. v. EÚ L 190, 15.7.2016) v platnom znení.</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OAPSVLÚVSR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Odbor aproximácie práva sekcie vládnej legislatívy Úradu vlády SR</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predkladacej správe</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3. Žiadame nariadenie (EÚ,Euratom) 2018/1046 v platnom znení citovať nasledovne: nariadenie Európskeho parlamentu a Rady (EÚ, Euratom)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(Ú. v. EÚ L 193, 30.7.2018) v platnom znení.</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N</w:t>
            </w:r>
          </w:p>
        </w:tc>
        <w:tc>
          <w:tcPr>
            <w:tcW w:w="3333" w:type="dxa"/>
          </w:tcPr>
          <w:p w:rsidR="00F07B1F" w:rsidRPr="003A2894" w:rsidRDefault="00C72E42" w:rsidP="003A2894">
            <w:pPr>
              <w:spacing w:after="0" w:line="240" w:lineRule="auto"/>
            </w:pPr>
            <w:r w:rsidRPr="003A2894">
              <w:rPr>
                <w:rFonts w:ascii="Times New Roman" w:eastAsia="Times New Roman" w:hAnsi="Times New Roman" w:cs="Times New Roman"/>
                <w:sz w:val="24"/>
              </w:rPr>
              <w:t xml:space="preserve">Po úprave predkladacej správy bola citácia predmetného nariadenia vypustená. </w:t>
            </w: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OAPSVLÚVSR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Odbor aproximácie práva sekcie vládnej legislatívy Úradu vlády SR</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predkladacej správe</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4. Žiadame nariadenie (EÚ, Euratom) 2024/2509 citovať nasledovne: nariadenie Európskeho parlamentu a Rady (EÚ, Euratom) 2024/2509 z 23. septembra 2024 o rozpočtových pravidlách, ktoré sa vzťahujú na všeobecný rozpočet Únie (Ú. v. EÚ L, 2024/2509, 26.9.2024).</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OAPSVLÚVSR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Odbor aproximácie práva sekcie vládnej legislatívy Úradu vlády SR</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všeobecnej časti dôvodovej správy</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1. Žiadame Zmluvu o fungovaní Európskej únie citovať bez dodatku ,,v platnom znení“.</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OAPSVLÚVSR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Odbor aproximácie práva sekcie vládnej legislatívy Úradu vlády SR</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všeobecnej časti dôvodovej správy</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2. Žiadame nariadenie (EÚ) č. 1308/2013 citovať s dodatkom ,,v platnom znení“ a upraviť publikačný zdroj nasledovne: (Ú. v. EÚ L 347, 20.12.2013).</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ČA</w:t>
            </w:r>
          </w:p>
        </w:tc>
        <w:tc>
          <w:tcPr>
            <w:tcW w:w="3333" w:type="dxa"/>
          </w:tcPr>
          <w:p w:rsidR="00F07B1F" w:rsidRPr="003A2894" w:rsidRDefault="00C72E42" w:rsidP="003A2894">
            <w:pPr>
              <w:spacing w:after="0" w:line="240" w:lineRule="auto"/>
            </w:pPr>
            <w:r w:rsidRPr="003A2894">
              <w:rPr>
                <w:rFonts w:ascii="Times New Roman" w:eastAsia="Times New Roman" w:hAnsi="Times New Roman" w:cs="Times New Roman"/>
                <w:sz w:val="24"/>
              </w:rPr>
              <w:t>V súvislosti s pripomienkou OAPSVLÚVSR k odvolávaniu sa na články nariadenia (EÚ) č. 1308/2013, ktoré už nie sú účinné a k nej uvedenému zdôvodneniu, predkladateľ nemôže v každom jednotlivom prípade použiť dodatok v platnom znení.</w:t>
            </w: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OAPSVLÚVSR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Odbor aproximácie práva sekcie vládnej legislatívy Úradu vlády SR</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všeobecnej časti dôvodovej správy</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3. Žiadame vykonávacie rozhodnutie (EÚ) 2023/1408 citovať spolu s publikačným zdrojom.</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OAPSVLÚVSR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Odbor aproximácie práva sekcie vládnej legislatívy Úradu vlády SR</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všeobecnej časti dôvodovej správy</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4. Žiadame vykonávacie nariadenie (EÚ) 2016/1150 citovať s dodatkom ,,v platnom znení“ a upraviť publikačný zdroj nasledovne: (Ú. v. EÚ L 190, 15.7.2016) .</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OAPSVLÚVSR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Odbor aproximácie práva sekcie vládnej legislatívy Úradu vlády SR</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všeobecnej časti dôvodovej správy</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5. Žiadame nariadenie (EÚ,Euratom) 2018/1046 citovať s dodatkom ,,v platnom znení“.</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OAPSVLÚVSR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Odbor aproximácie práva sekcie vládnej legislatívy Úradu vlády SR</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všeobecnej časti dôvodovej správy</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6. Žiadame publikačný zdroj nariadenia (EÚ,Euroatom) 2024/2509 upraviť nasledovne: (Ú. v. EÚ L, 2024/2509, 26.9.2024).</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OAPSVLÚVSR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Odbor aproximácie práva sekcie vládnej legislatívy Úradu vlády SR</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osobitnej časti dôvodovej správy</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1. Predkladateľ sa pri viacerých novelizačných bodoch odvoláva na nariadenia EÚ, resp. na ich články, ktoré už nie sú účinné. Žiadame zdôvodniť aspoň vo všeobecnosti v dôvodovej správe na základe čoho predkladateľ odôvodňuje novú právnu úpravu už neúčinnými nariadeniami EÚ.</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C72E42" w:rsidP="003A2894">
            <w:pPr>
              <w:spacing w:after="0" w:line="240" w:lineRule="auto"/>
            </w:pPr>
            <w:r w:rsidRPr="003A2894">
              <w:rPr>
                <w:rFonts w:ascii="Times New Roman" w:eastAsia="Times New Roman" w:hAnsi="Times New Roman" w:cs="Times New Roman"/>
                <w:sz w:val="24"/>
              </w:rPr>
              <w:t xml:space="preserve">Vysvetlenie je obsiahnuté v predposlednom odstavci dôvodovej správy, vypracovanej k čl. II novelizovaného nariadenia vlády: </w:t>
            </w:r>
            <w:r w:rsidRPr="003A2894">
              <w:rPr>
                <w:rFonts w:ascii="Times New Roman" w:eastAsia="Times New Roman" w:hAnsi="Times New Roman" w:cs="Times New Roman"/>
                <w:sz w:val="24"/>
              </w:rPr>
              <w:br/>
              <w:t>„Navrhované nariadenie vlády má podľa svojej doložky vplyvov a analýzy vplyvov negatívny vplyv na podnikateľské prostredie, pričom sa zároveň jedná o návrh aproximačného nariadenia vlády v zmysle § 1 zákona č. 19/2002 Z. z., ktorým sa ustanovujú podmienky vydávania aproximačných nariadení vlády Slovenskej republiky, ktoré sa vydáva hlavne na vykonanie nariadenia (EÚ) č. 1308/2013 v znení uplatňovanom do 31.12.2022, a naďalej uplatňovanom na základe čl. 5 ods. 7 nariadenia Európskeho parlamentu a Rady (EÚ) 2021/2117 z 2. decembra 2021, ktorým sa mení nariadenie (EÚ) č. 1308/2013, ktorým sa vytvára spoločná organizácia trhov s poľnohospodárskymi výrobkami, nariadenie (EÚ) č. 1151/2012 o systémoch kvality pre poľnohospodárske výrobky a potraviny, nariadenie (EÚ) č. 251/2014 o vymedzení, opise, obchodnej úprave, označovaní a ochrane zemepisných označení aromatizovaných vínnych výrobkov a nariadenie (EÚ) č. 228/2013 o osobitných opatreniach v oblasti poľnohospodárstva v prospech najvzdialenejších regiónov Únie (Ú. v. ES L 435 6.12.2021), a na vykonanie právne záväzných aktov Európskej únie prijatých na základe právomoci ustanovenej týmto nariadením (EÚ) v znení uplatňovanom do 31.12.2022, hlavne delegovaného nariadenia (EÚ) 2016/1149 v platnom znení a vykonávacieho nariadenia (EÚ) 2016/1150 v platnom znení, ktoré sa uplatňujú už dávno.“.</w:t>
            </w:r>
            <w:r w:rsidRPr="003A2894">
              <w:rPr>
                <w:rFonts w:ascii="Times New Roman" w:eastAsia="Times New Roman" w:hAnsi="Times New Roman" w:cs="Times New Roman"/>
                <w:sz w:val="24"/>
              </w:rPr>
              <w:br/>
            </w:r>
            <w:r w:rsidRPr="003A2894">
              <w:rPr>
                <w:rFonts w:ascii="Times New Roman" w:eastAsia="Times New Roman" w:hAnsi="Times New Roman" w:cs="Times New Roman"/>
                <w:sz w:val="24"/>
              </w:rPr>
              <w:br/>
              <w:t>Novelizované nariadenie vlády sa teda vydáva na vykonanie nariadenia (EÚ) č. 1308/2013 v znení uplatňovanom do 31.12.2022, a naďalej uplatňovanom na základe čl. 5 ods. 7 nariadenia (EÚ) 2021/2117. Celé novelizované nariadenie vlády totiž upravuje podmienky poskytovania podpory v SR na podporné opatrenia v SR, teda podmienky poskytovania podpory na podporné patrenia na základe režimu ustanoveného v už zrušených článkoch 39 až 52 nariadenia (EÚ) č. 1308/2013, ktoré sa však naďalej uplatňujú aj po dátume 31.12.2022 podľa čl. 5 ods. 7 nariadenia (EÚ) 2021/2117.</w:t>
            </w: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OAPSVLÚVSR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Odbor aproximácie práva sekcie vládnej legislatívy Úradu vlády SR</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osobitnej časti dôvodovej správy</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2. Žiadame nariadenie (EÚ) č. 1308/2013 citovať s dodatkom ,,v platnom znení“.</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ČA</w:t>
            </w:r>
          </w:p>
        </w:tc>
        <w:tc>
          <w:tcPr>
            <w:tcW w:w="3333" w:type="dxa"/>
          </w:tcPr>
          <w:p w:rsidR="00F07B1F" w:rsidRPr="003A2894" w:rsidRDefault="00C72E42" w:rsidP="003A2894">
            <w:pPr>
              <w:spacing w:after="0" w:line="240" w:lineRule="auto"/>
            </w:pPr>
            <w:r w:rsidRPr="003A2894">
              <w:rPr>
                <w:rFonts w:ascii="Times New Roman" w:eastAsia="Times New Roman" w:hAnsi="Times New Roman" w:cs="Times New Roman"/>
                <w:sz w:val="24"/>
              </w:rPr>
              <w:t>V súvislosti s pripomienkou OAPSVLÚVSR k odvolávaniu sa na články nariadenia (EÚ) č. 1308/2013, ktoré už nie sú účinné a k nej uvedenému zdôvodneniu, predkladateľ nemôže v každom jednotlivom prípade použiť dodatok v platnom znení.</w:t>
            </w: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OAPSVLÚVSR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Odbor aproximácie práva sekcie vládnej legislatívy Úradu vlády SR</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osobitnej časti dôvodovej správy</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3. Žiadame nariadenie (EÚ) 2016/1150 citovať s dodatkom ,,v platnom znení“.</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OAPSVLÚVSR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Odbor aproximácie práva sekcie vládnej legislatívy Úradu vlády SR</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osobitnej časti dôvodovej správy</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Žiadame nariadenie (EÚ, Euratom) 2018/1046 citovať s dodatkom ,,v platnom znení“.</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OAPSVLÚVSR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Odbor aproximácie práva sekcie vládnej legislatívy Úradu vlády SR</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osobitnej časti dôvodovej správy</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5. Žiadame nariadenie (EÚ) č. 228/2013 citovať s dodatkom ,,v platnom znení“ a upraviť publikačný zdroj nasledovne: (Ú. v. EÚ L 435 6.12.2021).</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OAPSVLÚVSR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Odbor aproximácie práva sekcie vládnej legislatívy Úradu vlády SR</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doložke zlučiteľnosti</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1. Žiadame publikačný zdroj vykonávacieho nariadenia (EÚ) 2016/1150 v platnom znení citovať nasledovne: (Ú. v. EÚ L 190, 15.7.2016). Pripomienku uplatňujeme aj k doložke vybraných vplyvov a k osobitnej časti dôvodovej správy.</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F07B1F" w:rsidP="003A2894">
            <w:pPr>
              <w:spacing w:after="0" w:line="240" w:lineRule="auto"/>
            </w:pP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ŠÚSR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Štatistický úrad Slovenskej republiky</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Čl. I nad rámec návrh novely</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Odporúčame v § 6 ods. 5 v písm. f) [v budúcom znení písm. e)] zmeniť vzájomne poradie slov "medzinárodného" a "bankového". Ide o terminologickú pripomienku.</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N</w:t>
            </w:r>
          </w:p>
        </w:tc>
        <w:tc>
          <w:tcPr>
            <w:tcW w:w="3333" w:type="dxa"/>
          </w:tcPr>
          <w:p w:rsidR="00F07B1F" w:rsidRPr="003A2894" w:rsidRDefault="00C72E42" w:rsidP="003A2894">
            <w:pPr>
              <w:spacing w:after="0" w:line="240" w:lineRule="auto"/>
            </w:pPr>
            <w:r w:rsidRPr="003A2894">
              <w:rPr>
                <w:rFonts w:ascii="Times New Roman" w:eastAsia="Times New Roman" w:hAnsi="Times New Roman" w:cs="Times New Roman"/>
                <w:sz w:val="24"/>
              </w:rPr>
              <w:t>Ako vyplýva zo znenia samotnej pripomienky, ide o návrh nad rámec novely, ktorý nie je nevyhnutným.</w:t>
            </w: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Úrad vlády Slovenskej republiky</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Z</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novelizačnému bodu 16</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V tomto novelizačnom bode sa do § 5 ods.4 dopĺňajú vety ukladajúce žiadateľovi o podporu v každom roku, v ktorom sa reštrukturalizácia vinohradu alebo konverzia vinohradu vykonáva ako aj v každom z troch nasledujúcich rokov po poskytnutí podpory, povinnosť zasielať Pôdohospodárskej platobnej agentúre príslušný grafický materiál formuláru geopriestorovej žiadosti. Z rozsiahleho odôvodnenia tejto navrhovanej zmeny uvedeného v osobitnej časti dôvodovej správy sa dá vyvodiť, že túto zmenu si vyžiadalo to, že v predchádzajúcom programovom období bola takáto povinnosť uložená priamo komunitárnou legislatívou a to čl. 67 nariadenia Európskeho parlamentu a Rady (EÚ) 2013/1306, ktoré bolo zrušené. Zároveň však z dôvodovej správy nie je zrejmé, o aké ustanovenie nariadení Európskeho parlamentu a Rady EÚ 2021/2115 resp. 20212/2016 predkladateľ uloženie takejto povinnosti opiera. Preto žiadame v tomto smere upresniť dôvodovú správu resp. ak ide o návrh ustanovenia, ktorý má charakter gold-platingu odôvodniť jeho nevyhnutnosť.</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A</w:t>
            </w:r>
          </w:p>
        </w:tc>
        <w:tc>
          <w:tcPr>
            <w:tcW w:w="3333" w:type="dxa"/>
          </w:tcPr>
          <w:p w:rsidR="00F07B1F" w:rsidRPr="003A2894" w:rsidRDefault="00C72E42" w:rsidP="003A2894">
            <w:pPr>
              <w:spacing w:after="0" w:line="240" w:lineRule="auto"/>
            </w:pPr>
            <w:r w:rsidRPr="003A2894">
              <w:rPr>
                <w:rFonts w:ascii="Times New Roman" w:eastAsia="Times New Roman" w:hAnsi="Times New Roman" w:cs="Times New Roman"/>
                <w:sz w:val="24"/>
              </w:rPr>
              <w:t>Nejedná sa o zavádzanie novej povinnosti, ktorej plnenie by podmieňovalo možnosť čerpať podporu v SR na reštrukturalizáciu alebo konverziu vinohradov. Ako je uvedené v osobitnej časti dôvodovej správy, základom pre zavádzanie tejto povinnosti každoročného zasielania grafického materiálu v zmysle čl. 5 ods. 2 vykonávacieho nariadenia (EÚ) 2022/1173 formuláru geopriestorovej žiadosti podľa čl. 65 ods. 4 písm. a) nariadenia (EÚ) 2021/2116, aj keď by sa týmto formulárom žiadosť o podporovanie novej SPP na intervencie na plochu uvedené v hlave III kapitole II alebo kapitole IV nariadenia (EÚ) 2021/2115 v danom prípade nepodávala, je ustanovenie článku 67 ods. 3 nariadenia (EÚ) č. 1306/2013, podľa ktorého sa integrovaný administratívny a kontrolný systém musí v nevyhnutnej miere uplatňovať aj na kontrolu krížového plnenia, ktoré sa vzťahuje aj na prijímateľov podpory na reštrukturalizáciu alebo konverziu vinohradov alebo na zelený zber.</w:t>
            </w:r>
            <w:r w:rsidRPr="003A2894">
              <w:rPr>
                <w:rFonts w:ascii="Times New Roman" w:eastAsia="Times New Roman" w:hAnsi="Times New Roman" w:cs="Times New Roman"/>
                <w:sz w:val="24"/>
              </w:rPr>
              <w:br/>
              <w:t>Vďaka obsahu tohto grafického materiálu sa totiž do integrovaného administratívneho a kontrolného systému dostanú aktuálne informácie o poľnohospodárskych pozemkoch vo význame podľa čl. 65 ods. 4 písm. d) nariadenia (EÚ) 2021/2116 poľnohospodárskeho podniku príslušných prijímateľov podpory v SR na reštrukturalizáciu alebo konverziu vinohradov, a tak u týchto prijímateľov bude možné vykonávať kontrolu dodržiavania pravidiel krížového plnenia.</w:t>
            </w:r>
            <w:r w:rsidRPr="003A2894">
              <w:rPr>
                <w:rFonts w:ascii="Times New Roman" w:eastAsia="Times New Roman" w:hAnsi="Times New Roman" w:cs="Times New Roman"/>
                <w:sz w:val="24"/>
              </w:rPr>
              <w:br/>
            </w:r>
            <w:r w:rsidRPr="003A2894">
              <w:rPr>
                <w:rFonts w:ascii="Times New Roman" w:eastAsia="Times New Roman" w:hAnsi="Times New Roman" w:cs="Times New Roman"/>
                <w:sz w:val="24"/>
              </w:rPr>
              <w:br/>
              <w:t>Jediný rozdiel je teda v tom, že do 31.12.2022 sa tieto informácie do integrovaného administratívneho a kontrolného systému nedostávali z grafického materiálu v zmysle čl. 5 ods. 2 vykonávacieho nariadenia (EÚ) 2022/1173 formuláru geopriestorovej žiadosti podľa čl. 65 ods. 4 písm. a) nariadenia (EÚ) 2021/2116, ale zo žiadosti o priamu platbu alebo o platbu za príslušnú plochu v zmysle čl. 67 ods. 2 nariadenia (EÚ) č. 1306/2013, ktorú boli prijímatelia týchto platieb podľa čl. 72 nariadenia (EÚ) č. 1306/2013 povinní predkladať každoročne. Toto povinné každoročné predkladanie však už pre žiadosti o podporovanie novej SPP na intervencie na plochu uvedené v hlave III kapitole II alebo kapitole IV nariadenia (EÚ) 2021/2115 neplatí.</w:t>
            </w:r>
            <w:r w:rsidRPr="003A2894">
              <w:rPr>
                <w:rFonts w:ascii="Times New Roman" w:eastAsia="Times New Roman" w:hAnsi="Times New Roman" w:cs="Times New Roman"/>
                <w:sz w:val="24"/>
              </w:rPr>
              <w:br/>
              <w:t>Ani režim žiadostí o priamu platbu alebo o platbu za príslušnú plochu v zmysle čl. 67 ods. 2 nariadenia (EÚ) č. 1306/2013 do 31.12.2022, ani režim žiadostí o podporovanie novej SPP na intervencie na plochu uvedené v hlave III kapitole II alebo kapitole IV nariadenia (EÚ) 2021/2115 od 01.01.2023, však neustanovujú ani neustanovovali povinnosť podávať takúto žiadosť osobe, ktorá nie je prijímateľom týchto platieb alebo tohto podporovania novej SPP.</w:t>
            </w:r>
            <w:r w:rsidRPr="003A2894">
              <w:rPr>
                <w:rFonts w:ascii="Times New Roman" w:eastAsia="Times New Roman" w:hAnsi="Times New Roman" w:cs="Times New Roman"/>
                <w:sz w:val="24"/>
              </w:rPr>
              <w:br/>
            </w:r>
            <w:r w:rsidRPr="003A2894">
              <w:rPr>
                <w:rFonts w:ascii="Times New Roman" w:eastAsia="Times New Roman" w:hAnsi="Times New Roman" w:cs="Times New Roman"/>
                <w:sz w:val="24"/>
              </w:rPr>
              <w:br/>
              <w:t>Už novelizované nariadenie vlády teda túto povinnosť rozširovalo na prijímateľov podpory v SR na reštrukturalizáciu alebo konverziu vinohradov, korí zároveň neboli prijímateľmi priamych platieb alebo platieb za príslušnú plochu v zmysle čl. 67 ods. 2 nariadenia (EÚ) č. 1306/2013, a to práve s vyššie uvedeným cieľom získať informácie o poľnohospodárskych pozemkoch vo význame podľa čl. 67 ods. 4 písm. a) nariadenia (EÚ) č. 1306/2013 poľnohospodárskeho podniku týchto prijímateľov do integrovaného administratívneho a kontrolného systému za účelom vykonávania kontroly dodržiavania pravidiel krížového plnenia u týchto prijímateľov. Základom pre ustanovenie tejto povinnosti novelizovaným nariadením vlády bol článok 67 ods. 3 nariadenia (EÚ) č. 1306/2013, podľa ktorého sa integrovaný administratívny a kontrolný systém musí v nevyhnutnej miere uplatňovať aj na kontrolu krížového plnenia, ktoré sa vzťahuje aj na prijímateľov podpory na reštrukturalizáciu alebo konverziu vinohradov alebo na zelený zber. No a keďže tento článok sa podľa čl. 104 ods. 1 písm. a) bodu iii) nariadenia (EÚ) 2021/2116 naďalej uplatňuje na režim podpory na reštrukturalizáciu alebo konverziu vinohradov poskytovanej od 01.01.2023 na základe čl. 5 ods. 7 nariadenia (EÚ) 2021/2117, tak je základom aj pre ustanovenie obdobnej povinnosti týkajúcej sa každoročného zasielania grafického materiálu v zmysle čl. 5 ods. 2 vykonávacieho nariadenia (EÚ) 2022/1173 formuláru geopriestorovej žiadosti podľa čl. 65 ods. 4 písm. a) nariadenia (EÚ) 2021/2116. Opäť, s cieľom získať informácie o poľnohospodárskych pozemkoch vo význame podľa čl. 65 ods. 4 písm. d) nariadenia (EÚ) 2021/2116 poľnohospodárskeho podniku príslušných prijímateľov podpory v SR na reštrukturalizáciu alebo konverziu vinohradov do integrovaného administratívneho a kontrolného systému za účelom vykonávania kontroly dodržiavania pravidiel krížového plnenia u týchto prijímateľov.</w:t>
            </w:r>
            <w:r w:rsidRPr="003A2894">
              <w:rPr>
                <w:rFonts w:ascii="Times New Roman" w:eastAsia="Times New Roman" w:hAnsi="Times New Roman" w:cs="Times New Roman"/>
                <w:sz w:val="24"/>
              </w:rPr>
              <w:br/>
            </w:r>
            <w:r w:rsidRPr="003A2894">
              <w:rPr>
                <w:rFonts w:ascii="Times New Roman" w:eastAsia="Times New Roman" w:hAnsi="Times New Roman" w:cs="Times New Roman"/>
                <w:sz w:val="24"/>
              </w:rPr>
              <w:br/>
              <w:t>Nejedná sa teda o goldplating, ale o spôsob implementácie článku 67 ods. 3 nariadenia (EÚ) č. 1306/2013 v podmienkach Slovenskej republiky vo vzťahu k prijímateľom podpory v SR na reštrukturalizáciu alebo konverziu vinohradov.</w:t>
            </w:r>
            <w:r w:rsidRPr="003A2894">
              <w:rPr>
                <w:rFonts w:ascii="Times New Roman" w:eastAsia="Times New Roman" w:hAnsi="Times New Roman" w:cs="Times New Roman"/>
                <w:sz w:val="24"/>
              </w:rPr>
              <w:br/>
              <w:t>Rovnaký spôsob získavania informácií o poľnohospodárskych pozemkoch vo význame podľa čl. 65 ods. 4 písm. d) nariadenia (EÚ) 2021/2116 poľnohospodárskeho podniku príslušných prijímateľov podporovania novej SPP na reštrukturalizáciu vinohradov alebo konverziu vinohradov podľa čl. 58 ods. 1 písm. a) nariadenia (EÚ) 2021/2115 na území Slovenskej republiky do integrovaného administratívneho a kontrolného systému ustanovuje aj nariadenie vlády Slovenskej republiky č. 91/2024 Z. z., ktorým sa ustanovujú pravidlá poskytovania podpory na vykonávanie opatrení Strategického plánu spoločnej poľnohospodárskej politiky v sektore vinohradníctva a vinárstva.</w:t>
            </w:r>
            <w:r w:rsidRPr="003A2894">
              <w:rPr>
                <w:rFonts w:ascii="Times New Roman" w:eastAsia="Times New Roman" w:hAnsi="Times New Roman" w:cs="Times New Roman"/>
                <w:sz w:val="24"/>
              </w:rPr>
              <w:br/>
            </w:r>
            <w:r w:rsidRPr="003A2894">
              <w:rPr>
                <w:rFonts w:ascii="Times New Roman" w:eastAsia="Times New Roman" w:hAnsi="Times New Roman" w:cs="Times New Roman"/>
                <w:sz w:val="24"/>
              </w:rPr>
              <w:br/>
              <w:t>ÚV SR súhlasil s tým, že DS osobitná časť bude doplnená o vyššie uvedené zdôvodnenie.</w:t>
            </w: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Úrad vlády Slovenskej republiky</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dôvodovej správe</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Dôvodová správa k predloženému návrhu napriek tomu, že je rozsiahla, je do značnej miery nezrozumiteľná a nie vždy jednoznačne a jasne odôvodňuje dôvody navrhovanej zmeny celkovo ako aj v niektorých novelizačných bodoch. Čo sa týka všeobecnej časti dôvodovej správy táto má tri strany, z ktorých sa 90% rozsahu dotýka odôvodnenia novelizačného bodu 27 , obsahujúceho prílohu ustanovujúcu sumy podpory na reštrukturalizáciu vinohradu alebo na konverziu vinohradu. Napriek tomuto rozsahu je uvedené odôvodnenie veľmi ťažko čitateľné a zrozumiteľné. Je tam totiž jedna veta v rozsahu jeden a pol strany, obsahujúca množstvo odkazov na príslušnú komunitárnu legislatívu, avšak iba po viacnásobnom opakovanom prečítaní adresát zistí, že predkladateľ ňou chcel zrejme ozrejmiť v dôsledku čoho nebolo možné overiť, či paušálne výšky podpory ustanovené vo vnútroštátnej legislatíve platnej v roku 2017 boli adekvátne. Ďalej je takmer na jednu stranu obdobne ťažko zrozumiteľne odôvodnené prečo je sumy podpory na rekonštrukciu vinohradu alebo konverziu vinohradu potrebné znížiť, hoci je to veľmi konkrétne a rozsiahlo popísané v osobitnej časti dôvodovej správy k novelizačnému bodu 27.</w:t>
            </w:r>
            <w:r w:rsidRPr="003A2894">
              <w:rPr>
                <w:rFonts w:ascii="Times New Roman" w:eastAsia="Times New Roman" w:hAnsi="Times New Roman" w:cs="Times New Roman"/>
                <w:sz w:val="24"/>
              </w:rPr>
              <w:br/>
              <w:t>Nielen z hľadiska adresátov, ktorým je predmetné nariadenie určené ale aj s prihliadnutím na rozhodovaciu prax správnych súdov, ktoré dôvodové správy právnych predpisov používajú ako jeden z významných zdrojov ich rozhodovania, odporúčame dôvodovú správu k predloženému návrhu upraviť tak aby bola zrozumiteľnejšia a pokiaľ možno ju tiež zostručniť.</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ČA</w:t>
            </w:r>
          </w:p>
        </w:tc>
        <w:tc>
          <w:tcPr>
            <w:tcW w:w="3333" w:type="dxa"/>
          </w:tcPr>
          <w:p w:rsidR="00F07B1F" w:rsidRPr="003A2894" w:rsidRDefault="00C72E42" w:rsidP="003A2894">
            <w:pPr>
              <w:spacing w:after="0" w:line="240" w:lineRule="auto"/>
            </w:pPr>
            <w:r w:rsidRPr="003A2894">
              <w:rPr>
                <w:rFonts w:ascii="Times New Roman" w:eastAsia="Times New Roman" w:hAnsi="Times New Roman" w:cs="Times New Roman"/>
                <w:sz w:val="24"/>
              </w:rPr>
              <w:t>Druhý odstavec dôvodovej správy bol rozdelený do bodov a) a b), pričom bod b) bol ešte rozdelený na prvý a druhý bod.</w:t>
            </w:r>
          </w:p>
        </w:tc>
      </w:tr>
      <w:tr w:rsidR="003A2894" w:rsidRPr="003A2894" w:rsidTr="003A2894">
        <w:trPr>
          <w:trHeight w:val="648"/>
          <w:jc w:val="center"/>
        </w:trPr>
        <w:tc>
          <w:tcPr>
            <w:tcW w:w="1944" w:type="dxa"/>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ÚVSR</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Úrad vlády Slovenskej republiky</w:t>
            </w:r>
          </w:p>
        </w:tc>
        <w:tc>
          <w:tcPr>
            <w:tcW w:w="750"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O</w:t>
            </w:r>
          </w:p>
        </w:tc>
        <w:tc>
          <w:tcPr>
            <w:tcW w:w="6945" w:type="dxa"/>
          </w:tcPr>
          <w:p w:rsidR="00F07B1F" w:rsidRPr="003A2894" w:rsidRDefault="00C72E42" w:rsidP="003A2894">
            <w:pPr>
              <w:spacing w:after="0" w:line="240" w:lineRule="auto"/>
            </w:pPr>
            <w:r w:rsidRPr="003A2894">
              <w:rPr>
                <w:rFonts w:ascii="Times New Roman" w:eastAsia="Times New Roman" w:hAnsi="Times New Roman" w:cs="Times New Roman"/>
                <w:b/>
                <w:sz w:val="24"/>
              </w:rPr>
              <w:t>K novelizačnému bodu 1</w:t>
            </w:r>
            <w:r w:rsidRPr="003A2894">
              <w:rPr>
                <w:rFonts w:ascii="Times New Roman" w:eastAsia="Times New Roman" w:hAnsi="Times New Roman" w:cs="Times New Roman"/>
                <w:b/>
                <w:sz w:val="24"/>
              </w:rPr>
              <w:br/>
            </w:r>
            <w:r w:rsidRPr="003A2894">
              <w:rPr>
                <w:rFonts w:ascii="Times New Roman" w:eastAsia="Times New Roman" w:hAnsi="Times New Roman" w:cs="Times New Roman"/>
                <w:sz w:val="24"/>
              </w:rPr>
              <w:t>Navrhované vypustenie slov „ na pomoc sektoru vinohradníctva a vinárstva“ a nahradenie tohto slovného spojenia legislatívnou skratkou neodporúčame. Doterajší text zodpovedá legislatívne obvyklému vymedzeniu predmetu úpravy príslušného právneho predpisu. Už z jeho názvu vyplýva, že ide o právny predpis upravujúci poskytovanie podpory a financovania podporných opatrení na pomoc sektoru vinohradníctva a vinárstva. Navyše zmätočný v tomto smere je i príslušný bod osobitnej časti dôvodovej správy, podľa ktorého je doterajšie vymedzenie nadbytočné, pretože je to zároveň vyčerpávajúco popísané v predmete úpravy. Navrhovanou zmenou to však z predmetu úpravy má byť vypustené</w:t>
            </w:r>
          </w:p>
        </w:tc>
        <w:tc>
          <w:tcPr>
            <w:tcW w:w="778" w:type="dxa"/>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N</w:t>
            </w:r>
          </w:p>
        </w:tc>
        <w:tc>
          <w:tcPr>
            <w:tcW w:w="3333" w:type="dxa"/>
          </w:tcPr>
          <w:p w:rsidR="00F07B1F" w:rsidRPr="003A2894" w:rsidRDefault="00C72E42" w:rsidP="003A2894">
            <w:pPr>
              <w:spacing w:after="0" w:line="240" w:lineRule="auto"/>
            </w:pPr>
            <w:r w:rsidRPr="003A2894">
              <w:rPr>
                <w:rFonts w:ascii="Times New Roman" w:eastAsia="Times New Roman" w:hAnsi="Times New Roman" w:cs="Times New Roman"/>
                <w:sz w:val="24"/>
              </w:rPr>
              <w:t>V dôvodovej správe k tomuto bodu je uvedené: „Navrhovaným nariadením vlády sa tento popis len mierne upravuje tým, že sa z neho vypúšťajú slová „na pomoc sektoru vinohradníctva a vinárstva“, nakoľko význam týchto slov je už obsiahnutý vo vymedzení pojmu „podporné opatrenie“.“.</w:t>
            </w:r>
            <w:r w:rsidRPr="003A2894">
              <w:rPr>
                <w:rFonts w:ascii="Times New Roman" w:eastAsia="Times New Roman" w:hAnsi="Times New Roman" w:cs="Times New Roman"/>
                <w:sz w:val="24"/>
              </w:rPr>
              <w:br/>
              <w:t>Pojem podporné opatrenie je totiž vymedzený v § 2 ods. 1 písm. a) novelizovaného nariadenia vlády ako hneď prvý vymedzený pojem. Už v predvetí tohto ustanovenia sa uvádza, že podporným opatrením je podporné opatrenie na pomoc sektoru vinohradníctva a vinárstva. Preto sa navrhuje neopakovať túto formuláciu aj v predmete úpravy novelizovaného nariadenia vlády.</w:t>
            </w:r>
            <w:r w:rsidRPr="003A2894">
              <w:rPr>
                <w:rFonts w:ascii="Times New Roman" w:eastAsia="Times New Roman" w:hAnsi="Times New Roman" w:cs="Times New Roman"/>
                <w:sz w:val="24"/>
              </w:rPr>
              <w:br/>
              <w:t>Keďže však tento predmet úpravy obsahuje všetky podstatné charakteristiky „podpory“, navrhuje sa zaviesť už na tomto mieste legislatívnu skratku na pojem „podpora“.</w:t>
            </w:r>
          </w:p>
        </w:tc>
      </w:tr>
    </w:tbl>
    <w:p w:rsidR="000B2D78" w:rsidRPr="003A2894" w:rsidRDefault="000B2D78" w:rsidP="003A2894">
      <w:pPr>
        <w:spacing w:after="0" w:line="240" w:lineRule="auto"/>
        <w:rPr>
          <w:rFonts w:ascii="Times New Roman" w:hAnsi="Times New Roman" w:cs="Times New Roman"/>
        </w:rPr>
      </w:pPr>
    </w:p>
    <w:p w:rsidR="00E66622" w:rsidRPr="003A2894" w:rsidRDefault="00E66622" w:rsidP="003A2894">
      <w:pPr>
        <w:keepLines/>
        <w:spacing w:after="0" w:line="240" w:lineRule="auto"/>
        <w:rPr>
          <w:rFonts w:ascii="Times New Roman" w:hAnsi="Times New Roman" w:cs="Times New Roman"/>
        </w:rPr>
      </w:pPr>
      <w:r w:rsidRPr="003A2894">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3A2894" w:rsidRPr="003A2894" w:rsidTr="00343965">
        <w:trPr>
          <w:trHeight w:val="648"/>
          <w:jc w:val="center"/>
        </w:trPr>
        <w:tc>
          <w:tcPr>
            <w:tcW w:w="1944" w:type="dxa"/>
            <w:vAlign w:val="center"/>
          </w:tcPr>
          <w:p w:rsidR="000B16EA" w:rsidRPr="003A2894" w:rsidRDefault="000B16EA" w:rsidP="003A2894">
            <w:pPr>
              <w:keepLines/>
              <w:spacing w:after="0" w:line="240" w:lineRule="auto"/>
              <w:jc w:val="center"/>
              <w:rPr>
                <w:rFonts w:ascii="Times New Roman" w:hAnsi="Times New Roman" w:cs="Times New Roman"/>
                <w:b/>
                <w:bCs/>
                <w:sz w:val="24"/>
                <w:szCs w:val="24"/>
              </w:rPr>
            </w:pPr>
            <w:r w:rsidRPr="003A2894">
              <w:rPr>
                <w:rFonts w:ascii="Times New Roman" w:hAnsi="Times New Roman" w:cs="Times New Roman"/>
                <w:b/>
                <w:bCs/>
                <w:sz w:val="24"/>
                <w:szCs w:val="24"/>
              </w:rPr>
              <w:t>Subjekt</w:t>
            </w:r>
          </w:p>
        </w:tc>
        <w:tc>
          <w:tcPr>
            <w:tcW w:w="1296" w:type="dxa"/>
            <w:vAlign w:val="center"/>
          </w:tcPr>
          <w:p w:rsidR="000B16EA" w:rsidRPr="003A2894" w:rsidRDefault="000B16EA" w:rsidP="003A2894">
            <w:pPr>
              <w:keepLines/>
              <w:spacing w:after="0" w:line="240" w:lineRule="auto"/>
              <w:jc w:val="center"/>
              <w:rPr>
                <w:rFonts w:ascii="Times New Roman" w:hAnsi="Times New Roman" w:cs="Times New Roman"/>
                <w:b/>
                <w:bCs/>
                <w:sz w:val="24"/>
                <w:szCs w:val="24"/>
              </w:rPr>
            </w:pPr>
            <w:r w:rsidRPr="003A2894">
              <w:rPr>
                <w:rFonts w:ascii="Times New Roman" w:hAnsi="Times New Roman" w:cs="Times New Roman"/>
                <w:b/>
                <w:bCs/>
                <w:sz w:val="24"/>
                <w:szCs w:val="24"/>
              </w:rPr>
              <w:t>Podporo-</w:t>
            </w:r>
            <w:r w:rsidRPr="003A2894">
              <w:rPr>
                <w:rFonts w:ascii="Times New Roman" w:hAnsi="Times New Roman" w:cs="Times New Roman"/>
                <w:b/>
                <w:bCs/>
                <w:sz w:val="24"/>
                <w:szCs w:val="24"/>
              </w:rPr>
              <w:br/>
              <w:t>vatelia</w:t>
            </w:r>
          </w:p>
        </w:tc>
        <w:tc>
          <w:tcPr>
            <w:tcW w:w="6480" w:type="dxa"/>
            <w:vAlign w:val="center"/>
          </w:tcPr>
          <w:p w:rsidR="000B16EA" w:rsidRPr="003A2894" w:rsidRDefault="000B16EA" w:rsidP="003A2894">
            <w:pPr>
              <w:keepLines/>
              <w:spacing w:after="0" w:line="240" w:lineRule="auto"/>
              <w:jc w:val="center"/>
              <w:rPr>
                <w:rFonts w:ascii="Times New Roman" w:hAnsi="Times New Roman" w:cs="Times New Roman"/>
                <w:b/>
                <w:bCs/>
                <w:sz w:val="24"/>
                <w:szCs w:val="24"/>
              </w:rPr>
            </w:pPr>
            <w:r w:rsidRPr="003A2894">
              <w:rPr>
                <w:rFonts w:ascii="Times New Roman" w:hAnsi="Times New Roman" w:cs="Times New Roman"/>
                <w:b/>
                <w:bCs/>
                <w:sz w:val="24"/>
                <w:szCs w:val="24"/>
              </w:rPr>
              <w:t>Pripomienka</w:t>
            </w:r>
          </w:p>
        </w:tc>
        <w:tc>
          <w:tcPr>
            <w:tcW w:w="778" w:type="dxa"/>
            <w:vAlign w:val="center"/>
          </w:tcPr>
          <w:p w:rsidR="000B16EA" w:rsidRPr="003A2894" w:rsidRDefault="000B16EA" w:rsidP="003A2894">
            <w:pPr>
              <w:keepLines/>
              <w:spacing w:after="0" w:line="240" w:lineRule="auto"/>
              <w:jc w:val="center"/>
              <w:rPr>
                <w:rFonts w:ascii="Times New Roman" w:hAnsi="Times New Roman" w:cs="Times New Roman"/>
                <w:b/>
                <w:bCs/>
                <w:sz w:val="24"/>
                <w:szCs w:val="24"/>
              </w:rPr>
            </w:pPr>
            <w:r w:rsidRPr="003A2894">
              <w:rPr>
                <w:rFonts w:ascii="Times New Roman" w:hAnsi="Times New Roman" w:cs="Times New Roman"/>
                <w:b/>
                <w:bCs/>
                <w:sz w:val="24"/>
                <w:szCs w:val="24"/>
              </w:rPr>
              <w:t>Vyh.</w:t>
            </w:r>
          </w:p>
        </w:tc>
        <w:tc>
          <w:tcPr>
            <w:tcW w:w="2462" w:type="dxa"/>
            <w:vAlign w:val="center"/>
          </w:tcPr>
          <w:p w:rsidR="000B16EA" w:rsidRPr="003A2894" w:rsidRDefault="000B16EA" w:rsidP="003A2894">
            <w:pPr>
              <w:keepLines/>
              <w:spacing w:after="0" w:line="240" w:lineRule="auto"/>
              <w:jc w:val="center"/>
              <w:rPr>
                <w:rFonts w:ascii="Times New Roman" w:hAnsi="Times New Roman" w:cs="Times New Roman"/>
                <w:b/>
                <w:bCs/>
                <w:sz w:val="24"/>
                <w:szCs w:val="24"/>
              </w:rPr>
            </w:pPr>
            <w:r w:rsidRPr="003A2894">
              <w:rPr>
                <w:rFonts w:ascii="Times New Roman" w:hAnsi="Times New Roman" w:cs="Times New Roman"/>
                <w:b/>
                <w:bCs/>
                <w:sz w:val="24"/>
                <w:szCs w:val="24"/>
              </w:rPr>
              <w:t>Spôsob vyhodnotenia</w:t>
            </w:r>
          </w:p>
        </w:tc>
      </w:tr>
      <w:tr w:rsidR="00B97231" w:rsidRPr="003A2894" w:rsidTr="00B97231">
        <w:trPr>
          <w:trHeight w:val="648"/>
          <w:jc w:val="center"/>
        </w:trPr>
        <w:tc>
          <w:tcPr>
            <w:tcW w:w="12960" w:type="dxa"/>
            <w:gridSpan w:val="5"/>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K materiálu neboli pridané hromadné pripomienky.</w:t>
            </w:r>
          </w:p>
        </w:tc>
      </w:tr>
    </w:tbl>
    <w:p w:rsidR="00E66622" w:rsidRPr="003A2894" w:rsidRDefault="00E66622" w:rsidP="003A2894">
      <w:pPr>
        <w:spacing w:after="0" w:line="240" w:lineRule="auto"/>
        <w:rPr>
          <w:rFonts w:ascii="Times New Roman" w:hAnsi="Times New Roman" w:cs="Times New Roman"/>
        </w:rPr>
      </w:pPr>
    </w:p>
    <w:p w:rsidR="00677591" w:rsidRPr="003A2894" w:rsidRDefault="00677591" w:rsidP="003A2894">
      <w:pPr>
        <w:keepLines/>
        <w:spacing w:after="0" w:line="240" w:lineRule="auto"/>
        <w:rPr>
          <w:rFonts w:ascii="Times New Roman" w:hAnsi="Times New Roman" w:cs="Times New Roman"/>
          <w:sz w:val="24"/>
          <w:szCs w:val="24"/>
          <w:lang w:val="en-US"/>
        </w:rPr>
      </w:pPr>
      <w:r w:rsidRPr="003A2894">
        <w:rPr>
          <w:rFonts w:ascii="Times New Roman" w:hAnsi="Times New Roman" w:cs="Times New Roman"/>
          <w:sz w:val="24"/>
          <w:szCs w:val="24"/>
        </w:rPr>
        <w:t>Sumarizácia vznesených pripomienok pod</w:t>
      </w:r>
      <w:r w:rsidRPr="003A2894">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3A2894" w:rsidRPr="003A2894" w:rsidTr="008C63F3">
        <w:trPr>
          <w:trHeight w:val="648"/>
          <w:jc w:val="center"/>
        </w:trPr>
        <w:tc>
          <w:tcPr>
            <w:tcW w:w="178" w:type="pct"/>
            <w:tcBorders>
              <w:right w:val="single" w:sz="2" w:space="0" w:color="auto"/>
            </w:tcBorders>
            <w:vAlign w:val="center"/>
          </w:tcPr>
          <w:p w:rsidR="00634468" w:rsidRPr="003A2894" w:rsidRDefault="00634468" w:rsidP="003A2894">
            <w:pPr>
              <w:keepLines/>
              <w:spacing w:after="0" w:line="240" w:lineRule="auto"/>
              <w:jc w:val="center"/>
              <w:rPr>
                <w:rFonts w:ascii="Times New Roman" w:hAnsi="Times New Roman" w:cs="Times New Roman"/>
                <w:b/>
                <w:bCs/>
                <w:sz w:val="24"/>
                <w:szCs w:val="24"/>
              </w:rPr>
            </w:pPr>
            <w:r w:rsidRPr="003A2894">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rsidR="00634468" w:rsidRPr="003A2894" w:rsidRDefault="00A80C4C" w:rsidP="003A2894">
            <w:pPr>
              <w:keepLines/>
              <w:spacing w:after="0" w:line="240" w:lineRule="auto"/>
              <w:jc w:val="center"/>
              <w:rPr>
                <w:rFonts w:ascii="Times New Roman" w:hAnsi="Times New Roman" w:cs="Times New Roman"/>
                <w:b/>
                <w:bCs/>
                <w:sz w:val="24"/>
                <w:szCs w:val="24"/>
              </w:rPr>
            </w:pPr>
            <w:r w:rsidRPr="003A2894">
              <w:rPr>
                <w:rFonts w:ascii="Times New Roman" w:hAnsi="Times New Roman" w:cs="Times New Roman"/>
                <w:b/>
                <w:bCs/>
                <w:sz w:val="24"/>
                <w:szCs w:val="24"/>
              </w:rPr>
              <w:t>Subjekt</w:t>
            </w:r>
          </w:p>
        </w:tc>
        <w:tc>
          <w:tcPr>
            <w:tcW w:w="613" w:type="pct"/>
            <w:tcBorders>
              <w:left w:val="single" w:sz="2" w:space="0" w:color="auto"/>
            </w:tcBorders>
            <w:vAlign w:val="center"/>
          </w:tcPr>
          <w:p w:rsidR="00634468" w:rsidRPr="003A2894" w:rsidRDefault="00A80C4C" w:rsidP="003A2894">
            <w:pPr>
              <w:keepLines/>
              <w:spacing w:after="0" w:line="240" w:lineRule="auto"/>
              <w:jc w:val="center"/>
              <w:rPr>
                <w:rFonts w:ascii="Times New Roman" w:hAnsi="Times New Roman" w:cs="Times New Roman"/>
                <w:b/>
                <w:bCs/>
                <w:sz w:val="24"/>
                <w:szCs w:val="24"/>
              </w:rPr>
            </w:pPr>
            <w:r w:rsidRPr="003A2894">
              <w:rPr>
                <w:rFonts w:ascii="Times New Roman" w:hAnsi="Times New Roman" w:cs="Times New Roman"/>
                <w:b/>
                <w:bCs/>
                <w:sz w:val="24"/>
                <w:szCs w:val="24"/>
              </w:rPr>
              <w:t>Pripomienky do termínu</w:t>
            </w:r>
          </w:p>
        </w:tc>
        <w:tc>
          <w:tcPr>
            <w:tcW w:w="613" w:type="pct"/>
            <w:vAlign w:val="center"/>
          </w:tcPr>
          <w:p w:rsidR="00634468" w:rsidRPr="003A2894" w:rsidRDefault="00A80C4C" w:rsidP="003A2894">
            <w:pPr>
              <w:keepLines/>
              <w:spacing w:after="0" w:line="240" w:lineRule="auto"/>
              <w:jc w:val="center"/>
              <w:rPr>
                <w:rFonts w:ascii="Times New Roman" w:hAnsi="Times New Roman" w:cs="Times New Roman"/>
                <w:b/>
                <w:bCs/>
                <w:sz w:val="24"/>
                <w:szCs w:val="24"/>
                <w:lang w:val="en-US"/>
              </w:rPr>
            </w:pPr>
            <w:r w:rsidRPr="003A2894">
              <w:rPr>
                <w:rFonts w:ascii="Times New Roman" w:hAnsi="Times New Roman" w:cs="Times New Roman"/>
                <w:b/>
                <w:bCs/>
                <w:sz w:val="24"/>
                <w:szCs w:val="24"/>
              </w:rPr>
              <w:t>Pripomienky po termíne</w:t>
            </w:r>
          </w:p>
        </w:tc>
        <w:tc>
          <w:tcPr>
            <w:tcW w:w="486" w:type="pct"/>
            <w:vAlign w:val="center"/>
          </w:tcPr>
          <w:p w:rsidR="00634468" w:rsidRPr="003A2894" w:rsidRDefault="00634468" w:rsidP="003A2894">
            <w:pPr>
              <w:keepLines/>
              <w:spacing w:after="0" w:line="240" w:lineRule="auto"/>
              <w:jc w:val="center"/>
              <w:rPr>
                <w:rFonts w:ascii="Times New Roman" w:hAnsi="Times New Roman" w:cs="Times New Roman"/>
                <w:b/>
                <w:bCs/>
                <w:sz w:val="24"/>
                <w:szCs w:val="24"/>
              </w:rPr>
            </w:pPr>
            <w:r w:rsidRPr="003A2894">
              <w:rPr>
                <w:rFonts w:ascii="Times New Roman" w:hAnsi="Times New Roman" w:cs="Times New Roman"/>
                <w:b/>
                <w:bCs/>
                <w:sz w:val="24"/>
                <w:szCs w:val="24"/>
              </w:rPr>
              <w:t>Nemali pripomienky</w:t>
            </w:r>
          </w:p>
        </w:tc>
        <w:tc>
          <w:tcPr>
            <w:tcW w:w="486" w:type="pct"/>
            <w:vAlign w:val="center"/>
          </w:tcPr>
          <w:p w:rsidR="00634468" w:rsidRPr="003A2894" w:rsidRDefault="00A80C4C" w:rsidP="003A2894">
            <w:pPr>
              <w:keepLines/>
              <w:spacing w:after="0" w:line="240" w:lineRule="auto"/>
              <w:jc w:val="center"/>
              <w:rPr>
                <w:rFonts w:ascii="Times New Roman" w:hAnsi="Times New Roman" w:cs="Times New Roman"/>
                <w:b/>
                <w:bCs/>
                <w:sz w:val="24"/>
                <w:szCs w:val="24"/>
              </w:rPr>
            </w:pPr>
            <w:r w:rsidRPr="003A2894">
              <w:rPr>
                <w:rFonts w:ascii="Times New Roman" w:hAnsi="Times New Roman" w:cs="Times New Roman"/>
                <w:b/>
                <w:bCs/>
                <w:sz w:val="24"/>
                <w:szCs w:val="24"/>
              </w:rPr>
              <w:t>Vôbec neza</w:t>
            </w:r>
            <w:r w:rsidR="0001352E" w:rsidRPr="003A2894">
              <w:rPr>
                <w:rFonts w:ascii="Times New Roman" w:hAnsi="Times New Roman" w:cs="Times New Roman"/>
                <w:b/>
                <w:bCs/>
                <w:sz w:val="24"/>
                <w:szCs w:val="24"/>
              </w:rPr>
              <w:t>slali</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1.</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APZD</w:t>
            </w:r>
            <w:r w:rsidRPr="003A2894">
              <w:rPr>
                <w:rFonts w:ascii="Times New Roman" w:eastAsia="Times New Roman" w:hAnsi="Times New Roman" w:cs="Times New Roman"/>
                <w:sz w:val="24"/>
              </w:rPr>
              <w:t xml:space="preserve"> – Asociácia priemyselných zväzov a dopravy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2.</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AZZZ SR</w:t>
            </w:r>
            <w:r w:rsidRPr="003A2894">
              <w:rPr>
                <w:rFonts w:ascii="Times New Roman" w:eastAsia="Times New Roman" w:hAnsi="Times New Roman" w:cs="Times New Roman"/>
                <w:sz w:val="24"/>
              </w:rPr>
              <w:t xml:space="preserve"> – Asociácia zamestnávatelských zväzov a združení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3.</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BBSK</w:t>
            </w:r>
            <w:r w:rsidRPr="003A2894">
              <w:rPr>
                <w:rFonts w:ascii="Times New Roman" w:eastAsia="Times New Roman" w:hAnsi="Times New Roman" w:cs="Times New Roman"/>
                <w:sz w:val="24"/>
              </w:rPr>
              <w:t xml:space="preserve"> – Banskobystrický samosprávny kraj</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4.</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BSK</w:t>
            </w:r>
            <w:r w:rsidRPr="003A2894">
              <w:rPr>
                <w:rFonts w:ascii="Times New Roman" w:eastAsia="Times New Roman" w:hAnsi="Times New Roman" w:cs="Times New Roman"/>
                <w:sz w:val="24"/>
              </w:rPr>
              <w:t xml:space="preserve"> – BRATISLAVSKÝ SAMOSPRÁVNY KRAJ</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5.</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GPSR</w:t>
            </w:r>
            <w:r w:rsidRPr="003A2894">
              <w:rPr>
                <w:rFonts w:ascii="Times New Roman" w:eastAsia="Times New Roman" w:hAnsi="Times New Roman" w:cs="Times New Roman"/>
                <w:sz w:val="24"/>
              </w:rPr>
              <w:t xml:space="preserve"> – Generálna prokuratúra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6.</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KBS</w:t>
            </w:r>
            <w:r w:rsidRPr="003A2894">
              <w:rPr>
                <w:rFonts w:ascii="Times New Roman" w:eastAsia="Times New Roman" w:hAnsi="Times New Roman" w:cs="Times New Roman"/>
                <w:sz w:val="24"/>
              </w:rPr>
              <w:t xml:space="preserve"> – Konferencia biskupov Slovenska</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7.</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KOZSR</w:t>
            </w:r>
            <w:r w:rsidRPr="003A2894">
              <w:rPr>
                <w:rFonts w:ascii="Times New Roman" w:eastAsia="Times New Roman" w:hAnsi="Times New Roman" w:cs="Times New Roman"/>
                <w:sz w:val="24"/>
              </w:rPr>
              <w:t xml:space="preserve"> – Konfederácia odborových zväzov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8.</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KSK</w:t>
            </w:r>
            <w:r w:rsidRPr="003A2894">
              <w:rPr>
                <w:rFonts w:ascii="Times New Roman" w:eastAsia="Times New Roman" w:hAnsi="Times New Roman" w:cs="Times New Roman"/>
                <w:sz w:val="24"/>
              </w:rPr>
              <w:t xml:space="preserve"> – Košický samosprávny kraj</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9.</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Klub 500</w:t>
            </w:r>
            <w:r w:rsidRPr="003A2894">
              <w:rPr>
                <w:rFonts w:ascii="Times New Roman" w:eastAsia="Times New Roman" w:hAnsi="Times New Roman" w:cs="Times New Roman"/>
                <w:sz w:val="24"/>
              </w:rPr>
              <w:t xml:space="preserve"> – Klub 500</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10.</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MDSR</w:t>
            </w:r>
            <w:r w:rsidRPr="003A2894">
              <w:rPr>
                <w:rFonts w:ascii="Times New Roman" w:eastAsia="Times New Roman" w:hAnsi="Times New Roman" w:cs="Times New Roman"/>
                <w:sz w:val="24"/>
              </w:rPr>
              <w:t xml:space="preserve"> – Ministerstvo dopravy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7 (7o,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11.</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MFSR</w:t>
            </w:r>
            <w:r w:rsidRPr="003A2894">
              <w:rPr>
                <w:rFonts w:ascii="Times New Roman" w:eastAsia="Times New Roman" w:hAnsi="Times New Roman" w:cs="Times New Roman"/>
                <w:sz w:val="24"/>
              </w:rPr>
              <w:t xml:space="preserve"> – Ministerstvo financií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1 (1o,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12.</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MHSR</w:t>
            </w:r>
            <w:r w:rsidRPr="003A2894">
              <w:rPr>
                <w:rFonts w:ascii="Times New Roman" w:eastAsia="Times New Roman" w:hAnsi="Times New Roman" w:cs="Times New Roman"/>
                <w:sz w:val="24"/>
              </w:rPr>
              <w:t xml:space="preserve"> – Ministerstvo hospodárstva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1 (1o,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13.</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MINCRS</w:t>
            </w:r>
            <w:r w:rsidRPr="003A2894">
              <w:rPr>
                <w:rFonts w:ascii="Times New Roman" w:eastAsia="Times New Roman" w:hAnsi="Times New Roman" w:cs="Times New Roman"/>
                <w:sz w:val="24"/>
              </w:rPr>
              <w:t xml:space="preserve"> – Ministerstvo cestovného ruchu a športu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3 (3o,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14.</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MIRRI SR</w:t>
            </w:r>
            <w:r w:rsidRPr="003A2894">
              <w:rPr>
                <w:rFonts w:ascii="Times New Roman" w:eastAsia="Times New Roman" w:hAnsi="Times New Roman" w:cs="Times New Roman"/>
                <w:sz w:val="24"/>
              </w:rPr>
              <w:t xml:space="preserve"> – Ministerstvo investícií, regionálneho rozvoja a informatizácie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15.</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MKSR</w:t>
            </w:r>
            <w:r w:rsidRPr="003A2894">
              <w:rPr>
                <w:rFonts w:ascii="Times New Roman" w:eastAsia="Times New Roman" w:hAnsi="Times New Roman" w:cs="Times New Roman"/>
                <w:sz w:val="24"/>
              </w:rPr>
              <w:t xml:space="preserve"> – Ministerstvo kultúry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16.</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MOSR</w:t>
            </w:r>
            <w:r w:rsidRPr="003A2894">
              <w:rPr>
                <w:rFonts w:ascii="Times New Roman" w:eastAsia="Times New Roman" w:hAnsi="Times New Roman" w:cs="Times New Roman"/>
                <w:sz w:val="24"/>
              </w:rPr>
              <w:t xml:space="preserve"> – Ministerstvo obrany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17.</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MPRVSR</w:t>
            </w:r>
            <w:r w:rsidRPr="003A2894">
              <w:rPr>
                <w:rFonts w:ascii="Times New Roman" w:eastAsia="Times New Roman" w:hAnsi="Times New Roman" w:cs="Times New Roman"/>
                <w:sz w:val="24"/>
              </w:rPr>
              <w:t xml:space="preserve"> – Ministerstvo pôdohospodárstva a rozvoja vidieka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18.</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MPSVRSR</w:t>
            </w:r>
            <w:r w:rsidRPr="003A2894">
              <w:rPr>
                <w:rFonts w:ascii="Times New Roman" w:eastAsia="Times New Roman" w:hAnsi="Times New Roman" w:cs="Times New Roman"/>
                <w:sz w:val="24"/>
              </w:rPr>
              <w:t xml:space="preserve"> – Ministerstvo práce, sociálnych vecí a rodiny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19.</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MSSR</w:t>
            </w:r>
            <w:r w:rsidRPr="003A2894">
              <w:rPr>
                <w:rFonts w:ascii="Times New Roman" w:eastAsia="Times New Roman" w:hAnsi="Times New Roman" w:cs="Times New Roman"/>
                <w:sz w:val="24"/>
              </w:rPr>
              <w:t xml:space="preserve"> – Ministerstvo spravodlivosti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1 (1o,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20.</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MVSR</w:t>
            </w:r>
            <w:r w:rsidRPr="003A2894">
              <w:rPr>
                <w:rFonts w:ascii="Times New Roman" w:eastAsia="Times New Roman" w:hAnsi="Times New Roman" w:cs="Times New Roman"/>
                <w:sz w:val="24"/>
              </w:rPr>
              <w:t xml:space="preserve"> – Ministerstvo vnútra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21.</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MZSR</w:t>
            </w:r>
            <w:r w:rsidRPr="003A2894">
              <w:rPr>
                <w:rFonts w:ascii="Times New Roman" w:eastAsia="Times New Roman" w:hAnsi="Times New Roman" w:cs="Times New Roman"/>
                <w:sz w:val="24"/>
              </w:rPr>
              <w:t xml:space="preserve"> – Ministerstvo zdravotníctva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22.</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MZVEZ SR</w:t>
            </w:r>
            <w:r w:rsidRPr="003A2894">
              <w:rPr>
                <w:rFonts w:ascii="Times New Roman" w:eastAsia="Times New Roman" w:hAnsi="Times New Roman" w:cs="Times New Roman"/>
                <w:sz w:val="24"/>
              </w:rPr>
              <w:t xml:space="preserve"> – Ministerstvo zahraničných vecí a európskych záležitostí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23.</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MŠVVaMSR</w:t>
            </w:r>
            <w:r w:rsidRPr="003A2894">
              <w:rPr>
                <w:rFonts w:ascii="Times New Roman" w:eastAsia="Times New Roman" w:hAnsi="Times New Roman" w:cs="Times New Roman"/>
                <w:sz w:val="24"/>
              </w:rPr>
              <w:t xml:space="preserve"> – Ministerstva školstva, výskumu, vývoja a mládeže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24.</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MŽPSR</w:t>
            </w:r>
            <w:r w:rsidRPr="003A2894">
              <w:rPr>
                <w:rFonts w:ascii="Times New Roman" w:eastAsia="Times New Roman" w:hAnsi="Times New Roman" w:cs="Times New Roman"/>
                <w:sz w:val="24"/>
              </w:rPr>
              <w:t xml:space="preserve"> – Ministerstvo životného prostredia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25.</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NBS</w:t>
            </w:r>
            <w:r w:rsidRPr="003A2894">
              <w:rPr>
                <w:rFonts w:ascii="Times New Roman" w:eastAsia="Times New Roman" w:hAnsi="Times New Roman" w:cs="Times New Roman"/>
                <w:sz w:val="24"/>
              </w:rPr>
              <w:t xml:space="preserve"> – Národná banka Slovenska</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26.</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NBÚ</w:t>
            </w:r>
            <w:r w:rsidRPr="003A2894">
              <w:rPr>
                <w:rFonts w:ascii="Times New Roman" w:eastAsia="Times New Roman" w:hAnsi="Times New Roman" w:cs="Times New Roman"/>
                <w:sz w:val="24"/>
              </w:rPr>
              <w:t xml:space="preserve"> – Národný bezpečnostný úrad</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27.</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NKÚSR</w:t>
            </w:r>
            <w:r w:rsidRPr="003A2894">
              <w:rPr>
                <w:rFonts w:ascii="Times New Roman" w:eastAsia="Times New Roman" w:hAnsi="Times New Roman" w:cs="Times New Roman"/>
                <w:sz w:val="24"/>
              </w:rPr>
              <w:t xml:space="preserve"> – Najvyšší kontrolný úrad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28.</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NSK</w:t>
            </w:r>
            <w:r w:rsidRPr="003A2894">
              <w:rPr>
                <w:rFonts w:ascii="Times New Roman" w:eastAsia="Times New Roman" w:hAnsi="Times New Roman" w:cs="Times New Roman"/>
                <w:sz w:val="24"/>
              </w:rPr>
              <w:t xml:space="preserve"> – Nitriansky samosprávny kraj</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29.</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NSSR</w:t>
            </w:r>
            <w:r w:rsidRPr="003A2894">
              <w:rPr>
                <w:rFonts w:ascii="Times New Roman" w:eastAsia="Times New Roman" w:hAnsi="Times New Roman" w:cs="Times New Roman"/>
                <w:sz w:val="24"/>
              </w:rPr>
              <w:t xml:space="preserve"> – Najvyšší súd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30.</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OAPSVLÚVSR</w:t>
            </w:r>
            <w:r w:rsidRPr="003A2894">
              <w:rPr>
                <w:rFonts w:ascii="Times New Roman" w:eastAsia="Times New Roman" w:hAnsi="Times New Roman" w:cs="Times New Roman"/>
                <w:sz w:val="24"/>
              </w:rPr>
              <w:t xml:space="preserve"> – Odbor aproximácie práva sekcie vládnej legislatívy Úradu vlády SR</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16 (16o,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31.</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PMÚSR</w:t>
            </w:r>
            <w:r w:rsidRPr="003A2894">
              <w:rPr>
                <w:rFonts w:ascii="Times New Roman" w:eastAsia="Times New Roman" w:hAnsi="Times New Roman" w:cs="Times New Roman"/>
                <w:sz w:val="24"/>
              </w:rPr>
              <w:t xml:space="preserve"> – Protimonopolný úrad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32.</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PSK</w:t>
            </w:r>
            <w:r w:rsidRPr="003A2894">
              <w:rPr>
                <w:rFonts w:ascii="Times New Roman" w:eastAsia="Times New Roman" w:hAnsi="Times New Roman" w:cs="Times New Roman"/>
                <w:sz w:val="24"/>
              </w:rPr>
              <w:t xml:space="preserve"> – Prešovský samosprávny kraj</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33.</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RÚZSR</w:t>
            </w:r>
            <w:r w:rsidRPr="003A2894">
              <w:rPr>
                <w:rFonts w:ascii="Times New Roman" w:eastAsia="Times New Roman" w:hAnsi="Times New Roman" w:cs="Times New Roman"/>
                <w:sz w:val="24"/>
              </w:rPr>
              <w:t xml:space="preserve"> – Republiková únia zamestnávateľov</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34.</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SK8</w:t>
            </w:r>
            <w:r w:rsidRPr="003A2894">
              <w:rPr>
                <w:rFonts w:ascii="Times New Roman" w:eastAsia="Times New Roman" w:hAnsi="Times New Roman" w:cs="Times New Roman"/>
                <w:sz w:val="24"/>
              </w:rPr>
              <w:t xml:space="preserve"> – Samosprávne kraje Slovenska</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35.</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SPPK</w:t>
            </w:r>
            <w:r w:rsidRPr="003A2894">
              <w:rPr>
                <w:rFonts w:ascii="Times New Roman" w:eastAsia="Times New Roman" w:hAnsi="Times New Roman" w:cs="Times New Roman"/>
                <w:sz w:val="24"/>
              </w:rPr>
              <w:t xml:space="preserve"> – Slovenská poľnohospodárska a potravinárska komora</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36.</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SVSLPRK</w:t>
            </w:r>
            <w:r w:rsidRPr="003A2894">
              <w:rPr>
                <w:rFonts w:ascii="Times New Roman" w:eastAsia="Times New Roman" w:hAnsi="Times New Roman" w:cs="Times New Roman"/>
                <w:sz w:val="24"/>
              </w:rPr>
              <w:t xml:space="preserve"> – Splnomocnenec vlády Slovenskej republiky pre rómske komunity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37.</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SŠHRSR</w:t>
            </w:r>
            <w:r w:rsidRPr="003A2894">
              <w:rPr>
                <w:rFonts w:ascii="Times New Roman" w:eastAsia="Times New Roman" w:hAnsi="Times New Roman" w:cs="Times New Roman"/>
                <w:sz w:val="24"/>
              </w:rPr>
              <w:t xml:space="preserve"> – Správa štátnych hmotných rezerv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38.</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TSK</w:t>
            </w:r>
            <w:r w:rsidRPr="003A2894">
              <w:rPr>
                <w:rFonts w:ascii="Times New Roman" w:eastAsia="Times New Roman" w:hAnsi="Times New Roman" w:cs="Times New Roman"/>
                <w:sz w:val="24"/>
              </w:rPr>
              <w:t xml:space="preserve"> – Trenčiansky samosprávny kraj</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39.</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TTSK</w:t>
            </w:r>
            <w:r w:rsidRPr="003A2894">
              <w:rPr>
                <w:rFonts w:ascii="Times New Roman" w:eastAsia="Times New Roman" w:hAnsi="Times New Roman" w:cs="Times New Roman"/>
                <w:sz w:val="24"/>
              </w:rPr>
              <w:t xml:space="preserve"> – Trnavský samosprávny kraj</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40.</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UOOU SR</w:t>
            </w:r>
            <w:r w:rsidRPr="003A2894">
              <w:rPr>
                <w:rFonts w:ascii="Times New Roman" w:eastAsia="Times New Roman" w:hAnsi="Times New Roman" w:cs="Times New Roman"/>
                <w:sz w:val="24"/>
              </w:rPr>
              <w:t xml:space="preserve"> – Úrad na ochranu osobných údajov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41.</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UPVSR POaZE</w:t>
            </w:r>
            <w:r w:rsidRPr="003A2894">
              <w:rPr>
                <w:rFonts w:ascii="Times New Roman" w:eastAsia="Times New Roman" w:hAnsi="Times New Roman" w:cs="Times New Roman"/>
                <w:sz w:val="24"/>
              </w:rPr>
              <w:t xml:space="preserve"> – Úrad podpredsedu vlády Slovenskej republiky pre Plán obnovy a znalostnú ekonomiku</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42.</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URSO</w:t>
            </w:r>
            <w:r w:rsidRPr="003A2894">
              <w:rPr>
                <w:rFonts w:ascii="Times New Roman" w:eastAsia="Times New Roman" w:hAnsi="Times New Roman" w:cs="Times New Roman"/>
                <w:sz w:val="24"/>
              </w:rPr>
              <w:t xml:space="preserve"> – Úrad pre reguláciu sieťových odvetví</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43.</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UpUPaVSR</w:t>
            </w:r>
            <w:r w:rsidRPr="003A2894">
              <w:rPr>
                <w:rFonts w:ascii="Times New Roman" w:eastAsia="Times New Roman" w:hAnsi="Times New Roman" w:cs="Times New Roman"/>
                <w:sz w:val="24"/>
              </w:rPr>
              <w:t xml:space="preserve"> – Úrad pre územné plánovanie a výstavbu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44.</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ZMOS</w:t>
            </w:r>
            <w:r w:rsidRPr="003A2894">
              <w:rPr>
                <w:rFonts w:ascii="Times New Roman" w:eastAsia="Times New Roman" w:hAnsi="Times New Roman" w:cs="Times New Roman"/>
                <w:sz w:val="24"/>
              </w:rPr>
              <w:t xml:space="preserve"> – Združenie miest a obcí Slovenska</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45.</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hlavné mesto</w:t>
            </w:r>
            <w:r w:rsidRPr="003A2894">
              <w:rPr>
                <w:rFonts w:ascii="Times New Roman" w:eastAsia="Times New Roman" w:hAnsi="Times New Roman" w:cs="Times New Roman"/>
                <w:sz w:val="24"/>
              </w:rPr>
              <w:t xml:space="preserve"> – Hlavné mesto Slovenskej republiky Bratislava</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46.</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ÚDZS</w:t>
            </w:r>
            <w:r w:rsidRPr="003A2894">
              <w:rPr>
                <w:rFonts w:ascii="Times New Roman" w:eastAsia="Times New Roman" w:hAnsi="Times New Roman" w:cs="Times New Roman"/>
                <w:sz w:val="24"/>
              </w:rPr>
              <w:t xml:space="preserve"> – Úrad pre dohľad nad zdravotnou starostlivosťou</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47.</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ÚGKKSR</w:t>
            </w:r>
            <w:r w:rsidRPr="003A2894">
              <w:rPr>
                <w:rFonts w:ascii="Times New Roman" w:eastAsia="Times New Roman" w:hAnsi="Times New Roman" w:cs="Times New Roman"/>
                <w:sz w:val="24"/>
              </w:rPr>
              <w:t xml:space="preserve"> – Úrad geodézie, kartografie a katastra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48.</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ÚJDSR</w:t>
            </w:r>
            <w:r w:rsidRPr="003A2894">
              <w:rPr>
                <w:rFonts w:ascii="Times New Roman" w:eastAsia="Times New Roman" w:hAnsi="Times New Roman" w:cs="Times New Roman"/>
                <w:sz w:val="24"/>
              </w:rPr>
              <w:t xml:space="preserve"> – Úrad jadrového dozoru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49.</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ÚMS</w:t>
            </w:r>
            <w:r w:rsidRPr="003A2894">
              <w:rPr>
                <w:rFonts w:ascii="Times New Roman" w:eastAsia="Times New Roman" w:hAnsi="Times New Roman" w:cs="Times New Roman"/>
                <w:sz w:val="24"/>
              </w:rPr>
              <w:t xml:space="preserve"> – Únia miest Slovenska</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50.</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ÚNMSSR</w:t>
            </w:r>
            <w:r w:rsidRPr="003A2894">
              <w:rPr>
                <w:rFonts w:ascii="Times New Roman" w:eastAsia="Times New Roman" w:hAnsi="Times New Roman" w:cs="Times New Roman"/>
                <w:sz w:val="24"/>
              </w:rPr>
              <w:t xml:space="preserve"> – Úrad pre normalizáciu,  metrológiu a skúšobníctvo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51.</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ÚPVSR</w:t>
            </w:r>
            <w:r w:rsidRPr="003A2894">
              <w:rPr>
                <w:rFonts w:ascii="Times New Roman" w:eastAsia="Times New Roman" w:hAnsi="Times New Roman" w:cs="Times New Roman"/>
                <w:sz w:val="24"/>
              </w:rPr>
              <w:t xml:space="preserve"> – Úrad priemyselného vlastníctva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52.</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ÚVO</w:t>
            </w:r>
            <w:r w:rsidRPr="003A2894">
              <w:rPr>
                <w:rFonts w:ascii="Times New Roman" w:eastAsia="Times New Roman" w:hAnsi="Times New Roman" w:cs="Times New Roman"/>
                <w:sz w:val="24"/>
              </w:rPr>
              <w:t xml:space="preserve"> – Úrad pre verejné obstarávanie</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53.</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ÚVSR</w:t>
            </w:r>
            <w:r w:rsidRPr="003A2894">
              <w:rPr>
                <w:rFonts w:ascii="Times New Roman" w:eastAsia="Times New Roman" w:hAnsi="Times New Roman" w:cs="Times New Roman"/>
                <w:sz w:val="24"/>
              </w:rPr>
              <w:t xml:space="preserve"> – Úrad vlády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3 (2o, 1z)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54.</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Ústavný súd SR</w:t>
            </w:r>
            <w:r w:rsidRPr="003A2894">
              <w:rPr>
                <w:rFonts w:ascii="Times New Roman" w:eastAsia="Times New Roman" w:hAnsi="Times New Roman" w:cs="Times New Roman"/>
                <w:sz w:val="24"/>
              </w:rPr>
              <w:t xml:space="preserve"> – Kancelária Ústavného súdu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55.</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ŠÚSR</w:t>
            </w:r>
            <w:r w:rsidRPr="003A2894">
              <w:rPr>
                <w:rFonts w:ascii="Times New Roman" w:eastAsia="Times New Roman" w:hAnsi="Times New Roman" w:cs="Times New Roman"/>
                <w:sz w:val="24"/>
              </w:rPr>
              <w:t xml:space="preserve"> – Štatistický úrad Slovenskej republiky</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1 (1o,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F07B1F" w:rsidP="003A2894">
            <w:pPr>
              <w:spacing w:after="0" w:line="240" w:lineRule="auto"/>
              <w:jc w:val="center"/>
            </w:pPr>
          </w:p>
        </w:tc>
      </w:tr>
      <w:tr w:rsidR="003A2894" w:rsidRPr="003A2894" w:rsidTr="003A2894">
        <w:trPr>
          <w:trHeight w:val="510"/>
          <w:jc w:val="center"/>
        </w:trPr>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56.</w:t>
            </w:r>
          </w:p>
        </w:tc>
        <w:tc>
          <w:tcPr>
            <w:tcW w:w="0" w:type="auto"/>
          </w:tcPr>
          <w:p w:rsidR="00F07B1F" w:rsidRPr="003A2894" w:rsidRDefault="00C72E42" w:rsidP="003A2894">
            <w:pPr>
              <w:spacing w:after="0" w:line="240" w:lineRule="auto"/>
            </w:pPr>
            <w:r w:rsidRPr="003A2894">
              <w:rPr>
                <w:rFonts w:ascii="Times New Roman" w:eastAsia="Times New Roman" w:hAnsi="Times New Roman" w:cs="Times New Roman"/>
                <w:b/>
                <w:sz w:val="24"/>
              </w:rPr>
              <w:t>ŽSK</w:t>
            </w:r>
            <w:r w:rsidRPr="003A2894">
              <w:rPr>
                <w:rFonts w:ascii="Times New Roman" w:eastAsia="Times New Roman" w:hAnsi="Times New Roman" w:cs="Times New Roman"/>
                <w:sz w:val="24"/>
              </w:rPr>
              <w:t xml:space="preserve"> – Žilinský samosprávny kraj</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0 (0o, 0z)</w:t>
            </w:r>
          </w:p>
        </w:tc>
        <w:tc>
          <w:tcPr>
            <w:tcW w:w="0" w:type="auto"/>
          </w:tcPr>
          <w:p w:rsidR="00F07B1F" w:rsidRPr="003A2894" w:rsidRDefault="00F07B1F" w:rsidP="003A2894">
            <w:pPr>
              <w:spacing w:after="0" w:line="240" w:lineRule="auto"/>
              <w:jc w:val="center"/>
            </w:pPr>
          </w:p>
        </w:tc>
        <w:tc>
          <w:tcPr>
            <w:tcW w:w="0" w:type="auto"/>
          </w:tcPr>
          <w:p w:rsidR="00F07B1F" w:rsidRPr="003A2894" w:rsidRDefault="00C72E42" w:rsidP="003A2894">
            <w:pPr>
              <w:spacing w:after="0" w:line="240" w:lineRule="auto"/>
              <w:jc w:val="center"/>
            </w:pPr>
            <w:r w:rsidRPr="003A2894">
              <w:rPr>
                <w:rFonts w:ascii="Times New Roman" w:eastAsia="Times New Roman" w:hAnsi="Times New Roman" w:cs="Times New Roman"/>
                <w:sz w:val="24"/>
              </w:rPr>
              <w:t>X</w:t>
            </w:r>
          </w:p>
        </w:tc>
      </w:tr>
      <w:tr w:rsidR="003A2894" w:rsidRPr="003A2894" w:rsidTr="003A2894">
        <w:trPr>
          <w:trHeight w:val="510"/>
          <w:jc w:val="center"/>
        </w:trPr>
        <w:tc>
          <w:tcPr>
            <w:tcW w:w="0" w:type="auto"/>
          </w:tcPr>
          <w:p w:rsidR="00F07B1F" w:rsidRPr="003A2894" w:rsidRDefault="00F07B1F" w:rsidP="003A2894">
            <w:pPr>
              <w:spacing w:after="0" w:line="240" w:lineRule="auto"/>
              <w:jc w:val="center"/>
            </w:pPr>
          </w:p>
        </w:tc>
        <w:tc>
          <w:tcPr>
            <w:tcW w:w="0" w:type="auto"/>
            <w:vAlign w:val="center"/>
          </w:tcPr>
          <w:p w:rsidR="00F07B1F" w:rsidRPr="003A2894" w:rsidRDefault="00C72E42" w:rsidP="003A2894">
            <w:pPr>
              <w:spacing w:after="0" w:line="240" w:lineRule="auto"/>
            </w:pPr>
            <w:r w:rsidRPr="003A2894">
              <w:rPr>
                <w:rFonts w:ascii="Times New Roman" w:eastAsia="Times New Roman" w:hAnsi="Times New Roman" w:cs="Times New Roman"/>
                <w:b/>
                <w:sz w:val="24"/>
              </w:rPr>
              <w:t>Spolu</w:t>
            </w:r>
          </w:p>
        </w:tc>
        <w:tc>
          <w:tcPr>
            <w:tcW w:w="0" w:type="auto"/>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33 (32o, 1z)</w:t>
            </w:r>
          </w:p>
        </w:tc>
        <w:tc>
          <w:tcPr>
            <w:tcW w:w="0" w:type="auto"/>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0 (0o, 0z)</w:t>
            </w:r>
          </w:p>
        </w:tc>
        <w:tc>
          <w:tcPr>
            <w:tcW w:w="0" w:type="auto"/>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15</w:t>
            </w:r>
          </w:p>
        </w:tc>
        <w:tc>
          <w:tcPr>
            <w:tcW w:w="0" w:type="auto"/>
            <w:vAlign w:val="center"/>
          </w:tcPr>
          <w:p w:rsidR="00F07B1F" w:rsidRPr="003A2894" w:rsidRDefault="00C72E42" w:rsidP="003A2894">
            <w:pPr>
              <w:spacing w:after="0" w:line="240" w:lineRule="auto"/>
              <w:jc w:val="center"/>
            </w:pPr>
            <w:r w:rsidRPr="003A2894">
              <w:rPr>
                <w:rFonts w:ascii="Times New Roman" w:eastAsia="Times New Roman" w:hAnsi="Times New Roman" w:cs="Times New Roman"/>
                <w:b/>
                <w:sz w:val="24"/>
              </w:rPr>
              <w:t>33</w:t>
            </w:r>
          </w:p>
        </w:tc>
      </w:tr>
    </w:tbl>
    <w:p w:rsidR="008960F8" w:rsidRPr="003A2894" w:rsidRDefault="008960F8" w:rsidP="003A2894">
      <w:pPr>
        <w:spacing w:after="0" w:line="240" w:lineRule="auto"/>
        <w:rPr>
          <w:rFonts w:ascii="Times New Roman" w:hAnsi="Times New Roman" w:cs="Times New Roman"/>
          <w:sz w:val="24"/>
          <w:szCs w:val="24"/>
          <w:lang w:val="en-US"/>
        </w:rPr>
      </w:pPr>
      <w:bookmarkStart w:id="0" w:name="_GoBack"/>
      <w:bookmarkEnd w:id="0"/>
    </w:p>
    <w:sectPr w:rsidR="008960F8" w:rsidRPr="003A2894" w:rsidSect="003A2894">
      <w:headerReference w:type="first" r:id="rId9"/>
      <w:footerReference w:type="first" r:id="rId10"/>
      <w:pgSz w:w="15840" w:h="12240" w:orient="landscape"/>
      <w:pgMar w:top="709" w:right="1440" w:bottom="851" w:left="1440" w:header="72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E42" w:rsidRPr="00785E8D" w:rsidRDefault="00C72E42" w:rsidP="00E66622">
      <w:pPr>
        <w:spacing w:after="0" w:line="240" w:lineRule="auto"/>
      </w:pPr>
      <w:r w:rsidRPr="00785E8D">
        <w:separator/>
      </w:r>
    </w:p>
  </w:endnote>
  <w:endnote w:type="continuationSeparator" w:id="0">
    <w:p w:rsidR="00C72E42" w:rsidRPr="00785E8D" w:rsidRDefault="00C72E42"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4362024"/>
      <w:docPartObj>
        <w:docPartGallery w:val="Page Numbers (Bottom of Page)"/>
        <w:docPartUnique/>
      </w:docPartObj>
    </w:sdtPr>
    <w:sdtEndPr>
      <w:rPr>
        <w:rFonts w:ascii="Times New Roman" w:hAnsi="Times New Roman"/>
        <w:noProof/>
      </w:rPr>
    </w:sdtEndPr>
    <w:sdtContent>
      <w:p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003A2894">
          <w:rPr>
            <w:rFonts w:ascii="Times New Roman" w:hAnsi="Times New Roman"/>
          </w:rPr>
          <w:t>21</w:t>
        </w:r>
        <w:r w:rsidRPr="00362D69">
          <w:rPr>
            <w:rFonts w:ascii="Times New Roman" w:hAnsi="Times New Roman"/>
          </w:rPr>
          <w:fldChar w:fldCharType="end"/>
        </w:r>
      </w:p>
    </w:sdtContent>
  </w:sdt>
  <w:p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83308"/>
      <w:docPartObj>
        <w:docPartGallery w:val="Page Numbers (Bottom of Page)"/>
        <w:docPartUnique/>
      </w:docPartObj>
    </w:sdtPr>
    <w:sdtContent>
      <w:p w:rsidR="003A2894" w:rsidRDefault="003A2894" w:rsidP="003A2894">
        <w:pPr>
          <w:pStyle w:val="Pta"/>
          <w:jc w:val="center"/>
        </w:pPr>
        <w:r>
          <w:fldChar w:fldCharType="begin"/>
        </w:r>
        <w:r>
          <w:instrText>PAGE   \* MERGEFORMAT</w:instrText>
        </w:r>
        <w:r>
          <w:fldChar w:fldCharType="separate"/>
        </w:r>
        <w: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E42" w:rsidRPr="00785E8D" w:rsidRDefault="00C72E42" w:rsidP="00E66622">
      <w:pPr>
        <w:spacing w:after="0" w:line="240" w:lineRule="auto"/>
      </w:pPr>
      <w:r w:rsidRPr="00785E8D">
        <w:separator/>
      </w:r>
    </w:p>
  </w:footnote>
  <w:footnote w:type="continuationSeparator" w:id="0">
    <w:p w:rsidR="00C72E42" w:rsidRPr="00785E8D" w:rsidRDefault="00C72E42"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11D51"/>
    <w:rsid w:val="0001352E"/>
    <w:rsid w:val="00035401"/>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22A8A"/>
    <w:rsid w:val="00335FFB"/>
    <w:rsid w:val="00343965"/>
    <w:rsid w:val="00362D69"/>
    <w:rsid w:val="003640A5"/>
    <w:rsid w:val="003A2894"/>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8742A"/>
    <w:rsid w:val="00B946A0"/>
    <w:rsid w:val="00B97231"/>
    <w:rsid w:val="00BD7F55"/>
    <w:rsid w:val="00BE323C"/>
    <w:rsid w:val="00BF207A"/>
    <w:rsid w:val="00C00CF3"/>
    <w:rsid w:val="00C42676"/>
    <w:rsid w:val="00C43D79"/>
    <w:rsid w:val="00C53F43"/>
    <w:rsid w:val="00C62C70"/>
    <w:rsid w:val="00C72E42"/>
    <w:rsid w:val="00C84A5B"/>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07B1F"/>
    <w:rsid w:val="00F12C64"/>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6FCAC"/>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 w:type="paragraph" w:styleId="Textbubliny">
    <w:name w:val="Balloon Text"/>
    <w:basedOn w:val="Normlny"/>
    <w:link w:val="TextbublinyChar"/>
    <w:uiPriority w:val="99"/>
    <w:semiHidden/>
    <w:unhideWhenUsed/>
    <w:rsid w:val="003A289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2894"/>
    <w:rPr>
      <w:rFonts w:ascii="Segoe UI" w:hAnsi="Segoe UI" w:cs="Segoe UI"/>
      <w:noProof/>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DFBF0-FF63-4A30-85CB-7A935CF6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4605</Words>
  <Characters>26254</Characters>
  <Application>Microsoft Office Word</Application>
  <DocSecurity>0</DocSecurity>
  <Lines>218</Lines>
  <Paragraphs>61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Benová Tímea</cp:lastModifiedBy>
  <cp:revision>3</cp:revision>
  <cp:lastPrinted>2025-03-11T05:53:00Z</cp:lastPrinted>
  <dcterms:created xsi:type="dcterms:W3CDTF">2025-03-10T10:01:00Z</dcterms:created>
  <dcterms:modified xsi:type="dcterms:W3CDTF">2025-03-11T05:53:00Z</dcterms:modified>
</cp:coreProperties>
</file>