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5AC" w:rsidRDefault="000B35AC">
      <w:pPr>
        <w:jc w:val="center"/>
        <w:rPr>
          <w:b/>
          <w:bCs/>
          <w:sz w:val="28"/>
          <w:szCs w:val="28"/>
        </w:rPr>
      </w:pPr>
      <w:bookmarkStart w:id="0" w:name="_GoBack"/>
      <w:bookmarkEnd w:id="0"/>
      <w:r>
        <w:rPr>
          <w:b/>
          <w:bCs/>
          <w:sz w:val="28"/>
          <w:szCs w:val="28"/>
        </w:rPr>
        <w:t>DOLOŽKA PREDNOSTI</w:t>
      </w:r>
    </w:p>
    <w:p w:rsidR="000B35AC" w:rsidRDefault="000B35AC">
      <w:pPr>
        <w:jc w:val="center"/>
        <w:rPr>
          <w:b/>
          <w:bCs/>
          <w:sz w:val="28"/>
          <w:szCs w:val="28"/>
        </w:rPr>
      </w:pPr>
      <w:r>
        <w:rPr>
          <w:b/>
          <w:bCs/>
          <w:sz w:val="28"/>
          <w:szCs w:val="28"/>
        </w:rPr>
        <w:t>medzinárodnej zmluvy pred zákonmi</w:t>
      </w:r>
    </w:p>
    <w:p w:rsidR="000B35AC" w:rsidRDefault="000B35AC">
      <w:pPr>
        <w:jc w:val="center"/>
        <w:rPr>
          <w:b/>
          <w:bCs/>
          <w:sz w:val="28"/>
          <w:szCs w:val="28"/>
        </w:rPr>
      </w:pPr>
      <w:r>
        <w:rPr>
          <w:b/>
          <w:bCs/>
          <w:sz w:val="28"/>
          <w:szCs w:val="28"/>
        </w:rPr>
        <w:t xml:space="preserve">(čl. 7 ods. 5 </w:t>
      </w:r>
      <w:r w:rsidR="00032C16">
        <w:rPr>
          <w:b/>
          <w:bCs/>
          <w:sz w:val="28"/>
          <w:szCs w:val="28"/>
        </w:rPr>
        <w:t>Ústavy Slovenskej republiky</w:t>
      </w:r>
      <w:r>
        <w:rPr>
          <w:b/>
          <w:bCs/>
          <w:sz w:val="28"/>
          <w:szCs w:val="28"/>
        </w:rPr>
        <w:t>)</w:t>
      </w:r>
    </w:p>
    <w:p w:rsidR="000B35AC" w:rsidRDefault="000B35AC">
      <w:pPr>
        <w:jc w:val="both"/>
        <w:rPr>
          <w:b/>
          <w:bCs/>
        </w:rPr>
      </w:pPr>
    </w:p>
    <w:p w:rsidR="000B35AC" w:rsidRDefault="000B35AC">
      <w:pPr>
        <w:jc w:val="both"/>
        <w:rPr>
          <w:b/>
          <w:bCs/>
        </w:rPr>
      </w:pPr>
    </w:p>
    <w:p w:rsidR="000B35AC" w:rsidRDefault="000B35AC" w:rsidP="000B35AC">
      <w:pPr>
        <w:numPr>
          <w:ilvl w:val="0"/>
          <w:numId w:val="1"/>
        </w:numPr>
        <w:jc w:val="both"/>
        <w:rPr>
          <w:b/>
          <w:bCs/>
        </w:rPr>
      </w:pPr>
      <w:r>
        <w:rPr>
          <w:b/>
          <w:bCs/>
        </w:rPr>
        <w:t xml:space="preserve">Gestor zmluvy: </w:t>
      </w:r>
      <w:smartTag w:uri="urn:schemas-microsoft-com:office:smarttags" w:element="PersonName">
        <w:r>
          <w:t>Minister</w:t>
        </w:r>
      </w:smartTag>
      <w:r>
        <w:t>stvo vnútra Slovenskej republiky</w:t>
      </w:r>
      <w:r w:rsidR="004B2B62">
        <w:t>.</w:t>
      </w:r>
    </w:p>
    <w:p w:rsidR="000B35AC" w:rsidRDefault="000B35AC" w:rsidP="000B35AC">
      <w:pPr>
        <w:numPr>
          <w:ilvl w:val="12"/>
          <w:numId w:val="0"/>
        </w:numPr>
        <w:jc w:val="both"/>
        <w:rPr>
          <w:b/>
          <w:bCs/>
        </w:rPr>
      </w:pPr>
    </w:p>
    <w:p w:rsidR="000B35AC" w:rsidRDefault="000B35AC" w:rsidP="00C32D54">
      <w:pPr>
        <w:numPr>
          <w:ilvl w:val="0"/>
          <w:numId w:val="1"/>
        </w:numPr>
        <w:jc w:val="both"/>
      </w:pPr>
      <w:r>
        <w:rPr>
          <w:b/>
          <w:bCs/>
        </w:rPr>
        <w:t xml:space="preserve">Názov zmluvy: </w:t>
      </w:r>
      <w:r w:rsidR="00C32D54">
        <w:t>Dohovor</w:t>
      </w:r>
      <w:r w:rsidR="00C32D54" w:rsidRPr="00C32D54">
        <w:t xml:space="preserve"> o policajnej spolupráci pre juhovýchodnú Európu </w:t>
      </w:r>
      <w:r w:rsidR="007B1396">
        <w:t>(ďalej len „</w:t>
      </w:r>
      <w:r w:rsidR="00C32D54" w:rsidRPr="00531019">
        <w:t>dohovor</w:t>
      </w:r>
      <w:r w:rsidRPr="00B37E97">
        <w:t>“)</w:t>
      </w:r>
      <w:r w:rsidR="005F0D8E">
        <w:t>, podpísaný 5. mája 2006 vo Viedni.</w:t>
      </w:r>
    </w:p>
    <w:p w:rsidR="005F0D8E" w:rsidRPr="00B37E97" w:rsidRDefault="005F0D8E" w:rsidP="005F0D8E">
      <w:pPr>
        <w:jc w:val="both"/>
      </w:pPr>
    </w:p>
    <w:p w:rsidR="008826B6" w:rsidRDefault="000B35AC" w:rsidP="008826B6">
      <w:pPr>
        <w:numPr>
          <w:ilvl w:val="0"/>
          <w:numId w:val="2"/>
        </w:numPr>
        <w:jc w:val="both"/>
      </w:pPr>
      <w:r>
        <w:rPr>
          <w:b/>
          <w:bCs/>
        </w:rPr>
        <w:t>Účel a predmet zmluvy a jeho úprava v</w:t>
      </w:r>
      <w:r w:rsidR="003372A3">
        <w:rPr>
          <w:b/>
          <w:bCs/>
        </w:rPr>
        <w:t> právnom poriadku</w:t>
      </w:r>
      <w:r>
        <w:rPr>
          <w:b/>
          <w:bCs/>
        </w:rPr>
        <w:t xml:space="preserve"> Slovenskej republiky: </w:t>
      </w:r>
      <w:r w:rsidR="00044945">
        <w:t>Dohovor o policajnej spolupráci pre juhovýchodnú Európu (ďalej len „</w:t>
      </w:r>
      <w:r w:rsidR="00044945" w:rsidRPr="00531019">
        <w:t>dohovor</w:t>
      </w:r>
      <w:r w:rsidR="00044945">
        <w:t>“) tvorí právny základ pre cezhraničnú spoluprácu pri presadzovaní práva so širokou škálou moderných foriem spolupráce podľa vzoru osvedčených postupov EÚ, ako je spoločná analýza hrozieb, styční dôstojníci, prenasledovanie, ochrana svedkov, cezhraničný dohľad, technické opatrenia na uľahčenie cezhraničnej spolupráce, hraničné pátracie operácie, zmiešané analytické pracovné skupiny, spoločné vyšetrovacie tímy, zmiešané hliadky pozdĺž štátnych hraníc a spolupráca v spoločných strediskách. Od 13. septembra 2018 slúži dohovor aj ako rámcová dohoda pre Dohodu o automatizovanej výmene údajov o DNA, daktyloskopických údajov a údajov o evidencii vozidiel medzi zmluvnými stranami Dohovoru o policajnej spolupráci pre juhovýchodnú Európu (PCC Prüm) po vzore prümských rozhodnutí rady EÚ 2008/615/SVV a 2008/616/SVV. Praktické využitie oboch rámcov je podporované implementačným procesom, ktorého cieľom je umožniť cezhraničnú spoluprácu pri presadzovaní práva podľa noriem EÚ ešte predtým, ako sa všetky zmluvné strany dohovoru stanú členskými štátmi EÚ. Proces zahŕňa strategický a</w:t>
      </w:r>
      <w:r w:rsidR="009956BE">
        <w:t> </w:t>
      </w:r>
      <w:r w:rsidR="00044945">
        <w:t>operačný vývoj spoločných štandardov, kapacít a riešení na ich využitie v praxi. Implementačný proces dohovoru zároveň uľahčuje úsilie zmluvných strán, ktoré nie sú členmi EÚ, pri ich pristúpení k EÚ.</w:t>
      </w:r>
      <w:r w:rsidR="008826B6">
        <w:t xml:space="preserve"> </w:t>
      </w:r>
    </w:p>
    <w:p w:rsidR="008826B6" w:rsidRDefault="008826B6" w:rsidP="008826B6">
      <w:pPr>
        <w:ind w:left="283"/>
        <w:jc w:val="both"/>
        <w:rPr>
          <w:b/>
          <w:bCs/>
        </w:rPr>
      </w:pPr>
    </w:p>
    <w:p w:rsidR="007D115D" w:rsidRPr="000E34E2" w:rsidRDefault="007D115D" w:rsidP="008826B6">
      <w:pPr>
        <w:ind w:left="283"/>
        <w:jc w:val="both"/>
      </w:pPr>
      <w:r w:rsidRPr="008826B6">
        <w:rPr>
          <w:b/>
        </w:rPr>
        <w:t>Vo vzťahu k právnym predpisom Slovenskej republ</w:t>
      </w:r>
      <w:r w:rsidR="003F763A" w:rsidRPr="008826B6">
        <w:rPr>
          <w:b/>
        </w:rPr>
        <w:t>iky je táto spolupráca upravená</w:t>
      </w:r>
      <w:r w:rsidR="00044945" w:rsidRPr="008826B6">
        <w:rPr>
          <w:b/>
        </w:rPr>
        <w:t>:</w:t>
      </w:r>
      <w:r w:rsidR="003F763A" w:rsidRPr="008826B6">
        <w:rPr>
          <w:b/>
        </w:rPr>
        <w:t xml:space="preserve"> </w:t>
      </w:r>
      <w:r w:rsidR="00030289">
        <w:t>v zákone</w:t>
      </w:r>
      <w:r>
        <w:t xml:space="preserve"> </w:t>
      </w:r>
      <w:r w:rsidR="00044945">
        <w:t xml:space="preserve">č. 300/205 Z. z. Trestný zákon v </w:t>
      </w:r>
      <w:r w:rsidR="00044945" w:rsidRPr="00044945">
        <w:t>znení neskorších predpisov</w:t>
      </w:r>
      <w:r w:rsidR="00044945">
        <w:t xml:space="preserve">, v zákone č. 301/2005 Z. z. Trestný poriadok v znení neskorších predpisov, </w:t>
      </w:r>
      <w:r w:rsidR="00D874C2">
        <w:t>v</w:t>
      </w:r>
      <w:r w:rsidR="00D479E0" w:rsidRPr="00D479E0">
        <w:t xml:space="preserve"> zákon</w:t>
      </w:r>
      <w:r w:rsidR="00D479E0">
        <w:t>e</w:t>
      </w:r>
      <w:r w:rsidR="00D479E0" w:rsidRPr="00D479E0">
        <w:t xml:space="preserve"> </w:t>
      </w:r>
      <w:r w:rsidR="00030289">
        <w:t xml:space="preserve">č. </w:t>
      </w:r>
      <w:r w:rsidR="00D479E0" w:rsidRPr="00D479E0">
        <w:t>171/1993 Z.</w:t>
      </w:r>
      <w:r w:rsidR="00531019">
        <w:t> </w:t>
      </w:r>
      <w:r w:rsidR="00D479E0" w:rsidRPr="00D479E0">
        <w:t xml:space="preserve">z. o Policajnom zbore v znení neskorších </w:t>
      </w:r>
      <w:r w:rsidR="00D479E0" w:rsidRPr="00032C16">
        <w:t xml:space="preserve">predpisov a v zákone </w:t>
      </w:r>
      <w:r w:rsidR="00030289" w:rsidRPr="00032C16">
        <w:t xml:space="preserve">č. </w:t>
      </w:r>
      <w:r w:rsidR="00032C16" w:rsidRPr="00032C16">
        <w:t>18/2018</w:t>
      </w:r>
      <w:r w:rsidR="00D479E0" w:rsidRPr="00032C16">
        <w:t xml:space="preserve"> Z. z. o ochrane osobných údajov </w:t>
      </w:r>
      <w:r w:rsidR="00032C16" w:rsidRPr="00032C16">
        <w:t>a o zmene a doplnení niektorých zákonov.</w:t>
      </w:r>
    </w:p>
    <w:p w:rsidR="000B35AC" w:rsidRDefault="000B35AC" w:rsidP="000B35AC">
      <w:pPr>
        <w:numPr>
          <w:ilvl w:val="12"/>
          <w:numId w:val="0"/>
        </w:numPr>
        <w:ind w:left="284" w:hanging="284"/>
        <w:jc w:val="both"/>
      </w:pPr>
    </w:p>
    <w:p w:rsidR="000B35AC" w:rsidRDefault="000B35AC" w:rsidP="009956BE">
      <w:pPr>
        <w:numPr>
          <w:ilvl w:val="0"/>
          <w:numId w:val="1"/>
        </w:numPr>
        <w:jc w:val="both"/>
        <w:rPr>
          <w:b/>
          <w:bCs/>
        </w:rPr>
      </w:pPr>
      <w:r>
        <w:rPr>
          <w:b/>
          <w:bCs/>
        </w:rPr>
        <w:t xml:space="preserve">Priama úprava práv alebo povinností fyzických osôb alebo právnických osôb: </w:t>
      </w:r>
      <w:r w:rsidR="009956BE">
        <w:t>Dohovor</w:t>
      </w:r>
      <w:r w:rsidR="007B1396" w:rsidRPr="00494473">
        <w:t xml:space="preserve"> priamo zakladá práva alebo povinnosti fyzických osôb alebo právnických osôb. </w:t>
      </w:r>
      <w:r w:rsidR="009956BE" w:rsidRPr="009956BE">
        <w:t>Práva a povinnosti fyzických osôb alebo právnických osôb zakladajú články</w:t>
      </w:r>
      <w:r w:rsidR="009956BE">
        <w:t>: čl. 10 ochrana svedkov, čl. 13 prenasledovanie, čl. 14 cezhraničné sledovanie, čl. 15 kontrolovaná dodávka, č. 16 utajené vyšetrovanie na účely vyšetrovania trestných činov, čl. 17 utajené vyšetrovanie na účely predchádzania</w:t>
      </w:r>
      <w:r w:rsidR="009956BE" w:rsidRPr="009956BE">
        <w:t xml:space="preserve"> trestný</w:t>
      </w:r>
      <w:r w:rsidR="009956BE">
        <w:t>m</w:t>
      </w:r>
      <w:r w:rsidR="009956BE" w:rsidRPr="009956BE">
        <w:t xml:space="preserve"> čino</w:t>
      </w:r>
      <w:r w:rsidR="009956BE">
        <w:t>m, čl. 19 žiadosť o osobnú prehliadku, čl. 20 p</w:t>
      </w:r>
      <w:r w:rsidR="009956BE" w:rsidRPr="009956BE">
        <w:t>renos a porovnanie profilov DNA a iného identifikačného materiálu</w:t>
      </w:r>
      <w:r w:rsidR="00EA7597">
        <w:t>.</w:t>
      </w:r>
      <w:r w:rsidR="009956BE">
        <w:t xml:space="preserve"> </w:t>
      </w:r>
    </w:p>
    <w:p w:rsidR="000B35AC" w:rsidRDefault="000B35AC" w:rsidP="000B35AC">
      <w:pPr>
        <w:numPr>
          <w:ilvl w:val="12"/>
          <w:numId w:val="0"/>
        </w:numPr>
        <w:jc w:val="both"/>
        <w:rPr>
          <w:b/>
          <w:bCs/>
        </w:rPr>
      </w:pPr>
    </w:p>
    <w:p w:rsidR="003372A3" w:rsidRDefault="003372A3" w:rsidP="000B35AC">
      <w:pPr>
        <w:numPr>
          <w:ilvl w:val="0"/>
          <w:numId w:val="1"/>
        </w:numPr>
        <w:jc w:val="both"/>
        <w:rPr>
          <w:b/>
          <w:bCs/>
        </w:rPr>
      </w:pPr>
      <w:r>
        <w:rPr>
          <w:b/>
          <w:bCs/>
        </w:rPr>
        <w:t xml:space="preserve">Úprava predmetu medzinárodnej zmluvy v práve </w:t>
      </w:r>
      <w:r w:rsidR="00A667EF">
        <w:rPr>
          <w:b/>
          <w:bCs/>
        </w:rPr>
        <w:t>Európskej únie:</w:t>
      </w:r>
    </w:p>
    <w:p w:rsidR="00032C16" w:rsidRDefault="00044945" w:rsidP="00044945">
      <w:pPr>
        <w:pStyle w:val="Odsekzoznamu"/>
        <w:numPr>
          <w:ilvl w:val="0"/>
          <w:numId w:val="8"/>
        </w:numPr>
        <w:jc w:val="both"/>
      </w:pPr>
      <w:r>
        <w:t>Rozhodnutie Rady 2008/615/SVV z 23. júna 2008 o zintenzívnení cezhraničnej spolupráce, najmä v boji proti terorizmu a cezhraničnej trestnej činnosti (Ú. v. EÚ L</w:t>
      </w:r>
      <w:r w:rsidR="00531019">
        <w:t> </w:t>
      </w:r>
      <w:r>
        <w:t>210, 6.8.2008)</w:t>
      </w:r>
      <w:r w:rsidR="008826B6">
        <w:t xml:space="preserve"> úplná zhoda </w:t>
      </w:r>
    </w:p>
    <w:p w:rsidR="00044945" w:rsidRDefault="00044945" w:rsidP="00044945">
      <w:pPr>
        <w:pStyle w:val="Odsekzoznamu"/>
        <w:numPr>
          <w:ilvl w:val="0"/>
          <w:numId w:val="8"/>
        </w:numPr>
        <w:jc w:val="both"/>
      </w:pPr>
      <w:r>
        <w:lastRenderedPageBreak/>
        <w:t>Rozhodnutie Rady 2008/616/SVV z 23. júna 2008 o vykonávaní rozhodnutia 2008/615/SVV o zintenzívnení cezhraničnej spolupráce, najmä v boji proti terorizmu a cezhraničnej trestnej činnosti (Ú. v. EÚ L 210, 6.8.2008)</w:t>
      </w:r>
      <w:r w:rsidR="008826B6">
        <w:t xml:space="preserve"> úplná zhoda </w:t>
      </w:r>
    </w:p>
    <w:p w:rsidR="00044945" w:rsidRDefault="00044945" w:rsidP="00044945">
      <w:pPr>
        <w:pStyle w:val="Odsekzoznamu"/>
        <w:numPr>
          <w:ilvl w:val="0"/>
          <w:numId w:val="8"/>
        </w:numPr>
        <w:jc w:val="both"/>
      </w:pPr>
      <w:r>
        <w:t>Smernica Európskeho parlamentu a Rady (EÚ) 2016/680 z 27. apríla 2016 o ochrane fyzických osôb pri spracúvaní osobných údajov príslušnými orgánmi na účely predchádzania trestným činom, ich vyšetrovania, odhaľovania alebo stíhania alebo na účely výkonu trestných sankcií a o voľnom pohybe takýchto údajov a o zrušení rámcového rozhodnutia Rady 2008/977/SVV (Ú. v. EÚ L 119, 4.5.2016)</w:t>
      </w:r>
      <w:r w:rsidR="008826B6">
        <w:t xml:space="preserve"> čiastočná zhoda </w:t>
      </w:r>
    </w:p>
    <w:p w:rsidR="00044945" w:rsidRDefault="00044945" w:rsidP="00044945">
      <w:pPr>
        <w:pStyle w:val="Odsekzoznamu"/>
        <w:ind w:left="720"/>
        <w:jc w:val="both"/>
      </w:pPr>
    </w:p>
    <w:p w:rsidR="000B35AC" w:rsidRPr="00295DF0" w:rsidRDefault="000B35AC" w:rsidP="00295DF0">
      <w:pPr>
        <w:numPr>
          <w:ilvl w:val="0"/>
          <w:numId w:val="1"/>
        </w:numPr>
        <w:jc w:val="both"/>
        <w:rPr>
          <w:b/>
          <w:bCs/>
        </w:rPr>
      </w:pPr>
      <w:r>
        <w:rPr>
          <w:b/>
          <w:bCs/>
        </w:rPr>
        <w:t xml:space="preserve">Kategória zmluvy podľa čl. 7 ods. 4 Ústavy Slovenskej republiky (vyžaduje pred ratifikáciou súhlas Národnej rady Slovenskej republiky): </w:t>
      </w:r>
      <w:r w:rsidR="00664439" w:rsidRPr="00664439">
        <w:t>medzinárodná z</w:t>
      </w:r>
      <w:r w:rsidRPr="00664439">
        <w:t>mluva, ktorá priamo zakla</w:t>
      </w:r>
      <w:r>
        <w:t>dá práva alebo povinnosti fyzických osôb alebo právnických osôb, preto sa vyžaduje súhlas Nár</w:t>
      </w:r>
      <w:r w:rsidR="004B2B62">
        <w:t>odnej rady Slovenskej republiky.</w:t>
      </w:r>
      <w:r w:rsidR="00A232BF">
        <w:t xml:space="preserve"> </w:t>
      </w:r>
    </w:p>
    <w:p w:rsidR="000B35AC" w:rsidRDefault="000B35AC" w:rsidP="000B35AC">
      <w:pPr>
        <w:numPr>
          <w:ilvl w:val="12"/>
          <w:numId w:val="0"/>
        </w:numPr>
        <w:jc w:val="both"/>
        <w:rPr>
          <w:b/>
          <w:bCs/>
        </w:rPr>
      </w:pPr>
    </w:p>
    <w:p w:rsidR="000B35AC" w:rsidRDefault="000B35AC" w:rsidP="00D40758">
      <w:pPr>
        <w:pStyle w:val="Odsekzoznamu"/>
        <w:numPr>
          <w:ilvl w:val="0"/>
          <w:numId w:val="1"/>
        </w:numPr>
        <w:jc w:val="both"/>
      </w:pPr>
      <w:r w:rsidRPr="00D40758">
        <w:rPr>
          <w:b/>
          <w:bCs/>
        </w:rPr>
        <w:t>Kategória zmluvy podľa čl. 7 ods. 5 Ústavy Slovenskej republiky (má prednosť pred zákonmi):</w:t>
      </w:r>
      <w:r>
        <w:t xml:space="preserve"> </w:t>
      </w:r>
      <w:r w:rsidR="00664439">
        <w:t>medzinárodná zmluva</w:t>
      </w:r>
      <w:r>
        <w:t>, ktorá priamo zakladá práva alebo povinnosti fyzických osôb alebo právnických osôb</w:t>
      </w:r>
      <w:r w:rsidR="00AC37C8">
        <w:t xml:space="preserve"> (ustanovenia z</w:t>
      </w:r>
      <w:r w:rsidR="00664439">
        <w:t xml:space="preserve">mluvy, ktoré priamo zakladajú práva alebo povinnosti fyzických osôb alebo právnických osôb sú uvedené v bode 4 doložky) a zároveň </w:t>
      </w:r>
      <w:r w:rsidR="00A232BF">
        <w:t xml:space="preserve">medzinárodná </w:t>
      </w:r>
      <w:r w:rsidR="00664439">
        <w:t xml:space="preserve">zmluva, </w:t>
      </w:r>
      <w:r>
        <w:t>na ktorej vykonanie nie je potrebný zákon. Po ratifikácii a vyhlásení spôsobom ustanoveným z</w:t>
      </w:r>
      <w:r w:rsidR="00A232BF">
        <w:t xml:space="preserve">ákonom bude mať </w:t>
      </w:r>
      <w:r w:rsidR="00EA7597">
        <w:t>dohovor</w:t>
      </w:r>
      <w:r w:rsidR="00AC37C8">
        <w:t xml:space="preserve"> prednosť pred zákonmi.</w:t>
      </w:r>
      <w:r w:rsidR="00F3695C" w:rsidRPr="00F3695C">
        <w:t xml:space="preserve"> </w:t>
      </w:r>
    </w:p>
    <w:p w:rsidR="00EA7597" w:rsidRPr="00EA7597" w:rsidRDefault="00EA7597" w:rsidP="006C5ACC">
      <w:pPr>
        <w:numPr>
          <w:ilvl w:val="12"/>
          <w:numId w:val="0"/>
        </w:numPr>
        <w:jc w:val="both"/>
        <w:rPr>
          <w:b/>
          <w:bCs/>
        </w:rPr>
      </w:pPr>
    </w:p>
    <w:p w:rsidR="00EA7597" w:rsidRDefault="00FA7B83" w:rsidP="00995E79">
      <w:pPr>
        <w:numPr>
          <w:ilvl w:val="0"/>
          <w:numId w:val="1"/>
        </w:numPr>
        <w:jc w:val="both"/>
        <w:rPr>
          <w:b/>
          <w:bCs/>
        </w:rPr>
      </w:pPr>
      <w:r>
        <w:rPr>
          <w:b/>
          <w:bCs/>
        </w:rPr>
        <w:t>Vplyvy</w:t>
      </w:r>
      <w:r w:rsidR="000B35AC">
        <w:rPr>
          <w:b/>
          <w:bCs/>
        </w:rPr>
        <w:t xml:space="preserve"> prijatia medzinárodnej zmluvy, ktorá má prednosť pred zákonmi, na slovenský právny poriadok (uvedú sa právne predpisy alebo ich jednotlivé ustanovenia, ktorých sa medzinárodná zmluva týka</w:t>
      </w:r>
      <w:r w:rsidR="000B35AC" w:rsidRPr="00B37E97">
        <w:rPr>
          <w:b/>
          <w:bCs/>
        </w:rPr>
        <w:t>;</w:t>
      </w:r>
      <w:r w:rsidR="000B35AC">
        <w:rPr>
          <w:b/>
          <w:bCs/>
        </w:rPr>
        <w:t xml:space="preserve"> potreba ich zrušenia alebo adaptácie z dôvodu duplicity): </w:t>
      </w:r>
    </w:p>
    <w:p w:rsidR="00995E79" w:rsidRPr="00995E79" w:rsidRDefault="00EA7597" w:rsidP="00EA7597">
      <w:pPr>
        <w:jc w:val="both"/>
        <w:rPr>
          <w:b/>
          <w:bCs/>
        </w:rPr>
      </w:pPr>
      <w:r w:rsidRPr="00664439">
        <w:t xml:space="preserve">Vzhľadom </w:t>
      </w:r>
      <w:r w:rsidR="00664439">
        <w:t xml:space="preserve">na </w:t>
      </w:r>
      <w:r w:rsidR="007D4A05">
        <w:t xml:space="preserve">priamu použiteľnosť ustanovení </w:t>
      </w:r>
      <w:r>
        <w:t>dohovoru</w:t>
      </w:r>
      <w:r w:rsidR="007D4A05">
        <w:t xml:space="preserve"> a jeho</w:t>
      </w:r>
      <w:r w:rsidR="00664439">
        <w:t xml:space="preserve"> prednosť pred zákonmi nie </w:t>
      </w:r>
      <w:r w:rsidR="000B35AC">
        <w:t>je potrebné meniť</w:t>
      </w:r>
      <w:r w:rsidR="00664439">
        <w:t xml:space="preserve">, zrušiť alebo adaptovať </w:t>
      </w:r>
      <w:r w:rsidR="000B35AC">
        <w:t>žiadny právny predpis.</w:t>
      </w:r>
      <w:r w:rsidR="007D4A05">
        <w:t xml:space="preserve"> </w:t>
      </w:r>
      <w:r>
        <w:t>Dohovor</w:t>
      </w:r>
      <w:r w:rsidR="007D4A05">
        <w:t xml:space="preserve"> sa týkajú</w:t>
      </w:r>
      <w:r w:rsidR="00664439">
        <w:t xml:space="preserve"> predovšetkým týchto všeobec</w:t>
      </w:r>
      <w:r w:rsidR="00995E79">
        <w:t>ne záväzných právnych predpisov</w:t>
      </w:r>
      <w:r w:rsidR="00030289">
        <w:rPr>
          <w:color w:val="000000"/>
        </w:rPr>
        <w:t>:</w:t>
      </w:r>
    </w:p>
    <w:p w:rsidR="00995E79" w:rsidRDefault="00995E79" w:rsidP="00995E79">
      <w:pPr>
        <w:ind w:left="360"/>
        <w:jc w:val="both"/>
        <w:rPr>
          <w:color w:val="000000"/>
        </w:rPr>
      </w:pPr>
    </w:p>
    <w:p w:rsidR="00EA7597" w:rsidRDefault="00EA7597" w:rsidP="00EA7597">
      <w:pPr>
        <w:numPr>
          <w:ilvl w:val="0"/>
          <w:numId w:val="6"/>
        </w:numPr>
        <w:overflowPunct/>
        <w:autoSpaceDE/>
        <w:autoSpaceDN/>
        <w:adjustRightInd/>
        <w:jc w:val="both"/>
        <w:textAlignment w:val="auto"/>
      </w:pPr>
      <w:r w:rsidRPr="00EA7597">
        <w:t xml:space="preserve">zákon č. 300/205 Z. z. Trestný zákon </w:t>
      </w:r>
      <w:r>
        <w:t xml:space="preserve">v znení neskorších predpisov, </w:t>
      </w:r>
    </w:p>
    <w:p w:rsidR="00EA7597" w:rsidRDefault="00EA7597" w:rsidP="00EA7597">
      <w:pPr>
        <w:numPr>
          <w:ilvl w:val="0"/>
          <w:numId w:val="6"/>
        </w:numPr>
        <w:overflowPunct/>
        <w:autoSpaceDE/>
        <w:autoSpaceDN/>
        <w:adjustRightInd/>
        <w:jc w:val="both"/>
        <w:textAlignment w:val="auto"/>
      </w:pPr>
      <w:r>
        <w:t>zákon</w:t>
      </w:r>
      <w:r w:rsidRPr="00EA7597">
        <w:t xml:space="preserve"> č. 301/2005 Z. z. Trestný poriadok v znení neskorších predpisov</w:t>
      </w:r>
      <w:r>
        <w:t>,</w:t>
      </w:r>
    </w:p>
    <w:p w:rsidR="00995E79" w:rsidRPr="003A5BF5" w:rsidRDefault="00995E79" w:rsidP="00995E79">
      <w:pPr>
        <w:numPr>
          <w:ilvl w:val="0"/>
          <w:numId w:val="6"/>
        </w:numPr>
        <w:overflowPunct/>
        <w:autoSpaceDE/>
        <w:autoSpaceDN/>
        <w:adjustRightInd/>
        <w:jc w:val="both"/>
        <w:textAlignment w:val="auto"/>
      </w:pPr>
      <w:r>
        <w:t>z</w:t>
      </w:r>
      <w:r w:rsidRPr="003A5BF5">
        <w:t xml:space="preserve">ákon </w:t>
      </w:r>
      <w:r w:rsidR="00030289">
        <w:t xml:space="preserve">č. </w:t>
      </w:r>
      <w:r w:rsidRPr="003A5BF5">
        <w:t>171/1993 Z.</w:t>
      </w:r>
      <w:r>
        <w:t xml:space="preserve"> </w:t>
      </w:r>
      <w:r w:rsidRPr="003A5BF5">
        <w:t xml:space="preserve">z. o Policajnom zbore v znení neskorších </w:t>
      </w:r>
      <w:r>
        <w:t>predpisov</w:t>
      </w:r>
      <w:r w:rsidR="00030289">
        <w:rPr>
          <w:lang w:val="en-US"/>
        </w:rPr>
        <w:t>,</w:t>
      </w:r>
    </w:p>
    <w:p w:rsidR="00995E79" w:rsidRPr="003A5BF5" w:rsidRDefault="00995E79" w:rsidP="00EE33F9">
      <w:pPr>
        <w:numPr>
          <w:ilvl w:val="0"/>
          <w:numId w:val="6"/>
        </w:numPr>
        <w:overflowPunct/>
        <w:autoSpaceDE/>
        <w:autoSpaceDN/>
        <w:adjustRightInd/>
        <w:jc w:val="both"/>
        <w:textAlignment w:val="auto"/>
        <w:rPr>
          <w:color w:val="000000"/>
        </w:rPr>
      </w:pPr>
      <w:r>
        <w:t>z</w:t>
      </w:r>
      <w:r w:rsidRPr="003A5BF5">
        <w:t xml:space="preserve">ákon </w:t>
      </w:r>
      <w:r w:rsidR="00030289">
        <w:t xml:space="preserve">č. </w:t>
      </w:r>
      <w:r w:rsidR="00EE33F9">
        <w:t>18/</w:t>
      </w:r>
      <w:r w:rsidRPr="003A5BF5">
        <w:t>20</w:t>
      </w:r>
      <w:r w:rsidR="00EE33F9">
        <w:t>18</w:t>
      </w:r>
      <w:r w:rsidRPr="003A5BF5">
        <w:t xml:space="preserve"> Z.</w:t>
      </w:r>
      <w:r>
        <w:t xml:space="preserve"> </w:t>
      </w:r>
      <w:r w:rsidRPr="003A5BF5">
        <w:t>z.</w:t>
      </w:r>
      <w:r w:rsidRPr="003A5BF5">
        <w:rPr>
          <w:color w:val="000000"/>
        </w:rPr>
        <w:t xml:space="preserve"> </w:t>
      </w:r>
      <w:r w:rsidRPr="003A5BF5">
        <w:t>o </w:t>
      </w:r>
      <w:r w:rsidR="00EE33F9" w:rsidRPr="00EE33F9">
        <w:t>ochrane osobných údajov a o zmene a doplnení niektorých zákonov</w:t>
      </w:r>
      <w:r w:rsidR="00EE33F9">
        <w:t>.</w:t>
      </w:r>
    </w:p>
    <w:p w:rsidR="00995E79" w:rsidRPr="003A5BF5" w:rsidRDefault="00995E79" w:rsidP="00995E79">
      <w:pPr>
        <w:ind w:left="360"/>
        <w:jc w:val="both"/>
        <w:rPr>
          <w:color w:val="000000"/>
        </w:rPr>
      </w:pPr>
    </w:p>
    <w:p w:rsidR="00EA7597" w:rsidRDefault="00EA7597" w:rsidP="00EA7597">
      <w:pPr>
        <w:jc w:val="both"/>
      </w:pPr>
      <w:r>
        <w:t>Dohovor</w:t>
      </w:r>
      <w:r w:rsidR="00995E79" w:rsidRPr="00494473">
        <w:t xml:space="preserve"> </w:t>
      </w:r>
      <w:r w:rsidR="00995E79">
        <w:t>s</w:t>
      </w:r>
      <w:r w:rsidR="007D4A05">
        <w:t xml:space="preserve">a netýka </w:t>
      </w:r>
      <w:r w:rsidR="00995E79" w:rsidRPr="00494473">
        <w:t xml:space="preserve">záväzkov z iných medzinárodných zmlúv, ktorými je Slovenská republika viazaná. </w:t>
      </w:r>
      <w:r w:rsidRPr="00EA7597">
        <w:t xml:space="preserve">Slovenská republika </w:t>
      </w:r>
      <w:r>
        <w:t>sa stane zmluvnou stranou dohovoru po</w:t>
      </w:r>
      <w:r w:rsidRPr="00EA7597">
        <w:t xml:space="preserve"> uložen</w:t>
      </w:r>
      <w:r>
        <w:t>í</w:t>
      </w:r>
      <w:r w:rsidRPr="00EA7597">
        <w:t xml:space="preserve"> listiny o</w:t>
      </w:r>
      <w:r w:rsidR="00D40758">
        <w:t> </w:t>
      </w:r>
      <w:r w:rsidRPr="00EA7597">
        <w:t>prístupe</w:t>
      </w:r>
      <w:r w:rsidR="00D40758">
        <w:t xml:space="preserve"> u depozitára, ktorým je </w:t>
      </w:r>
      <w:r w:rsidR="009A30A9" w:rsidRPr="009A30A9">
        <w:t>Albánska republika</w:t>
      </w:r>
      <w:r w:rsidR="009A30A9">
        <w:t xml:space="preserve">. </w:t>
      </w:r>
      <w:r w:rsidR="009A30A9" w:rsidRPr="00EA7597">
        <w:t xml:space="preserve">Predmetný </w:t>
      </w:r>
      <w:r w:rsidRPr="00EA7597">
        <w:t>dohov</w:t>
      </w:r>
      <w:r>
        <w:t xml:space="preserve">or nadobudol platnosť dňa 10. októbra 2007. </w:t>
      </w:r>
    </w:p>
    <w:p w:rsidR="00503431" w:rsidRDefault="00503431" w:rsidP="00EA7597">
      <w:pPr>
        <w:jc w:val="both"/>
      </w:pPr>
    </w:p>
    <w:p w:rsidR="00503431" w:rsidRDefault="00503431" w:rsidP="00EA7597">
      <w:pPr>
        <w:jc w:val="both"/>
      </w:pPr>
      <w:r w:rsidRPr="00503431">
        <w:t>Zmluvnými stranami Dohovoru sú okrem signatárskych štátov aj Rakúsko, Bulharsko, Chorvátsko, Maďarsko a Slovinsko.</w:t>
      </w:r>
    </w:p>
    <w:sectPr w:rsidR="00503431">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5C9" w:rsidRDefault="000325C9" w:rsidP="000D75D8">
      <w:r>
        <w:separator/>
      </w:r>
    </w:p>
  </w:endnote>
  <w:endnote w:type="continuationSeparator" w:id="0">
    <w:p w:rsidR="000325C9" w:rsidRDefault="000325C9" w:rsidP="000D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762086"/>
      <w:docPartObj>
        <w:docPartGallery w:val="Page Numbers (Bottom of Page)"/>
        <w:docPartUnique/>
      </w:docPartObj>
    </w:sdtPr>
    <w:sdtContent>
      <w:p w:rsidR="000D75D8" w:rsidRDefault="000D75D8">
        <w:pPr>
          <w:pStyle w:val="Pta"/>
          <w:jc w:val="center"/>
        </w:pPr>
        <w:r>
          <w:fldChar w:fldCharType="begin"/>
        </w:r>
        <w:r>
          <w:instrText>PAGE   \* MERGEFORMAT</w:instrText>
        </w:r>
        <w:r>
          <w:fldChar w:fldCharType="separate"/>
        </w:r>
        <w:r>
          <w:rPr>
            <w:noProof/>
          </w:rPr>
          <w:t>1</w:t>
        </w:r>
        <w:r>
          <w:fldChar w:fldCharType="end"/>
        </w:r>
      </w:p>
    </w:sdtContent>
  </w:sdt>
  <w:p w:rsidR="000D75D8" w:rsidRDefault="000D75D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5C9" w:rsidRDefault="000325C9" w:rsidP="000D75D8">
      <w:r>
        <w:separator/>
      </w:r>
    </w:p>
  </w:footnote>
  <w:footnote w:type="continuationSeparator" w:id="0">
    <w:p w:rsidR="000325C9" w:rsidRDefault="000325C9" w:rsidP="000D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5C53"/>
    <w:multiLevelType w:val="hybridMultilevel"/>
    <w:tmpl w:val="55982F34"/>
    <w:lvl w:ilvl="0" w:tplc="0E10E0B0">
      <w:start w:val="5"/>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8C770C"/>
    <w:multiLevelType w:val="hybridMultilevel"/>
    <w:tmpl w:val="8C38A4E6"/>
    <w:lvl w:ilvl="0" w:tplc="B998A7AC">
      <w:numFmt w:val="bullet"/>
      <w:lvlText w:val="-"/>
      <w:lvlJc w:val="left"/>
      <w:pPr>
        <w:tabs>
          <w:tab w:val="num" w:pos="644"/>
        </w:tabs>
        <w:ind w:left="644"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FF1DA1"/>
    <w:multiLevelType w:val="hybridMultilevel"/>
    <w:tmpl w:val="8278D834"/>
    <w:lvl w:ilvl="0" w:tplc="7E00299A">
      <w:start w:val="1"/>
      <w:numFmt w:val="decimal"/>
      <w:lvlText w:val="%1."/>
      <w:lvlJc w:val="left"/>
      <w:pPr>
        <w:ind w:left="643" w:hanging="360"/>
      </w:pPr>
      <w:rPr>
        <w:rFonts w:cs="Times New Roman" w:hint="default"/>
      </w:rPr>
    </w:lvl>
    <w:lvl w:ilvl="1" w:tplc="041B0019" w:tentative="1">
      <w:start w:val="1"/>
      <w:numFmt w:val="lowerLetter"/>
      <w:lvlText w:val="%2."/>
      <w:lvlJc w:val="left"/>
      <w:pPr>
        <w:ind w:left="1363" w:hanging="360"/>
      </w:pPr>
      <w:rPr>
        <w:rFonts w:cs="Times New Roman"/>
      </w:rPr>
    </w:lvl>
    <w:lvl w:ilvl="2" w:tplc="041B001B" w:tentative="1">
      <w:start w:val="1"/>
      <w:numFmt w:val="lowerRoman"/>
      <w:lvlText w:val="%3."/>
      <w:lvlJc w:val="right"/>
      <w:pPr>
        <w:ind w:left="2083" w:hanging="180"/>
      </w:pPr>
      <w:rPr>
        <w:rFonts w:cs="Times New Roman"/>
      </w:rPr>
    </w:lvl>
    <w:lvl w:ilvl="3" w:tplc="041B000F" w:tentative="1">
      <w:start w:val="1"/>
      <w:numFmt w:val="decimal"/>
      <w:lvlText w:val="%4."/>
      <w:lvlJc w:val="left"/>
      <w:pPr>
        <w:ind w:left="2803" w:hanging="360"/>
      </w:pPr>
      <w:rPr>
        <w:rFonts w:cs="Times New Roman"/>
      </w:rPr>
    </w:lvl>
    <w:lvl w:ilvl="4" w:tplc="041B0019" w:tentative="1">
      <w:start w:val="1"/>
      <w:numFmt w:val="lowerLetter"/>
      <w:lvlText w:val="%5."/>
      <w:lvlJc w:val="left"/>
      <w:pPr>
        <w:ind w:left="3523" w:hanging="360"/>
      </w:pPr>
      <w:rPr>
        <w:rFonts w:cs="Times New Roman"/>
      </w:rPr>
    </w:lvl>
    <w:lvl w:ilvl="5" w:tplc="041B001B" w:tentative="1">
      <w:start w:val="1"/>
      <w:numFmt w:val="lowerRoman"/>
      <w:lvlText w:val="%6."/>
      <w:lvlJc w:val="right"/>
      <w:pPr>
        <w:ind w:left="4243" w:hanging="180"/>
      </w:pPr>
      <w:rPr>
        <w:rFonts w:cs="Times New Roman"/>
      </w:rPr>
    </w:lvl>
    <w:lvl w:ilvl="6" w:tplc="041B000F" w:tentative="1">
      <w:start w:val="1"/>
      <w:numFmt w:val="decimal"/>
      <w:lvlText w:val="%7."/>
      <w:lvlJc w:val="left"/>
      <w:pPr>
        <w:ind w:left="4963" w:hanging="360"/>
      </w:pPr>
      <w:rPr>
        <w:rFonts w:cs="Times New Roman"/>
      </w:rPr>
    </w:lvl>
    <w:lvl w:ilvl="7" w:tplc="041B0019" w:tentative="1">
      <w:start w:val="1"/>
      <w:numFmt w:val="lowerLetter"/>
      <w:lvlText w:val="%8."/>
      <w:lvlJc w:val="left"/>
      <w:pPr>
        <w:ind w:left="5683" w:hanging="360"/>
      </w:pPr>
      <w:rPr>
        <w:rFonts w:cs="Times New Roman"/>
      </w:rPr>
    </w:lvl>
    <w:lvl w:ilvl="8" w:tplc="041B001B" w:tentative="1">
      <w:start w:val="1"/>
      <w:numFmt w:val="lowerRoman"/>
      <w:lvlText w:val="%9."/>
      <w:lvlJc w:val="right"/>
      <w:pPr>
        <w:ind w:left="6403" w:hanging="180"/>
      </w:pPr>
      <w:rPr>
        <w:rFonts w:cs="Times New Roman"/>
      </w:rPr>
    </w:lvl>
  </w:abstractNum>
  <w:abstractNum w:abstractNumId="3" w15:restartNumberingAfterBreak="0">
    <w:nsid w:val="2CD36039"/>
    <w:multiLevelType w:val="hybridMultilevel"/>
    <w:tmpl w:val="86E0D636"/>
    <w:lvl w:ilvl="0" w:tplc="9CBA002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E893C6C"/>
    <w:multiLevelType w:val="hybridMultilevel"/>
    <w:tmpl w:val="035C464A"/>
    <w:lvl w:ilvl="0" w:tplc="B998A7AC">
      <w:numFmt w:val="bullet"/>
      <w:lvlText w:val="-"/>
      <w:lvlJc w:val="left"/>
      <w:pPr>
        <w:tabs>
          <w:tab w:val="num" w:pos="644"/>
        </w:tabs>
        <w:ind w:left="644" w:hanging="360"/>
      </w:pPr>
      <w:rPr>
        <w:rFonts w:ascii="Times New Roman" w:eastAsia="Times New Roman" w:hAnsi="Times New Roman" w:hint="default"/>
      </w:rPr>
    </w:lvl>
    <w:lvl w:ilvl="1" w:tplc="041B0003">
      <w:start w:val="1"/>
      <w:numFmt w:val="bullet"/>
      <w:lvlText w:val="o"/>
      <w:lvlJc w:val="left"/>
      <w:pPr>
        <w:tabs>
          <w:tab w:val="num" w:pos="1364"/>
        </w:tabs>
        <w:ind w:left="1364" w:hanging="360"/>
      </w:pPr>
      <w:rPr>
        <w:rFonts w:ascii="Courier New" w:hAnsi="Courier New" w:hint="default"/>
      </w:rPr>
    </w:lvl>
    <w:lvl w:ilvl="2" w:tplc="041B0005">
      <w:start w:val="1"/>
      <w:numFmt w:val="bullet"/>
      <w:lvlText w:val=""/>
      <w:lvlJc w:val="left"/>
      <w:pPr>
        <w:tabs>
          <w:tab w:val="num" w:pos="2084"/>
        </w:tabs>
        <w:ind w:left="2084" w:hanging="360"/>
      </w:pPr>
      <w:rPr>
        <w:rFonts w:ascii="Wingdings" w:hAnsi="Wingdings" w:hint="default"/>
      </w:rPr>
    </w:lvl>
    <w:lvl w:ilvl="3" w:tplc="041B0001">
      <w:start w:val="1"/>
      <w:numFmt w:val="bullet"/>
      <w:lvlText w:val=""/>
      <w:lvlJc w:val="left"/>
      <w:pPr>
        <w:tabs>
          <w:tab w:val="num" w:pos="2804"/>
        </w:tabs>
        <w:ind w:left="2804" w:hanging="360"/>
      </w:pPr>
      <w:rPr>
        <w:rFonts w:ascii="Symbol" w:hAnsi="Symbol" w:hint="default"/>
      </w:rPr>
    </w:lvl>
    <w:lvl w:ilvl="4" w:tplc="041B0003">
      <w:start w:val="1"/>
      <w:numFmt w:val="bullet"/>
      <w:lvlText w:val="o"/>
      <w:lvlJc w:val="left"/>
      <w:pPr>
        <w:tabs>
          <w:tab w:val="num" w:pos="3524"/>
        </w:tabs>
        <w:ind w:left="3524" w:hanging="360"/>
      </w:pPr>
      <w:rPr>
        <w:rFonts w:ascii="Courier New" w:hAnsi="Courier New" w:hint="default"/>
      </w:rPr>
    </w:lvl>
    <w:lvl w:ilvl="5" w:tplc="041B0005">
      <w:start w:val="1"/>
      <w:numFmt w:val="bullet"/>
      <w:lvlText w:val=""/>
      <w:lvlJc w:val="left"/>
      <w:pPr>
        <w:tabs>
          <w:tab w:val="num" w:pos="4244"/>
        </w:tabs>
        <w:ind w:left="4244" w:hanging="360"/>
      </w:pPr>
      <w:rPr>
        <w:rFonts w:ascii="Wingdings" w:hAnsi="Wingdings" w:hint="default"/>
      </w:rPr>
    </w:lvl>
    <w:lvl w:ilvl="6" w:tplc="041B0001">
      <w:start w:val="1"/>
      <w:numFmt w:val="bullet"/>
      <w:lvlText w:val=""/>
      <w:lvlJc w:val="left"/>
      <w:pPr>
        <w:tabs>
          <w:tab w:val="num" w:pos="4964"/>
        </w:tabs>
        <w:ind w:left="4964" w:hanging="360"/>
      </w:pPr>
      <w:rPr>
        <w:rFonts w:ascii="Symbol" w:hAnsi="Symbol" w:hint="default"/>
      </w:rPr>
    </w:lvl>
    <w:lvl w:ilvl="7" w:tplc="041B0003">
      <w:start w:val="1"/>
      <w:numFmt w:val="bullet"/>
      <w:lvlText w:val="o"/>
      <w:lvlJc w:val="left"/>
      <w:pPr>
        <w:tabs>
          <w:tab w:val="num" w:pos="5684"/>
        </w:tabs>
        <w:ind w:left="5684" w:hanging="360"/>
      </w:pPr>
      <w:rPr>
        <w:rFonts w:ascii="Courier New" w:hAnsi="Courier New" w:hint="default"/>
      </w:rPr>
    </w:lvl>
    <w:lvl w:ilvl="8" w:tplc="041B0005">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5AAF26D4"/>
    <w:multiLevelType w:val="hybridMultilevel"/>
    <w:tmpl w:val="97948574"/>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A65696"/>
    <w:multiLevelType w:val="singleLevel"/>
    <w:tmpl w:val="2564E052"/>
    <w:lvl w:ilvl="0">
      <w:start w:val="1"/>
      <w:numFmt w:val="decimal"/>
      <w:lvlText w:val="%1."/>
      <w:legacy w:legacy="1" w:legacySpace="0" w:legacyIndent="283"/>
      <w:lvlJc w:val="left"/>
      <w:pPr>
        <w:ind w:left="283" w:hanging="283"/>
      </w:pPr>
      <w:rPr>
        <w:rFonts w:cs="Times New Roman"/>
        <w:b/>
        <w:bCs/>
        <w:i w:val="0"/>
        <w:iCs w:val="0"/>
        <w:sz w:val="24"/>
        <w:szCs w:val="24"/>
      </w:rPr>
    </w:lvl>
  </w:abstractNum>
  <w:num w:numId="1">
    <w:abstractNumId w:val="6"/>
  </w:num>
  <w:num w:numId="2">
    <w:abstractNumId w:val="6"/>
    <w:lvlOverride w:ilvl="0">
      <w:lvl w:ilvl="0">
        <w:start w:val="1"/>
        <w:numFmt w:val="decimal"/>
        <w:lvlText w:val="%1."/>
        <w:legacy w:legacy="1" w:legacySpace="0" w:legacyIndent="283"/>
        <w:lvlJc w:val="left"/>
        <w:pPr>
          <w:ind w:left="283" w:hanging="283"/>
        </w:pPr>
        <w:rPr>
          <w:rFonts w:cs="Times New Roman"/>
          <w:b/>
          <w:bCs/>
          <w:i w:val="0"/>
          <w:iCs w:val="0"/>
        </w:rPr>
      </w:lvl>
    </w:lvlOverride>
  </w:num>
  <w:num w:numId="3">
    <w:abstractNumId w:val="4"/>
  </w:num>
  <w:num w:numId="4">
    <w:abstractNumId w:val="5"/>
  </w:num>
  <w:num w:numId="5">
    <w:abstractNumId w:val="1"/>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5AC"/>
    <w:rsid w:val="00030289"/>
    <w:rsid w:val="000325C9"/>
    <w:rsid w:val="00032C16"/>
    <w:rsid w:val="00044945"/>
    <w:rsid w:val="00051AA7"/>
    <w:rsid w:val="000565D0"/>
    <w:rsid w:val="00095BFB"/>
    <w:rsid w:val="000B35AC"/>
    <w:rsid w:val="000C70CA"/>
    <w:rsid w:val="000D75D8"/>
    <w:rsid w:val="000E34E2"/>
    <w:rsid w:val="0013247D"/>
    <w:rsid w:val="00203F28"/>
    <w:rsid w:val="00295DF0"/>
    <w:rsid w:val="002A374D"/>
    <w:rsid w:val="00301284"/>
    <w:rsid w:val="003372A3"/>
    <w:rsid w:val="003873D1"/>
    <w:rsid w:val="003A5BF5"/>
    <w:rsid w:val="003F763A"/>
    <w:rsid w:val="00451F86"/>
    <w:rsid w:val="00494473"/>
    <w:rsid w:val="004B2B62"/>
    <w:rsid w:val="004F3EA4"/>
    <w:rsid w:val="00503431"/>
    <w:rsid w:val="00531019"/>
    <w:rsid w:val="00574BB3"/>
    <w:rsid w:val="005B2D84"/>
    <w:rsid w:val="005F0D8E"/>
    <w:rsid w:val="00664439"/>
    <w:rsid w:val="006732B7"/>
    <w:rsid w:val="006F0F7D"/>
    <w:rsid w:val="006F6DBD"/>
    <w:rsid w:val="0070333E"/>
    <w:rsid w:val="007720D8"/>
    <w:rsid w:val="007B1396"/>
    <w:rsid w:val="007C1E68"/>
    <w:rsid w:val="007D115D"/>
    <w:rsid w:val="007D4A05"/>
    <w:rsid w:val="008117B5"/>
    <w:rsid w:val="00823673"/>
    <w:rsid w:val="008826B6"/>
    <w:rsid w:val="00883AB2"/>
    <w:rsid w:val="008A08EC"/>
    <w:rsid w:val="008A1350"/>
    <w:rsid w:val="008E1F7A"/>
    <w:rsid w:val="00933559"/>
    <w:rsid w:val="00990900"/>
    <w:rsid w:val="009956BE"/>
    <w:rsid w:val="00995E79"/>
    <w:rsid w:val="009A30A9"/>
    <w:rsid w:val="009A5E0C"/>
    <w:rsid w:val="00A232BF"/>
    <w:rsid w:val="00A62300"/>
    <w:rsid w:val="00A667EF"/>
    <w:rsid w:val="00A8118B"/>
    <w:rsid w:val="00A870F1"/>
    <w:rsid w:val="00AC37C8"/>
    <w:rsid w:val="00B21555"/>
    <w:rsid w:val="00B251A5"/>
    <w:rsid w:val="00B3204E"/>
    <w:rsid w:val="00B37E97"/>
    <w:rsid w:val="00B423B7"/>
    <w:rsid w:val="00B4723E"/>
    <w:rsid w:val="00BA662A"/>
    <w:rsid w:val="00BD4032"/>
    <w:rsid w:val="00C04F3D"/>
    <w:rsid w:val="00C32D54"/>
    <w:rsid w:val="00C34A49"/>
    <w:rsid w:val="00C47CCD"/>
    <w:rsid w:val="00C74B78"/>
    <w:rsid w:val="00C84BBD"/>
    <w:rsid w:val="00CB39C7"/>
    <w:rsid w:val="00D328DF"/>
    <w:rsid w:val="00D40758"/>
    <w:rsid w:val="00D479E0"/>
    <w:rsid w:val="00D605A3"/>
    <w:rsid w:val="00D65473"/>
    <w:rsid w:val="00D7162E"/>
    <w:rsid w:val="00D874C2"/>
    <w:rsid w:val="00E15C06"/>
    <w:rsid w:val="00E66A15"/>
    <w:rsid w:val="00E96615"/>
    <w:rsid w:val="00EA7597"/>
    <w:rsid w:val="00EE33F9"/>
    <w:rsid w:val="00EE4ECB"/>
    <w:rsid w:val="00F07796"/>
    <w:rsid w:val="00F1375E"/>
    <w:rsid w:val="00F3695C"/>
    <w:rsid w:val="00FA7B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0A6E706A-75F8-427F-9223-CE90F7D9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overflowPunct w:val="0"/>
      <w:autoSpaceDE w:val="0"/>
      <w:autoSpaceDN w:val="0"/>
      <w:adjustRightInd w:val="0"/>
      <w:spacing w:after="0" w:line="240" w:lineRule="auto"/>
      <w:textAlignment w:val="baseline"/>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tandpsmoodst">
    <w:name w:val="Stand. písmo odst."/>
    <w:uiPriority w:val="99"/>
  </w:style>
  <w:style w:type="paragraph" w:styleId="Odsekzoznamu">
    <w:name w:val="List Paragraph"/>
    <w:basedOn w:val="Normlny"/>
    <w:uiPriority w:val="34"/>
    <w:qFormat/>
    <w:rsid w:val="00995E79"/>
    <w:pPr>
      <w:ind w:left="708"/>
    </w:pPr>
  </w:style>
  <w:style w:type="paragraph" w:styleId="Hlavika">
    <w:name w:val="header"/>
    <w:basedOn w:val="Normlny"/>
    <w:link w:val="HlavikaChar"/>
    <w:uiPriority w:val="99"/>
    <w:unhideWhenUsed/>
    <w:rsid w:val="000D75D8"/>
    <w:pPr>
      <w:tabs>
        <w:tab w:val="center" w:pos="4536"/>
        <w:tab w:val="right" w:pos="9072"/>
      </w:tabs>
    </w:pPr>
  </w:style>
  <w:style w:type="character" w:customStyle="1" w:styleId="HlavikaChar">
    <w:name w:val="Hlavička Char"/>
    <w:basedOn w:val="Predvolenpsmoodseku"/>
    <w:link w:val="Hlavika"/>
    <w:uiPriority w:val="99"/>
    <w:rsid w:val="000D75D8"/>
    <w:rPr>
      <w:sz w:val="24"/>
      <w:szCs w:val="24"/>
    </w:rPr>
  </w:style>
  <w:style w:type="paragraph" w:styleId="Pta">
    <w:name w:val="footer"/>
    <w:basedOn w:val="Normlny"/>
    <w:link w:val="PtaChar"/>
    <w:uiPriority w:val="99"/>
    <w:unhideWhenUsed/>
    <w:rsid w:val="000D75D8"/>
    <w:pPr>
      <w:tabs>
        <w:tab w:val="center" w:pos="4536"/>
        <w:tab w:val="right" w:pos="9072"/>
      </w:tabs>
    </w:pPr>
  </w:style>
  <w:style w:type="character" w:customStyle="1" w:styleId="PtaChar">
    <w:name w:val="Päta Char"/>
    <w:basedOn w:val="Predvolenpsmoodseku"/>
    <w:link w:val="Pta"/>
    <w:uiPriority w:val="99"/>
    <w:rsid w:val="000D75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4744</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DOLOŽKA PREDNOSTI</vt:lpstr>
    </vt:vector>
  </TitlesOfParts>
  <Company>MVSR</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PREDNOSTI</dc:title>
  <dc:creator>JAJO</dc:creator>
  <cp:lastModifiedBy>Nikoleta Fekete</cp:lastModifiedBy>
  <cp:revision>2</cp:revision>
  <cp:lastPrinted>2011-09-13T09:42:00Z</cp:lastPrinted>
  <dcterms:created xsi:type="dcterms:W3CDTF">2025-03-05T13:32:00Z</dcterms:created>
  <dcterms:modified xsi:type="dcterms:W3CDTF">2025-03-05T13:32:00Z</dcterms:modified>
</cp:coreProperties>
</file>