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na prístup Slovenskej republiky k Dohovoru o policajnej spolupráci pre juhovýchodnú Európu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LP/2025/11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="000553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553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553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553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553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553F1" w:rsidRPr="000553F1">
        <w:rPr>
          <w:rFonts w:ascii="Times New Roman" w:eastAsia="Times New Roman" w:hAnsi="Times New Roman" w:cs="Times New Roman"/>
          <w:bCs/>
          <w:sz w:val="24"/>
          <w:szCs w:val="24"/>
        </w:rPr>
        <w:t>14. januára – 3 februára 2025</w:t>
      </w:r>
      <w:r w:rsidR="000553F1">
        <w:rPr>
          <w:rFonts w:ascii="Times New Roman" w:eastAsia="Times New Roman" w:hAnsi="Times New Roman" w:cs="Times New Roman"/>
          <w:bCs/>
          <w:sz w:val="24"/>
          <w:szCs w:val="24"/>
        </w:rPr>
        <w:t>, bežný/15 pracovných dní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11/0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7C72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7C72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Generálna prokuratúra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Všeobecne - 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vyššie uvedenému materiálu Generálna prokuratúra Slovenskej republiky neuplatňuje pripomienky.</w:t>
            </w:r>
          </w:p>
        </w:tc>
        <w:tc>
          <w:tcPr>
            <w:tcW w:w="778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2F2A04" w:rsidRDefault="002F2A04">
            <w:pPr>
              <w:spacing w:after="0"/>
            </w:pP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Doložke vybraných vplyvov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Odporúčame predkladateľovi doplniť do časti 5. Alternatívne riešenia - chýbajúci nulový variant – popísať stav, čo by priniesla absencia návrhu na prístup k dohovoru. Ďalej je potrebné doplniť a konkretizovať v časti 8. Preskúmanie účelnosti – konkrétnu lehotu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(mesiac, rok - aspoň orientačne) kedy sa cca sa pristúpi k pristúpeniu dohovoru a spomínanej spolupráci.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Ide o odporúčané a potrebné údaje v zmysle Jednotnej metodiky na posudzovanie vybraných vplyvov.</w:t>
            </w:r>
          </w:p>
        </w:tc>
        <w:tc>
          <w:tcPr>
            <w:tcW w:w="778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2F2A04" w:rsidRDefault="002F2A04">
            <w:pPr>
              <w:spacing w:after="0"/>
            </w:pP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MKSR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kultúry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Navrhujeme slová „článok 4“ nahradiť slovami „odsek 4“ a slová „článok 6“ nahradiť slovami „odsek 6“.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Nesprávny preklad dohovoru z anglického jazyka.</w:t>
            </w:r>
          </w:p>
        </w:tc>
        <w:tc>
          <w:tcPr>
            <w:tcW w:w="778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2F2A04" w:rsidRDefault="002F2A04">
            <w:pPr>
              <w:spacing w:after="0"/>
            </w:pPr>
          </w:p>
        </w:tc>
      </w:tr>
      <w:tr w:rsidR="002F2A04" w:rsidTr="00302D4E">
        <w:trPr>
          <w:trHeight w:val="1637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kultúry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prečíslovať označenie odsekov.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Legislatívno-technická pripomienka.</w:t>
            </w:r>
          </w:p>
        </w:tc>
        <w:tc>
          <w:tcPr>
            <w:tcW w:w="778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2F2A04" w:rsidRDefault="002F2A04">
            <w:pPr>
              <w:spacing w:after="0"/>
            </w:pP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práce, sociálnych vecí a rodiny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 doložke vybraných vplyvov: Navrhujeme, aby v doložke vybraných vplyvov predkladateľ označil pozitívne sociálne vplyvy a v súlade s Jednotnou metodikou na posudzovanie vybraných vplyvov vypracoval analýzu sociálnych vplyvov, v ktorej identifikuje a popíše vplyvy na prístup k zdrojom, právam, tovarom a službám (bod 4.2 analýzy).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Odôvodnenie: Návrh na pristúpenie k dohovoru vďaka ustanovenej  spolupráci zmluvných strán napr. rozšíri možnosti ochrany svedkov,  čím sa zlepší výkon práv svedkov. V doložke prednosti medzinárodnej zmluvy pred zákonmi sa tiež uvádza, že dohovor ovplyvňuje práva fyzických osôb ako právny základ pre cezhraničnú spoluprácu v oblasti presadzovania práva so širokou škálou moderných foriem spolupráce podľa vzoru osvedčených postupov EÚ, ako sú napr. okrem spomínanej ochrany svedkov aj prenasledovanie, cezhraničné sledovanie, kontrolované dodávky, prenos a porovnávanie profilov DNA a iných identifikačných materiálov, technické opatrenia na uľahčenie cezhraničnej spolupráce, hraničné pátracie operácie, zmiešané analytické pracovné skupiny, spoločné vyšetrovacie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tímy, zmiešané hliadky pozdĺž štátnych hraníc a spolupráca v spoločných strediskách.</w:t>
            </w:r>
          </w:p>
        </w:tc>
        <w:tc>
          <w:tcPr>
            <w:tcW w:w="778" w:type="dxa"/>
            <w:vAlign w:val="center"/>
          </w:tcPr>
          <w:p w:rsidR="002F2A04" w:rsidRDefault="00302D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</w:t>
            </w:r>
          </w:p>
        </w:tc>
        <w:tc>
          <w:tcPr>
            <w:tcW w:w="2462" w:type="dxa"/>
          </w:tcPr>
          <w:p w:rsidR="002F2A04" w:rsidRPr="00302D4E" w:rsidRDefault="00302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 SR uvedenú pripomienku neakceptuje. Dohov</w:t>
            </w:r>
            <w:r w:rsidR="000553F1">
              <w:rPr>
                <w:rFonts w:ascii="Times New Roman" w:hAnsi="Times New Roman" w:cs="Times New Roman"/>
                <w:sz w:val="24"/>
                <w:szCs w:val="24"/>
              </w:rPr>
              <w:t>or nemá žiadne sociálne vplyvy.</w:t>
            </w:r>
            <w:bookmarkStart w:id="0" w:name="_GoBack"/>
            <w:bookmarkEnd w:id="0"/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práce, sociálnych vecí a rodiny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Predkladacej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 predkladacej správe: Odporúčame upraviť posledný odstavec nasledovne: „Predkladaný materiál nemá vplyvy na rozpočet verenej správy, na podnikateľské prostredie, na životné prostredie, na informatizáciu spoločnosti, na služby verejnej správy pre občana, a nemá ani vplyv na manželstvo, rodičovstvo a rodinu. Návrh dohovoru bude mať pozitívne sociálne vplyvy.“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Štylistická a vecná úprava v súlade s predchádzajúcou pripomienkou.</w:t>
            </w:r>
          </w:p>
        </w:tc>
        <w:tc>
          <w:tcPr>
            <w:tcW w:w="778" w:type="dxa"/>
            <w:vAlign w:val="center"/>
          </w:tcPr>
          <w:p w:rsidR="002F2A04" w:rsidRDefault="00302D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2F2A04" w:rsidRDefault="007C7257">
            <w:pPr>
              <w:spacing w:after="0"/>
            </w:pPr>
            <w:r w:rsidRPr="007C7257">
              <w:t>M</w:t>
            </w:r>
            <w:r w:rsidRPr="007C7257">
              <w:rPr>
                <w:rFonts w:ascii="Times New Roman" w:hAnsi="Times New Roman" w:cs="Times New Roman"/>
              </w:rPr>
              <w:t>V SR uvedenú pripomienku neakceptuje. Dohovor nemá žiadne sociálne</w:t>
            </w:r>
            <w:r w:rsidR="000553F1">
              <w:rPr>
                <w:rFonts w:ascii="Times New Roman" w:hAnsi="Times New Roman" w:cs="Times New Roman"/>
              </w:rPr>
              <w:t xml:space="preserve"> vplyvy.</w:t>
            </w: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zahraničných vecí a európskych záležitostí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Predkladacej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doplniť nový štvrtý odsek: „Zmluvnými stranami Dohovoru sú okrem signatárskych štátov aj Rakúsko, Bulharsko, Chorvátsko, Maďarsko a Slovinsko.“</w:t>
            </w:r>
          </w:p>
        </w:tc>
        <w:tc>
          <w:tcPr>
            <w:tcW w:w="778" w:type="dxa"/>
            <w:vAlign w:val="center"/>
          </w:tcPr>
          <w:p w:rsidR="002F2A04" w:rsidRDefault="001D0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2F2A04" w:rsidRDefault="002F2A04" w:rsidP="001D0044">
            <w:pPr>
              <w:spacing w:after="0"/>
            </w:pP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Národný bezpečnostný úrad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 – k článku 32 Dôvernosť informácií a utajovaných skutočností ods. 3 a ods.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 vlastnom materiáli v článku 32 Dôvernosť informácií a utajovaných skutočností v ods. 3 slová „právnych predpisov alebo platných nariadení,“ nahrádzajú slovami „právnych predpisov alebo platných nariadení, a platných bilaterálnych dohôd,“ a v ods. 5 sa slová „právnych predpisov“ nahrádzajú slovami „právnych predpisov a platných bilaterálnych dohôd“.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Precizovanie textu z dôvodu jeho zrozumiteľnosti a presnosti.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Zároveň sa zabezpečuje súlad Dohovoru o policajnej spolupráci nielen s vnútroštátnymi právnymi predpismi, ale aj s medzinárodnými zmluvami, ktoré sú pre zmluvné strany Dohovoru o policajnej spolupráci právne záväzné, a z ktorých zmluvným stranám Dohovoru o policajnej spolupráci plynú vzájomné práva a povinnosti.</w:t>
            </w:r>
          </w:p>
        </w:tc>
        <w:tc>
          <w:tcPr>
            <w:tcW w:w="778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</w:t>
            </w:r>
          </w:p>
        </w:tc>
        <w:tc>
          <w:tcPr>
            <w:tcW w:w="2462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MV SR uvedenú pripomienku nemôže akceptovať, keďže Slovenská republika pristupuje k uvedenému dohovoru, pričom dohovor nadobudol platnosť 10. októbra 2007 a je otvorený na pristúpenie pre ďalšie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štáty.  Text dohovoru už nie je možné meniť. </w:t>
            </w: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NBÚ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Národný bezpečnostný úrad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 – k článku 32 Dôvernosť informácií a utajovaných skutočností ods. 4 a ods.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 vlastnom materiáli v článku 32 Dôvernosť informácií a utajovaných skutočností v ods. 4 a ods. 6 sa slová „odosielajúci orgán“ nahrádzajú slovami „odosielajúci orgán zmluvnej strany“.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Precizovanie z dôvodu zrozumiteľnosti a jednoznačnosti textu.</w:t>
            </w:r>
          </w:p>
        </w:tc>
        <w:tc>
          <w:tcPr>
            <w:tcW w:w="778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MV SR uvedenú pripomienku nemôže akceptovať, keďže Slovenská republika pristupuje k uvedenému dohovoru, pričom dohovor nadobudol platnosť 10. októbra 2007 a je otvorený na pristúpenie pre ďalšie štáty.  Text dohovoru už nie je možné meniť. </w:t>
            </w: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Úrad na ochranu osobných údajov Slovenskej republiky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 ako celku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Upozorňujeme, že úprava ochrany osobných údajov v čl. 31 Dohovoru nespĺňa úroveň ochrany osobných údajov, ktorá je vyžadovaná podľa európskych štandardov (Kapitola V Smernice Európskeho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 (Ú. v. EÚ L 119, 4.5.2016) (ďalej aj „LED“)), resp. podľa IV hlavy zákona č. 18/2018 Z. z. o ochrane osobných údajov v znení neskorších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predpisov. Prenos osobných údajov do tretích krajín sa môže uskutočniť len v prípade, ak medzinárodná zmluva poskytuje primerané záruky podľa čl. 37 LED resp. § 75 zákona č. 18/2018 Z. z. (časť 3 usmernení https://dataprotection.gov.sk/files/metod-edpb/guidelines-on-article-37-law-enforcement-directive.pdf)</w:t>
            </w:r>
          </w:p>
        </w:tc>
        <w:tc>
          <w:tcPr>
            <w:tcW w:w="778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</w:t>
            </w:r>
          </w:p>
        </w:tc>
        <w:tc>
          <w:tcPr>
            <w:tcW w:w="2462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MV SR uvedenú pripomienku nemôže akceptovať, keďže Slovenská republika pristupuje k uvedenému dohovoru, pričom dohovor nadobudol platnosť 10. októbra 2007 a je otvorený na pristúpenie pre ďalšie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štáty.  Text dohovoru už nie je možné meniť. </w:t>
            </w:r>
          </w:p>
        </w:tc>
      </w:tr>
      <w:tr w:rsidR="002F2A04">
        <w:trPr>
          <w:trHeight w:val="648"/>
          <w:jc w:val="center"/>
        </w:trPr>
        <w:tc>
          <w:tcPr>
            <w:tcW w:w="1944" w:type="dxa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Verejnosť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Verejnosť</w:t>
            </w:r>
          </w:p>
        </w:tc>
        <w:tc>
          <w:tcPr>
            <w:tcW w:w="1296" w:type="dxa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Predkladacej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doplniť nový štvrtý odsek: „Zmluvnými stranami Dohovoru sú okrem signatárskych štátov aj Rakúsko, Bulharsko, Chorvátsko, Maďarsko a Slovinsko.“</w:t>
            </w:r>
          </w:p>
        </w:tc>
        <w:tc>
          <w:tcPr>
            <w:tcW w:w="778" w:type="dxa"/>
            <w:vAlign w:val="center"/>
          </w:tcPr>
          <w:p w:rsidR="002F2A04" w:rsidRDefault="004B473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2F2A04" w:rsidRDefault="002F2A04">
            <w:pPr>
              <w:spacing w:after="0"/>
            </w:pP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573E83" w:rsidTr="00573E83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E66622" w:rsidRDefault="00E66622">
      <w:pPr>
        <w:rPr>
          <w:rFonts w:ascii="Times New Roman" w:hAnsi="Times New Roman" w:cs="Times New Roman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:rsidTr="008C63F3">
        <w:trPr>
          <w:trHeight w:val="648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Ministerstva školstva, výskumu, vývoja a mládeže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Verejnosť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Verejnosť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47.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2F2A04">
        <w:trPr>
          <w:trHeight w:val="648"/>
          <w:jc w:val="center"/>
        </w:trPr>
        <w:tc>
          <w:tcPr>
            <w:tcW w:w="0" w:type="auto"/>
          </w:tcPr>
          <w:p w:rsidR="002F2A04" w:rsidRDefault="002F2A0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2F2A04" w:rsidRDefault="003922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 (11o, 0z)</w:t>
            </w:r>
          </w:p>
        </w:tc>
        <w:tc>
          <w:tcPr>
            <w:tcW w:w="0" w:type="auto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F2A04" w:rsidRDefault="003922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362D69"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97" w:rsidRPr="00785E8D" w:rsidRDefault="00DD4A97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DD4A97" w:rsidRPr="00785E8D" w:rsidRDefault="00DD4A97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362D69" w:rsidRDefault="00362D69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0553F1">
          <w:rPr>
            <w:rFonts w:ascii="Times New Roman" w:hAnsi="Times New Roman"/>
          </w:rPr>
          <w:t>2</w:t>
        </w:r>
        <w:r w:rsidRPr="00362D69">
          <w:rPr>
            <w:rFonts w:ascii="Times New Roman" w:hAnsi="Times New Roman"/>
          </w:rPr>
          <w:fldChar w:fldCharType="end"/>
        </w:r>
      </w:p>
    </w:sdtContent>
  </w:sdt>
  <w:p w:rsidR="00362D69" w:rsidRDefault="00362D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97" w:rsidRPr="00785E8D" w:rsidRDefault="00DD4A97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DD4A97" w:rsidRPr="00785E8D" w:rsidRDefault="00DD4A97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553F1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0044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2A04"/>
    <w:rsid w:val="002F4660"/>
    <w:rsid w:val="002F717D"/>
    <w:rsid w:val="00302D4E"/>
    <w:rsid w:val="003034A4"/>
    <w:rsid w:val="00303CA7"/>
    <w:rsid w:val="00335FFB"/>
    <w:rsid w:val="00343965"/>
    <w:rsid w:val="00362D69"/>
    <w:rsid w:val="003640A5"/>
    <w:rsid w:val="003922AC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B4731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73E83"/>
    <w:rsid w:val="00583F11"/>
    <w:rsid w:val="0059287B"/>
    <w:rsid w:val="00594AB1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C7257"/>
    <w:rsid w:val="007E7C38"/>
    <w:rsid w:val="007E7E01"/>
    <w:rsid w:val="007F53D4"/>
    <w:rsid w:val="0084532B"/>
    <w:rsid w:val="0087153C"/>
    <w:rsid w:val="008741FE"/>
    <w:rsid w:val="00876D47"/>
    <w:rsid w:val="008918ED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C711C"/>
    <w:rsid w:val="00DD2850"/>
    <w:rsid w:val="00DD302E"/>
    <w:rsid w:val="00DD4A97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BCB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54E2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9436-4EA2-4654-B81B-AFE4F6FD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Nikoleta Fekete</cp:lastModifiedBy>
  <cp:revision>2</cp:revision>
  <dcterms:created xsi:type="dcterms:W3CDTF">2025-03-06T08:42:00Z</dcterms:created>
  <dcterms:modified xsi:type="dcterms:W3CDTF">2025-03-06T08:42:00Z</dcterms:modified>
</cp:coreProperties>
</file>