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63F7E" w14:textId="77777777" w:rsidR="00283444" w:rsidRPr="00CA46C0" w:rsidRDefault="00251889" w:rsidP="00CA46C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6C0">
        <w:rPr>
          <w:rFonts w:ascii="Times New Roman" w:hAnsi="Times New Roman" w:cs="Times New Roman"/>
          <w:b/>
          <w:bCs/>
          <w:sz w:val="24"/>
          <w:szCs w:val="24"/>
        </w:rPr>
        <w:t>B. O</w:t>
      </w:r>
      <w:r w:rsidR="00283444" w:rsidRPr="00CA46C0">
        <w:rPr>
          <w:rFonts w:ascii="Times New Roman" w:hAnsi="Times New Roman" w:cs="Times New Roman"/>
          <w:b/>
          <w:bCs/>
          <w:sz w:val="24"/>
          <w:szCs w:val="24"/>
        </w:rPr>
        <w:t>sobitná časť</w:t>
      </w:r>
    </w:p>
    <w:p w14:paraId="3E2EBE3C" w14:textId="0A48ECDF" w:rsidR="00A72CCF" w:rsidRPr="00CA46C0" w:rsidRDefault="00A72CCF" w:rsidP="00CA46C0">
      <w:pPr>
        <w:widowControl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6C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90A90" w:rsidRPr="00CA46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A46C0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435F6285" w14:textId="01EC44C1" w:rsidR="00485A0F" w:rsidRDefault="00485A0F" w:rsidP="00CA46C0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bodu 1</w:t>
      </w:r>
    </w:p>
    <w:p w14:paraId="60165709" w14:textId="21C513B0" w:rsidR="00485A0F" w:rsidRPr="00485A0F" w:rsidRDefault="00485A0F" w:rsidP="00485A0F">
      <w:pPr>
        <w:pStyle w:val="Normlnywebov"/>
        <w:spacing w:before="0" w:beforeAutospacing="0" w:after="0" w:afterAutospacing="0"/>
        <w:ind w:firstLine="567"/>
        <w:jc w:val="both"/>
      </w:pPr>
      <w:r>
        <w:t>Formulačná úprava usta</w:t>
      </w:r>
      <w:r w:rsidR="00990FF0">
        <w:t>n</w:t>
      </w:r>
      <w:r>
        <w:t xml:space="preserve">ovenia tak, aby sa vo dvoch vetách oddelene ustanovilo, podľa ktorej časti vyhlášky sa určujú odvody v prípade poľnohospodárskej pôdy a osobitne v prípade vinice. Doterajšie ustanovenie uvádzalo nejasným spôsobom, kde sa upravujú odvody za trvalé a dočasné odňatie. </w:t>
      </w:r>
    </w:p>
    <w:p w14:paraId="457F428B" w14:textId="502C59C5" w:rsidR="006D6AFB" w:rsidRDefault="00F16BF4" w:rsidP="00CA46C0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bodom</w:t>
      </w:r>
      <w:r w:rsidR="00485A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</w:t>
      </w:r>
      <w:r w:rsidR="00D644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</w:p>
    <w:p w14:paraId="5F998029" w14:textId="5CA5A998" w:rsidR="00F16BF4" w:rsidRDefault="00F16BF4" w:rsidP="00F16BF4">
      <w:pPr>
        <w:pStyle w:val="Normlnywebov"/>
        <w:spacing w:before="0" w:beforeAutospacing="0" w:after="0" w:afterAutospacing="0"/>
        <w:ind w:firstLine="567"/>
        <w:jc w:val="both"/>
      </w:pPr>
      <w:r w:rsidRPr="00F16BF4">
        <w:t xml:space="preserve">Vypúšťa sa príloha č. 2 a odkaz na ňu v nadväznosti na zmeny, ktoré nastávajú v § 12 ods. 1 písm. a), § 12 ods. 2 písm. l) a § 27a zákona č. 220/2004 Z. z. s účinnosťou od 1. </w:t>
      </w:r>
      <w:r w:rsidR="00C01C4E">
        <w:t>júna</w:t>
      </w:r>
      <w:r w:rsidRPr="00F16BF4">
        <w:t xml:space="preserve"> 2025. Tým sa do nariadenia vlády č. 58/2013 Z. z. premieta zvýšenie ochrany najkvalitnejšej poľnohospodárskej pôdy. K tomuto zvýšeniu ochrany dochádza </w:t>
      </w:r>
      <w:r w:rsidR="006B1C7A">
        <w:t>zjednotením</w:t>
      </w:r>
      <w:r w:rsidRPr="00F16BF4">
        <w:t xml:space="preserve"> povinnosti platenia odvodu za odňatie poľnohospodárskej pôdy </w:t>
      </w:r>
      <w:r>
        <w:t>(ako základného nástroja na ochranu PP pred zábermi)</w:t>
      </w:r>
      <w:r w:rsidRPr="00F16BF4">
        <w:t xml:space="preserve"> podľa jej kvality na všetky poľnohospodárske pôdy, nielen na vybrané pôdy v každom katastrálnom území.</w:t>
      </w:r>
      <w:r>
        <w:t xml:space="preserve"> </w:t>
      </w:r>
      <w:r w:rsidRPr="00F16BF4">
        <w:t>Príloha č. 2 tým stráca opodstatnenie.</w:t>
      </w:r>
      <w:r>
        <w:t xml:space="preserve"> Doterajší spôsob predpisovania odvodov nedostatočne účinne chránil najkvalitnejšie poľnohospodárske pôdy </w:t>
      </w:r>
      <w:r w:rsidR="006B1C7A">
        <w:t xml:space="preserve">na území Slovenskej republiky </w:t>
      </w:r>
      <w:r>
        <w:t xml:space="preserve">a v niektorých </w:t>
      </w:r>
      <w:r w:rsidR="006B1C7A">
        <w:t xml:space="preserve">katastrálnych územiach </w:t>
      </w:r>
      <w:r>
        <w:t>umožňoval ich záber bez odvodu za odňatie</w:t>
      </w:r>
      <w:r w:rsidR="006B1C7A">
        <w:t>, a to bez ohľadu na účel či rozsah záberu</w:t>
      </w:r>
      <w:r>
        <w:t>.</w:t>
      </w:r>
    </w:p>
    <w:p w14:paraId="33A84ACB" w14:textId="241CB58A" w:rsidR="00D64412" w:rsidRDefault="00D64412" w:rsidP="00EA4EFA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bodu 3</w:t>
      </w:r>
    </w:p>
    <w:p w14:paraId="7C6D3C3B" w14:textId="7FCA9BB9" w:rsidR="00D64412" w:rsidRPr="004D5F52" w:rsidRDefault="00D64412" w:rsidP="004D5F52">
      <w:pPr>
        <w:pStyle w:val="Normlnywebov"/>
        <w:spacing w:before="0" w:beforeAutospacing="0" w:after="0" w:afterAutospacing="0"/>
        <w:ind w:firstLine="567"/>
        <w:jc w:val="both"/>
      </w:pPr>
      <w:r>
        <w:t xml:space="preserve">Zvyšuje sa odvod za odňatie takej poľnohospodárskej pôdy, na ktorej sa nachádza </w:t>
      </w:r>
      <w:r w:rsidR="004D5F52">
        <w:t>funkčné</w:t>
      </w:r>
      <w:r>
        <w:t xml:space="preserve"> závlahové zariadenie. Cieľom sprísnenia je predchádzať odňatiu takej pôdy, kde sa nachádzajú funkčné závlahové zariadenia, pretože taká plocha plní okrem funkcií pôdy aj ďalšie </w:t>
      </w:r>
      <w:r w:rsidR="00BB0A90">
        <w:t>funkcie</w:t>
      </w:r>
      <w:r w:rsidRPr="004D5F52">
        <w:t>.</w:t>
      </w:r>
    </w:p>
    <w:p w14:paraId="554002B5" w14:textId="03F7CBCA" w:rsidR="00064AD5" w:rsidRDefault="00064AD5" w:rsidP="00EA4EFA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 bodu </w:t>
      </w:r>
      <w:r w:rsidR="00D644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</w:p>
    <w:p w14:paraId="4E634C75" w14:textId="197A48FB" w:rsidR="00064AD5" w:rsidRPr="00064AD5" w:rsidRDefault="00064AD5" w:rsidP="00064AD5">
      <w:pPr>
        <w:pStyle w:val="Normlnywebov"/>
        <w:spacing w:before="0" w:beforeAutospacing="0" w:after="0" w:afterAutospacing="0"/>
        <w:ind w:firstLine="567"/>
        <w:jc w:val="both"/>
      </w:pPr>
      <w:r>
        <w:t>Vypúšťa sa spôsob úhrady odvodu poštovým poukazom z dôvodu zjednodušenia úhrady a ponecháva sa len spôsob bezhotovostnej úhrady, ktorý je všeobecne používaným, jednoduchým, rýchlym a transparentným spôsobom úhrady.</w:t>
      </w:r>
    </w:p>
    <w:p w14:paraId="2E5FCE2A" w14:textId="09BCC372" w:rsidR="00EA4EFA" w:rsidRPr="00EA4EFA" w:rsidRDefault="00D64412" w:rsidP="00EA4EFA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bodu 5</w:t>
      </w:r>
    </w:p>
    <w:p w14:paraId="2C74E512" w14:textId="77777777" w:rsidR="00EA4EFA" w:rsidRPr="00EA4EFA" w:rsidRDefault="00EA4EFA" w:rsidP="00EA4EFA">
      <w:pPr>
        <w:pStyle w:val="Normlnywebov"/>
        <w:spacing w:before="0" w:beforeAutospacing="0" w:after="0" w:afterAutospacing="0"/>
        <w:ind w:firstLine="567"/>
        <w:jc w:val="both"/>
      </w:pPr>
      <w:r w:rsidRPr="00EA4EFA">
        <w:t>Z výnimky z platenia odvodu sa vylučujú neverejné účelové cesty. Nie je dôvod na to, aby účelové neverejné komunikácie neslúžiace verejnosti ani inému verejnoprospešnému účelu boli oslobodené od odvodu. V porovnaní s ostatnými pozemnými komunikáciami slúžiacimi verejnosti jednoznačne pri týchto neverejných účelových cestách prevažuje verejný záujem na ochrane poľnohospodárskej pôdy nad súkromným záujmom spojeným s vybudovaním a využívaním neverejnej účelovej cesty. Vzťahuje sa to teda na neverejné účelové cesty definované v § 22 ods. 3 cestného zákona, najmä v priestoroch alebo objektoch, do ktorých nie je umožnený voľný prístup, resp. vjazd verejnosti, uzavretých ohradeniami, rampami alebo inými súvislými alebo nesúvislými prekážkami.</w:t>
      </w:r>
    </w:p>
    <w:p w14:paraId="3E6E6EC4" w14:textId="5972AA51" w:rsidR="00485A0F" w:rsidRPr="00A719E2" w:rsidRDefault="00485A0F" w:rsidP="00A719E2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719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 bodu </w:t>
      </w:r>
      <w:r w:rsidR="00D644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</w:p>
    <w:p w14:paraId="77F24389" w14:textId="60A44C7C" w:rsidR="00A719E2" w:rsidRPr="00A719E2" w:rsidRDefault="00A719E2" w:rsidP="00F16BF4">
      <w:pPr>
        <w:pStyle w:val="Normlnywebov"/>
        <w:spacing w:before="0" w:beforeAutospacing="0" w:after="0" w:afterAutospacing="0"/>
        <w:ind w:firstLine="567"/>
        <w:jc w:val="both"/>
      </w:pPr>
      <w:r>
        <w:t>Zjednodušuje a sprehľadňuje sa úprava výnimky z platenia odvodu pre doterajšie rodinné domy. V súvislosti s novou právnou úpravou na úseku výstavby zaniká kategória rodinných domov a </w:t>
      </w:r>
      <w:r w:rsidR="00E76EC3">
        <w:t>nahrádza</w:t>
      </w:r>
      <w:r>
        <w:t xml:space="preserve"> ju širšia kategória bytových budov. Účel výnimky z platenia odvodu by</w:t>
      </w:r>
      <w:r w:rsidR="00990FF0">
        <w:t> </w:t>
      </w:r>
      <w:r>
        <w:t xml:space="preserve">s teda mal vzťahovať na bytové </w:t>
      </w:r>
      <w:r w:rsidR="006B1C7A">
        <w:t xml:space="preserve">budovy </w:t>
      </w:r>
      <w:r>
        <w:t>bez ohľadu na to, či ide o</w:t>
      </w:r>
      <w:r w:rsidR="006B1C7A">
        <w:t> pôvodnú kategóriu rodinných domov (budovy na bývanie s najviac tromi bytmi najviac na dvoch nadzemných podlažiach) alebo o bytové budovy s</w:t>
      </w:r>
      <w:r>
        <w:t> viacerými bytovými jednotkami na viacerých podlažiach. Pre ochranu poľnohospodárskej pôdy je podstatným parametrom výmera</w:t>
      </w:r>
      <w:r w:rsidR="006B1C7A">
        <w:t xml:space="preserve"> záberu pôdy</w:t>
      </w:r>
      <w:r>
        <w:t xml:space="preserve">, nie </w:t>
      </w:r>
      <w:proofErr w:type="spellStart"/>
      <w:r>
        <w:t>podlažnosť</w:t>
      </w:r>
      <w:proofErr w:type="spellEnd"/>
      <w:r>
        <w:t xml:space="preserve"> stavby. Výmera</w:t>
      </w:r>
      <w:r w:rsidR="00990FF0">
        <w:t xml:space="preserve"> sa zjednocuje na </w:t>
      </w:r>
      <w:r w:rsidR="00BB69F3">
        <w:t>200 </w:t>
      </w:r>
      <w:r>
        <w:t>m</w:t>
      </w:r>
      <w:r w:rsidRPr="00A719E2">
        <w:rPr>
          <w:vertAlign w:val="superscript"/>
        </w:rPr>
        <w:t>2</w:t>
      </w:r>
      <w:r>
        <w:t xml:space="preserve">, </w:t>
      </w:r>
      <w:r w:rsidR="006B1C7A">
        <w:t>predstavujúcich</w:t>
      </w:r>
      <w:r>
        <w:t xml:space="preserve"> strednú hodnotu medzi </w:t>
      </w:r>
      <w:r>
        <w:lastRenderedPageBreak/>
        <w:t>doteraz ustanovenými hodnotami 150</w:t>
      </w:r>
      <w:r w:rsidR="00990FF0">
        <w:t> </w:t>
      </w:r>
      <w:r>
        <w:t>m</w:t>
      </w:r>
      <w:r w:rsidRPr="00A719E2">
        <w:rPr>
          <w:vertAlign w:val="superscript"/>
        </w:rPr>
        <w:t>2</w:t>
      </w:r>
      <w:r>
        <w:t xml:space="preserve"> </w:t>
      </w:r>
      <w:r w:rsidR="006B1C7A">
        <w:t xml:space="preserve">pre dvojpodlažné rodinné domy </w:t>
      </w:r>
      <w:r>
        <w:t>a</w:t>
      </w:r>
      <w:r w:rsidR="00990FF0">
        <w:t> </w:t>
      </w:r>
      <w:r>
        <w:t>250</w:t>
      </w:r>
      <w:r w:rsidR="00990FF0">
        <w:t> </w:t>
      </w:r>
      <w:r>
        <w:t>m</w:t>
      </w:r>
      <w:r w:rsidRPr="00A719E2">
        <w:rPr>
          <w:vertAlign w:val="superscript"/>
        </w:rPr>
        <w:t>2</w:t>
      </w:r>
      <w:r w:rsidR="006B1C7A">
        <w:rPr>
          <w:vertAlign w:val="superscript"/>
        </w:rPr>
        <w:t xml:space="preserve"> </w:t>
      </w:r>
      <w:r w:rsidR="006B1C7A" w:rsidRPr="006B1C7A">
        <w:t>pre</w:t>
      </w:r>
      <w:r w:rsidR="006B1C7A">
        <w:rPr>
          <w:vertAlign w:val="superscript"/>
        </w:rPr>
        <w:t xml:space="preserve"> </w:t>
      </w:r>
      <w:r w:rsidR="006B1C7A">
        <w:t xml:space="preserve">rodinné domy s jedným </w:t>
      </w:r>
      <w:r w:rsidR="00C76D8D">
        <w:t>nadzemným</w:t>
      </w:r>
      <w:r w:rsidR="006B1C7A">
        <w:t xml:space="preserve"> podlažím</w:t>
      </w:r>
      <w:r>
        <w:t>.</w:t>
      </w:r>
    </w:p>
    <w:p w14:paraId="3ABEA008" w14:textId="66C86463" w:rsidR="00D26D7E" w:rsidRPr="00CA46C0" w:rsidRDefault="00F16BF4" w:rsidP="00CA46C0">
      <w:pPr>
        <w:widowControl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0A1D36E5" w14:textId="6FAB45F0" w:rsidR="002D09B0" w:rsidRPr="00CA46C0" w:rsidRDefault="00CA5A95" w:rsidP="00CA46C0">
      <w:pPr>
        <w:pStyle w:val="Normlnywebov"/>
        <w:spacing w:before="0" w:beforeAutospacing="0" w:after="0" w:afterAutospacing="0"/>
        <w:ind w:firstLine="567"/>
        <w:jc w:val="both"/>
        <w:rPr>
          <w:b/>
          <w:bCs/>
        </w:rPr>
      </w:pPr>
      <w:r w:rsidRPr="00CA46C0">
        <w:t xml:space="preserve">Dátum nadobudnutia účinnosti </w:t>
      </w:r>
      <w:r w:rsidR="00AC1C3F" w:rsidRPr="00CA46C0">
        <w:t xml:space="preserve">sa navrhuje </w:t>
      </w:r>
      <w:r w:rsidR="00D45EB0" w:rsidRPr="00CA46C0">
        <w:t xml:space="preserve">na 1. </w:t>
      </w:r>
      <w:r w:rsidR="00C01C4E">
        <w:t>jún</w:t>
      </w:r>
      <w:bookmarkStart w:id="0" w:name="_GoBack"/>
      <w:bookmarkEnd w:id="0"/>
      <w:r w:rsidR="00DB4A1E" w:rsidRPr="00CA46C0">
        <w:t xml:space="preserve"> </w:t>
      </w:r>
      <w:r w:rsidR="00D45EB0" w:rsidRPr="00CA46C0">
        <w:t>2025</w:t>
      </w:r>
      <w:r w:rsidR="00F16BF4">
        <w:t xml:space="preserve"> v nadväznosti na dátum nadobudnutia účinnosti novely zákona č. 220/2004 Z. z., ktorá je dôvodom predloženia tohto návrhu nariadenia vlády</w:t>
      </w:r>
      <w:r w:rsidR="00904078" w:rsidRPr="00CA46C0">
        <w:t>.</w:t>
      </w:r>
    </w:p>
    <w:sectPr w:rsidR="002D09B0" w:rsidRPr="00CA46C0" w:rsidSect="00DB6E7B">
      <w:footerReference w:type="default" r:id="rId8"/>
      <w:pgSz w:w="11906" w:h="16838"/>
      <w:pgMar w:top="1134" w:right="1417" w:bottom="1276" w:left="1417" w:header="708" w:footer="708" w:gutter="0"/>
      <w:pgNumType w:start="6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80581E" w16cex:dateUtc="2024-04-21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EEADF" w16cid:durableId="148058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6A6F" w14:textId="77777777" w:rsidR="00ED6454" w:rsidRDefault="00ED6454" w:rsidP="00B30818">
      <w:pPr>
        <w:spacing w:after="0" w:line="240" w:lineRule="auto"/>
      </w:pPr>
      <w:r>
        <w:separator/>
      </w:r>
    </w:p>
  </w:endnote>
  <w:endnote w:type="continuationSeparator" w:id="0">
    <w:p w14:paraId="0ED0D600" w14:textId="77777777" w:rsidR="00ED6454" w:rsidRDefault="00ED6454" w:rsidP="00B3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657498700"/>
      <w:docPartObj>
        <w:docPartGallery w:val="Page Numbers (Bottom of Page)"/>
        <w:docPartUnique/>
      </w:docPartObj>
    </w:sdtPr>
    <w:sdtEndPr/>
    <w:sdtContent>
      <w:p w14:paraId="79A384F3" w14:textId="39C982F7" w:rsidR="00212D37" w:rsidRPr="00CA46C0" w:rsidRDefault="00CA46C0" w:rsidP="00CA46C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CA46C0">
          <w:rPr>
            <w:rFonts w:ascii="Times New Roman" w:hAnsi="Times New Roman" w:cs="Times New Roman"/>
            <w:sz w:val="24"/>
          </w:rPr>
          <w:fldChar w:fldCharType="begin"/>
        </w:r>
        <w:r w:rsidRPr="00CA46C0">
          <w:rPr>
            <w:rFonts w:ascii="Times New Roman" w:hAnsi="Times New Roman" w:cs="Times New Roman"/>
            <w:sz w:val="24"/>
          </w:rPr>
          <w:instrText>PAGE   \* MERGEFORMAT</w:instrText>
        </w:r>
        <w:r w:rsidRPr="00CA46C0">
          <w:rPr>
            <w:rFonts w:ascii="Times New Roman" w:hAnsi="Times New Roman" w:cs="Times New Roman"/>
            <w:sz w:val="24"/>
          </w:rPr>
          <w:fldChar w:fldCharType="separate"/>
        </w:r>
        <w:r w:rsidR="00C01C4E">
          <w:rPr>
            <w:rFonts w:ascii="Times New Roman" w:hAnsi="Times New Roman" w:cs="Times New Roman"/>
            <w:noProof/>
            <w:sz w:val="24"/>
          </w:rPr>
          <w:t>7</w:t>
        </w:r>
        <w:r w:rsidRPr="00CA46C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EA205" w14:textId="77777777" w:rsidR="00ED6454" w:rsidRDefault="00ED6454" w:rsidP="00B30818">
      <w:pPr>
        <w:spacing w:after="0" w:line="240" w:lineRule="auto"/>
      </w:pPr>
      <w:r>
        <w:separator/>
      </w:r>
    </w:p>
  </w:footnote>
  <w:footnote w:type="continuationSeparator" w:id="0">
    <w:p w14:paraId="2642E7E7" w14:textId="77777777" w:rsidR="00ED6454" w:rsidRDefault="00ED6454" w:rsidP="00B30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CB"/>
    <w:rsid w:val="000040A2"/>
    <w:rsid w:val="00014794"/>
    <w:rsid w:val="00034AF8"/>
    <w:rsid w:val="00064AD5"/>
    <w:rsid w:val="00067389"/>
    <w:rsid w:val="00067F90"/>
    <w:rsid w:val="00080C92"/>
    <w:rsid w:val="000848F0"/>
    <w:rsid w:val="000859CB"/>
    <w:rsid w:val="00086BD0"/>
    <w:rsid w:val="00093B0C"/>
    <w:rsid w:val="000949DD"/>
    <w:rsid w:val="000B700A"/>
    <w:rsid w:val="000C4C55"/>
    <w:rsid w:val="000F70A3"/>
    <w:rsid w:val="00106CDE"/>
    <w:rsid w:val="00132C8C"/>
    <w:rsid w:val="00144D66"/>
    <w:rsid w:val="00182CF2"/>
    <w:rsid w:val="00194394"/>
    <w:rsid w:val="001A01BA"/>
    <w:rsid w:val="001A3C17"/>
    <w:rsid w:val="001D5206"/>
    <w:rsid w:val="001D7E98"/>
    <w:rsid w:val="001E40C6"/>
    <w:rsid w:val="001E42D2"/>
    <w:rsid w:val="001F7142"/>
    <w:rsid w:val="00207455"/>
    <w:rsid w:val="00212D37"/>
    <w:rsid w:val="00216CB5"/>
    <w:rsid w:val="00221289"/>
    <w:rsid w:val="002237DB"/>
    <w:rsid w:val="00225556"/>
    <w:rsid w:val="00251889"/>
    <w:rsid w:val="00253406"/>
    <w:rsid w:val="002534EE"/>
    <w:rsid w:val="00262D5C"/>
    <w:rsid w:val="002713D8"/>
    <w:rsid w:val="00283444"/>
    <w:rsid w:val="00284E2B"/>
    <w:rsid w:val="002C0F2D"/>
    <w:rsid w:val="002C2CEC"/>
    <w:rsid w:val="002D09B0"/>
    <w:rsid w:val="002F79F6"/>
    <w:rsid w:val="00310BDA"/>
    <w:rsid w:val="00321A9D"/>
    <w:rsid w:val="0032227B"/>
    <w:rsid w:val="00326F27"/>
    <w:rsid w:val="00336FC5"/>
    <w:rsid w:val="0034250B"/>
    <w:rsid w:val="003426FD"/>
    <w:rsid w:val="003442A3"/>
    <w:rsid w:val="00347F83"/>
    <w:rsid w:val="00376487"/>
    <w:rsid w:val="003A0558"/>
    <w:rsid w:val="003A2948"/>
    <w:rsid w:val="003B3809"/>
    <w:rsid w:val="003C2C0F"/>
    <w:rsid w:val="003C5CBB"/>
    <w:rsid w:val="003D406B"/>
    <w:rsid w:val="003F1F94"/>
    <w:rsid w:val="003F6B00"/>
    <w:rsid w:val="003F786B"/>
    <w:rsid w:val="00437AA0"/>
    <w:rsid w:val="00447D7F"/>
    <w:rsid w:val="00451A71"/>
    <w:rsid w:val="00452AEB"/>
    <w:rsid w:val="0046428E"/>
    <w:rsid w:val="00485A0F"/>
    <w:rsid w:val="004872A2"/>
    <w:rsid w:val="00494287"/>
    <w:rsid w:val="004A5457"/>
    <w:rsid w:val="004A71D8"/>
    <w:rsid w:val="004C08A7"/>
    <w:rsid w:val="004C2BF1"/>
    <w:rsid w:val="004C2E5B"/>
    <w:rsid w:val="004D0EEA"/>
    <w:rsid w:val="004D27A0"/>
    <w:rsid w:val="004D31A5"/>
    <w:rsid w:val="004D5F52"/>
    <w:rsid w:val="004F5C8E"/>
    <w:rsid w:val="00501475"/>
    <w:rsid w:val="00515B40"/>
    <w:rsid w:val="00531B65"/>
    <w:rsid w:val="005325F0"/>
    <w:rsid w:val="00534B02"/>
    <w:rsid w:val="00546BB8"/>
    <w:rsid w:val="00550738"/>
    <w:rsid w:val="005603BC"/>
    <w:rsid w:val="00561383"/>
    <w:rsid w:val="0056732B"/>
    <w:rsid w:val="005A0CC0"/>
    <w:rsid w:val="005A3A53"/>
    <w:rsid w:val="005A5BBE"/>
    <w:rsid w:val="005C1AEF"/>
    <w:rsid w:val="00624869"/>
    <w:rsid w:val="00644C34"/>
    <w:rsid w:val="0064721C"/>
    <w:rsid w:val="00654AF5"/>
    <w:rsid w:val="0065757C"/>
    <w:rsid w:val="0067215C"/>
    <w:rsid w:val="00675FE9"/>
    <w:rsid w:val="006817D4"/>
    <w:rsid w:val="00690A90"/>
    <w:rsid w:val="00692538"/>
    <w:rsid w:val="006A08B6"/>
    <w:rsid w:val="006B1C7A"/>
    <w:rsid w:val="006B6B53"/>
    <w:rsid w:val="006C2AEB"/>
    <w:rsid w:val="006C43CD"/>
    <w:rsid w:val="006D2E14"/>
    <w:rsid w:val="006D6AFB"/>
    <w:rsid w:val="0070238D"/>
    <w:rsid w:val="00710216"/>
    <w:rsid w:val="0071785F"/>
    <w:rsid w:val="00725F34"/>
    <w:rsid w:val="00740349"/>
    <w:rsid w:val="00746701"/>
    <w:rsid w:val="00761E19"/>
    <w:rsid w:val="00762ACA"/>
    <w:rsid w:val="0077115F"/>
    <w:rsid w:val="007A00FC"/>
    <w:rsid w:val="007A013C"/>
    <w:rsid w:val="007B7025"/>
    <w:rsid w:val="007D3E52"/>
    <w:rsid w:val="007D51E8"/>
    <w:rsid w:val="007E1047"/>
    <w:rsid w:val="007E24F4"/>
    <w:rsid w:val="007E4BDB"/>
    <w:rsid w:val="007F6C14"/>
    <w:rsid w:val="00812214"/>
    <w:rsid w:val="00822BF9"/>
    <w:rsid w:val="00824FF1"/>
    <w:rsid w:val="00840348"/>
    <w:rsid w:val="00873707"/>
    <w:rsid w:val="00875085"/>
    <w:rsid w:val="008868CC"/>
    <w:rsid w:val="0089504E"/>
    <w:rsid w:val="008A09D4"/>
    <w:rsid w:val="008B5BDE"/>
    <w:rsid w:val="008C0D10"/>
    <w:rsid w:val="008D0623"/>
    <w:rsid w:val="008D55B6"/>
    <w:rsid w:val="00902BF2"/>
    <w:rsid w:val="00904078"/>
    <w:rsid w:val="00906BB9"/>
    <w:rsid w:val="00917011"/>
    <w:rsid w:val="009247C2"/>
    <w:rsid w:val="009436BA"/>
    <w:rsid w:val="0094399B"/>
    <w:rsid w:val="00955CE0"/>
    <w:rsid w:val="009756FB"/>
    <w:rsid w:val="00976895"/>
    <w:rsid w:val="00976899"/>
    <w:rsid w:val="00990FF0"/>
    <w:rsid w:val="009A6EC2"/>
    <w:rsid w:val="009C03F6"/>
    <w:rsid w:val="009C27EB"/>
    <w:rsid w:val="009C6263"/>
    <w:rsid w:val="009C71F8"/>
    <w:rsid w:val="009C7567"/>
    <w:rsid w:val="009D013F"/>
    <w:rsid w:val="009F6623"/>
    <w:rsid w:val="00A07ECB"/>
    <w:rsid w:val="00A1039A"/>
    <w:rsid w:val="00A21836"/>
    <w:rsid w:val="00A37301"/>
    <w:rsid w:val="00A4564E"/>
    <w:rsid w:val="00A45BB0"/>
    <w:rsid w:val="00A719E2"/>
    <w:rsid w:val="00A72CCF"/>
    <w:rsid w:val="00A81A4D"/>
    <w:rsid w:val="00A93096"/>
    <w:rsid w:val="00AA079A"/>
    <w:rsid w:val="00AA33FE"/>
    <w:rsid w:val="00AA7A45"/>
    <w:rsid w:val="00AB3464"/>
    <w:rsid w:val="00AB65CB"/>
    <w:rsid w:val="00AC1C3F"/>
    <w:rsid w:val="00AD265E"/>
    <w:rsid w:val="00AE3D4C"/>
    <w:rsid w:val="00AE6F79"/>
    <w:rsid w:val="00AF19A1"/>
    <w:rsid w:val="00B00865"/>
    <w:rsid w:val="00B029CB"/>
    <w:rsid w:val="00B03DDA"/>
    <w:rsid w:val="00B056B8"/>
    <w:rsid w:val="00B1105D"/>
    <w:rsid w:val="00B214A9"/>
    <w:rsid w:val="00B2262A"/>
    <w:rsid w:val="00B2415E"/>
    <w:rsid w:val="00B30818"/>
    <w:rsid w:val="00B4286C"/>
    <w:rsid w:val="00B42CFE"/>
    <w:rsid w:val="00B446D4"/>
    <w:rsid w:val="00B61263"/>
    <w:rsid w:val="00B64BAC"/>
    <w:rsid w:val="00B666FC"/>
    <w:rsid w:val="00B96800"/>
    <w:rsid w:val="00BA254E"/>
    <w:rsid w:val="00BA7E5F"/>
    <w:rsid w:val="00BB0A90"/>
    <w:rsid w:val="00BB69F3"/>
    <w:rsid w:val="00BC5BB5"/>
    <w:rsid w:val="00BD1101"/>
    <w:rsid w:val="00BF0319"/>
    <w:rsid w:val="00C01C4E"/>
    <w:rsid w:val="00C02344"/>
    <w:rsid w:val="00C0499D"/>
    <w:rsid w:val="00C112AB"/>
    <w:rsid w:val="00C17C24"/>
    <w:rsid w:val="00C244FC"/>
    <w:rsid w:val="00C26FCD"/>
    <w:rsid w:val="00C52939"/>
    <w:rsid w:val="00C654C6"/>
    <w:rsid w:val="00C701FB"/>
    <w:rsid w:val="00C76D8D"/>
    <w:rsid w:val="00C77AC1"/>
    <w:rsid w:val="00C92012"/>
    <w:rsid w:val="00CA2140"/>
    <w:rsid w:val="00CA46C0"/>
    <w:rsid w:val="00CA5A95"/>
    <w:rsid w:val="00CB44A7"/>
    <w:rsid w:val="00CB6DB1"/>
    <w:rsid w:val="00CC557C"/>
    <w:rsid w:val="00CF5E2F"/>
    <w:rsid w:val="00D148CC"/>
    <w:rsid w:val="00D211B7"/>
    <w:rsid w:val="00D24642"/>
    <w:rsid w:val="00D26D7E"/>
    <w:rsid w:val="00D45EB0"/>
    <w:rsid w:val="00D47412"/>
    <w:rsid w:val="00D5166F"/>
    <w:rsid w:val="00D60F6E"/>
    <w:rsid w:val="00D64412"/>
    <w:rsid w:val="00D6759A"/>
    <w:rsid w:val="00DB4A1E"/>
    <w:rsid w:val="00DB6E7B"/>
    <w:rsid w:val="00DC724E"/>
    <w:rsid w:val="00DE0002"/>
    <w:rsid w:val="00DE6E9A"/>
    <w:rsid w:val="00DF1EEE"/>
    <w:rsid w:val="00E10AF6"/>
    <w:rsid w:val="00E2334A"/>
    <w:rsid w:val="00E23595"/>
    <w:rsid w:val="00E24F86"/>
    <w:rsid w:val="00E34149"/>
    <w:rsid w:val="00E360FC"/>
    <w:rsid w:val="00E37208"/>
    <w:rsid w:val="00E43CA7"/>
    <w:rsid w:val="00E51FCA"/>
    <w:rsid w:val="00E5409E"/>
    <w:rsid w:val="00E733DE"/>
    <w:rsid w:val="00E76EC3"/>
    <w:rsid w:val="00E85809"/>
    <w:rsid w:val="00E938F0"/>
    <w:rsid w:val="00EA2557"/>
    <w:rsid w:val="00EA4E5E"/>
    <w:rsid w:val="00EA4EFA"/>
    <w:rsid w:val="00EA5987"/>
    <w:rsid w:val="00EA63CE"/>
    <w:rsid w:val="00ED6454"/>
    <w:rsid w:val="00EE4A80"/>
    <w:rsid w:val="00EE6BBB"/>
    <w:rsid w:val="00EE736C"/>
    <w:rsid w:val="00EE7DBC"/>
    <w:rsid w:val="00EF5B2F"/>
    <w:rsid w:val="00F056C9"/>
    <w:rsid w:val="00F0573C"/>
    <w:rsid w:val="00F10D0F"/>
    <w:rsid w:val="00F15772"/>
    <w:rsid w:val="00F157F6"/>
    <w:rsid w:val="00F16BF4"/>
    <w:rsid w:val="00F219B7"/>
    <w:rsid w:val="00F227EE"/>
    <w:rsid w:val="00F239C7"/>
    <w:rsid w:val="00F341BB"/>
    <w:rsid w:val="00F44373"/>
    <w:rsid w:val="00F443DE"/>
    <w:rsid w:val="00F4489A"/>
    <w:rsid w:val="00F75E3A"/>
    <w:rsid w:val="00FB5555"/>
    <w:rsid w:val="00FC060E"/>
    <w:rsid w:val="00FE192D"/>
    <w:rsid w:val="00FE2AF2"/>
    <w:rsid w:val="00FE3606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DC1"/>
  <w15:docId w15:val="{206958F9-A428-B945-A1AA-41D3E51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4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818"/>
  </w:style>
  <w:style w:type="paragraph" w:styleId="Pta">
    <w:name w:val="footer"/>
    <w:basedOn w:val="Normlny"/>
    <w:link w:val="PtaChar"/>
    <w:uiPriority w:val="99"/>
    <w:unhideWhenUsed/>
    <w:rsid w:val="00B3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818"/>
  </w:style>
  <w:style w:type="paragraph" w:styleId="Textbubliny">
    <w:name w:val="Balloon Text"/>
    <w:basedOn w:val="Normlny"/>
    <w:link w:val="TextbublinyChar"/>
    <w:uiPriority w:val="99"/>
    <w:semiHidden/>
    <w:unhideWhenUsed/>
    <w:rsid w:val="00B3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8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5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D3E52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690A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0A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0A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0A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0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ovodova-sprava-osobitna-cast" edit="true"/>
    <f:field ref="objsubject" par="" text="" edit="true"/>
    <f:field ref="objcreatedby" par="" text="Naďová, Jana"/>
    <f:field ref="objcreatedat" par="" date="2025-02-14T10:56:29" text="14.2.2025 10:56:29"/>
    <f:field ref="objchangedby" par="" text="Bosáková, Oľga, Mgr."/>
    <f:field ref="objmodifiedat" par="" date="2025-02-14T10:58:01" text="14.2.2025 10:58:01"/>
    <f:field ref="doc_FSCFOLIO_1_1001_FieldDocumentNumber" par="" text=""/>
    <f:field ref="doc_FSCFOLIO_1_1001_FieldSubject" par="" text=""/>
    <f:field ref="FSCFOLIO_1_1001_FieldCurrentUser" par="" text="Mgr. Martin Illáš"/>
    <f:field ref="CCAPRECONFIG_15_1001_Objektname" par="" text="dovodova-sprava-osobitna-cast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752CF1C-7558-4174-AB2F-0894561A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Círia František</dc:creator>
  <cp:lastModifiedBy>Illáš Martin</cp:lastModifiedBy>
  <cp:revision>14</cp:revision>
  <cp:lastPrinted>2025-01-24T11:09:00Z</cp:lastPrinted>
  <dcterms:created xsi:type="dcterms:W3CDTF">2025-01-24T11:09:00Z</dcterms:created>
  <dcterms:modified xsi:type="dcterms:W3CDTF">2025-03-28T12:08:00Z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Oľga Bosáková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14. 2. 2025, 10:56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Martin Illáš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14. 2. 2025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14.2.2025, 10:56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Bosáková, Oľga, Mgr.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410 (Odbor legislatívy)</vt:lpwstr>
  </property>
  <property fmtid="{D5CDD505-2E9C-101B-9397-08002B2CF9AE}" pid="342" name="FSC#COOELAK@1.1001:CreatedAt">
    <vt:lpwstr>14.02.2025</vt:lpwstr>
  </property>
  <property fmtid="{D5CDD505-2E9C-101B-9397-08002B2CF9AE}" pid="343" name="FSC#COOELAK@1.1001:OU">
    <vt:lpwstr>410 (Odbor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*COO.2296.100.2.6575021*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3</vt:lpwstr>
  </property>
  <property fmtid="{D5CDD505-2E9C-101B-9397-08002B2CF9AE}" pid="362" name="FSC#COOELAK@1.1001:CurrentUserEmail">
    <vt:lpwstr>martin.illas@land.gov.sk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COO.2296.100.2.6575021</vt:lpwstr>
  </property>
  <property fmtid="{D5CDD505-2E9C-101B-9397-08002B2CF9AE}" pid="395" name="FSC#FSCFOLIO@1.1001:docpropproject">
    <vt:lpwstr/>
  </property>
</Properties>
</file>