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57" w:rsidRPr="00732E57" w:rsidRDefault="00732E57" w:rsidP="007C7F8B">
      <w:pPr>
        <w:spacing w:line="240" w:lineRule="auto"/>
        <w:jc w:val="right"/>
        <w:rPr>
          <w:rFonts w:eastAsia="Calibri"/>
          <w:lang w:eastAsia="en-US"/>
        </w:rPr>
      </w:pPr>
      <w:bookmarkStart w:id="0" w:name="_GoBack"/>
      <w:bookmarkEnd w:id="0"/>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5C4B9C" w:rsidTr="009C2704">
        <w:trPr>
          <w:trHeight w:val="822"/>
        </w:trPr>
        <w:tc>
          <w:tcPr>
            <w:tcW w:w="9371" w:type="dxa"/>
            <w:shd w:val="clear" w:color="auto" w:fill="BFBFBF"/>
            <w:vAlign w:val="center"/>
          </w:tcPr>
          <w:p w:rsidR="00337789" w:rsidRPr="00B1784E" w:rsidRDefault="00337789" w:rsidP="007C7F8B">
            <w:pPr>
              <w:spacing w:line="240" w:lineRule="auto"/>
              <w:jc w:val="center"/>
              <w:rPr>
                <w:b/>
                <w:bCs/>
                <w:sz w:val="32"/>
                <w:szCs w:val="32"/>
              </w:rPr>
            </w:pPr>
            <w:r w:rsidRPr="00B1784E">
              <w:rPr>
                <w:b/>
                <w:bCs/>
                <w:sz w:val="32"/>
                <w:szCs w:val="32"/>
              </w:rPr>
              <w:t xml:space="preserve">Analýza </w:t>
            </w:r>
            <w:r w:rsidR="00964DDF" w:rsidRPr="00964DDF">
              <w:rPr>
                <w:b/>
                <w:bCs/>
                <w:sz w:val="32"/>
                <w:szCs w:val="32"/>
              </w:rPr>
              <w:t>vplyvov na služby verejnej správy pre občana</w:t>
            </w:r>
          </w:p>
          <w:p w:rsidR="00337789" w:rsidRPr="005C4B9C" w:rsidRDefault="00337789" w:rsidP="007C7F8B">
            <w:pPr>
              <w:spacing w:line="240" w:lineRule="auto"/>
              <w:rPr>
                <w:b/>
                <w:i/>
                <w:iCs/>
                <w:sz w:val="2"/>
                <w:szCs w:val="22"/>
              </w:rPr>
            </w:pPr>
          </w:p>
        </w:tc>
      </w:tr>
      <w:tr w:rsidR="00337789" w:rsidRPr="005C4B9C" w:rsidTr="009C2704">
        <w:trPr>
          <w:trHeight w:val="367"/>
        </w:trPr>
        <w:tc>
          <w:tcPr>
            <w:tcW w:w="9371" w:type="dxa"/>
            <w:shd w:val="clear" w:color="auto" w:fill="C0C0C0"/>
            <w:vAlign w:val="center"/>
          </w:tcPr>
          <w:p w:rsidR="00337789" w:rsidRPr="00AB307C" w:rsidRDefault="00337789"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337789" w:rsidRPr="005C4B9C" w:rsidTr="009C2704">
        <w:trPr>
          <w:trHeight w:val="316"/>
        </w:trPr>
        <w:tc>
          <w:tcPr>
            <w:tcW w:w="9371" w:type="dxa"/>
          </w:tcPr>
          <w:p w:rsidR="00337789" w:rsidRPr="00F36EF9" w:rsidRDefault="0033778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337789" w:rsidRPr="005C4B9C" w:rsidTr="009C2704">
        <w:trPr>
          <w:trHeight w:val="296"/>
        </w:trPr>
        <w:tc>
          <w:tcPr>
            <w:tcW w:w="9371" w:type="dxa"/>
          </w:tcPr>
          <w:p w:rsidR="00337789" w:rsidRPr="005C4B9C" w:rsidRDefault="00337789"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R="00337789" w:rsidRPr="005C4B9C" w:rsidTr="009C2704">
        <w:trPr>
          <w:trHeight w:val="655"/>
        </w:trPr>
        <w:tc>
          <w:tcPr>
            <w:tcW w:w="9371" w:type="dxa"/>
          </w:tcPr>
          <w:p w:rsidR="00783CC0" w:rsidRPr="00BA0079" w:rsidRDefault="00783CC0" w:rsidP="00783CC0">
            <w:pPr>
              <w:spacing w:line="240" w:lineRule="auto"/>
              <w:rPr>
                <w:rFonts w:eastAsia="Calibri"/>
                <w:sz w:val="22"/>
                <w:szCs w:val="22"/>
              </w:rPr>
            </w:pPr>
            <w:r w:rsidRPr="00BA0079">
              <w:rPr>
                <w:rFonts w:eastAsia="Calibri"/>
                <w:sz w:val="22"/>
                <w:szCs w:val="22"/>
              </w:rPr>
              <w:t>Navrhovaná právna úprava týkajúca sa úkonov v rámci pobytovej agendy:</w:t>
            </w:r>
          </w:p>
          <w:p w:rsidR="00BA0079" w:rsidRPr="00BA0079" w:rsidRDefault="00BA0079" w:rsidP="00783CC0">
            <w:pPr>
              <w:spacing w:line="240" w:lineRule="auto"/>
              <w:rPr>
                <w:rFonts w:eastAsia="Calibri"/>
                <w:sz w:val="22"/>
                <w:szCs w:val="22"/>
              </w:rPr>
            </w:pPr>
          </w:p>
          <w:p w:rsidR="007D2B5A" w:rsidRPr="00BA0079" w:rsidRDefault="00783CC0" w:rsidP="007D2B5A">
            <w:pPr>
              <w:spacing w:line="240" w:lineRule="auto"/>
              <w:rPr>
                <w:sz w:val="22"/>
                <w:szCs w:val="22"/>
              </w:rPr>
            </w:pPr>
            <w:r w:rsidRPr="00BA0079">
              <w:rPr>
                <w:sz w:val="22"/>
                <w:szCs w:val="22"/>
              </w:rPr>
              <w:t xml:space="preserve">1. </w:t>
            </w:r>
            <w:r w:rsidR="00DD1986">
              <w:rPr>
                <w:sz w:val="22"/>
                <w:szCs w:val="22"/>
              </w:rPr>
              <w:t>Zavádza sa z</w:t>
            </w:r>
            <w:r w:rsidR="007D2B5A" w:rsidRPr="00BA0079">
              <w:rPr>
                <w:sz w:val="22"/>
                <w:szCs w:val="22"/>
              </w:rPr>
              <w:t>jednodušenie podmienok prijímania cudzincov na územie Slovenskej republiky</w:t>
            </w:r>
            <w:r w:rsidRPr="00BA0079">
              <w:rPr>
                <w:sz w:val="22"/>
                <w:szCs w:val="22"/>
              </w:rPr>
              <w:t>.</w:t>
            </w:r>
            <w:r w:rsidR="007D2B5A" w:rsidRPr="00BA0079">
              <w:rPr>
                <w:sz w:val="22"/>
                <w:szCs w:val="22"/>
              </w:rPr>
              <w:t xml:space="preserve"> V praxi ide najmä o zrušenie povinnosti prikladať dôkazy o finančnom zabezpečení pobytu cudzincov (v prípadoch, kde to umožňuje európska legislatíva) a zrušenie povinnosti  prikladať fotografie cudzinca k žiadosti o pobyt. Cieľom zavedenia navrhovaných zmien do aplikačnej praxe je odbúranie administratívnej záťaže na strane cudzincov, ako aj na strane správnych orgánov a prispieť ku skráteniu doby konania o pobyte, čo umožní vybavenie väčšieho počtu žiadostí cudzincov na oddeleniach cudzineckej polície PZ. V tomto prípade ide o zmenu existujúcej služby.</w:t>
            </w:r>
          </w:p>
          <w:p w:rsidR="007D2B5A" w:rsidRPr="00BA0079" w:rsidRDefault="007D2B5A" w:rsidP="007D2B5A">
            <w:pPr>
              <w:spacing w:line="240" w:lineRule="auto"/>
              <w:rPr>
                <w:sz w:val="22"/>
                <w:szCs w:val="22"/>
              </w:rPr>
            </w:pPr>
          </w:p>
          <w:p w:rsidR="007D2B5A" w:rsidRPr="00BA0079" w:rsidRDefault="007D2B5A" w:rsidP="007D2B5A">
            <w:pPr>
              <w:spacing w:line="240" w:lineRule="auto"/>
              <w:rPr>
                <w:sz w:val="22"/>
                <w:szCs w:val="22"/>
              </w:rPr>
            </w:pPr>
            <w:r w:rsidRPr="00BA0079">
              <w:rPr>
                <w:sz w:val="22"/>
                <w:szCs w:val="22"/>
              </w:rPr>
              <w:t xml:space="preserve">2. </w:t>
            </w:r>
            <w:r w:rsidR="00DD1986">
              <w:rPr>
                <w:sz w:val="22"/>
                <w:szCs w:val="22"/>
              </w:rPr>
              <w:t>U</w:t>
            </w:r>
            <w:r w:rsidRPr="00BA0079">
              <w:rPr>
                <w:sz w:val="22"/>
                <w:szCs w:val="22"/>
              </w:rPr>
              <w:t>prav</w:t>
            </w:r>
            <w:r w:rsidR="00DD1986">
              <w:rPr>
                <w:sz w:val="22"/>
                <w:szCs w:val="22"/>
              </w:rPr>
              <w:t>uje sa</w:t>
            </w:r>
            <w:r w:rsidRPr="00BA0079">
              <w:rPr>
                <w:sz w:val="22"/>
                <w:szCs w:val="22"/>
              </w:rPr>
              <w:t xml:space="preserve"> dĺžk</w:t>
            </w:r>
            <w:r w:rsidR="00DD1986">
              <w:rPr>
                <w:sz w:val="22"/>
                <w:szCs w:val="22"/>
              </w:rPr>
              <w:t>a</w:t>
            </w:r>
            <w:r w:rsidRPr="00BA0079">
              <w:rPr>
                <w:sz w:val="22"/>
                <w:szCs w:val="22"/>
              </w:rPr>
              <w:t xml:space="preserve"> platnosti národného víza udeleného na účel podania žiadosti o udelenie pobytu na našom území (okrem účelu podnikania), kde sa predlžuje toto obdobie z 90 dní na 120 dní, a to za účelom poskytnutia dlhšieho časového priestoru na objednanie sa na cudzineckú políciu. V tomto prípade ide o zmenu existujúcej služby.</w:t>
            </w:r>
          </w:p>
          <w:p w:rsidR="007D2B5A" w:rsidRPr="00BA0079" w:rsidRDefault="007D2B5A" w:rsidP="007D2B5A">
            <w:pPr>
              <w:spacing w:line="240" w:lineRule="auto"/>
              <w:rPr>
                <w:sz w:val="22"/>
                <w:szCs w:val="22"/>
              </w:rPr>
            </w:pPr>
          </w:p>
          <w:p w:rsidR="00783CC0" w:rsidRPr="00BA0079" w:rsidRDefault="007D2B5A" w:rsidP="007C7F8B">
            <w:pPr>
              <w:spacing w:line="240" w:lineRule="auto"/>
              <w:rPr>
                <w:sz w:val="22"/>
                <w:szCs w:val="22"/>
              </w:rPr>
            </w:pPr>
            <w:r w:rsidRPr="00BA0079">
              <w:rPr>
                <w:sz w:val="22"/>
                <w:szCs w:val="22"/>
              </w:rPr>
              <w:t xml:space="preserve">3. </w:t>
            </w:r>
            <w:r w:rsidR="00DD1986">
              <w:rPr>
                <w:sz w:val="22"/>
                <w:szCs w:val="22"/>
              </w:rPr>
              <w:t>Rozširuje sa</w:t>
            </w:r>
            <w:r w:rsidRPr="00BA0079">
              <w:rPr>
                <w:sz w:val="22"/>
                <w:szCs w:val="22"/>
              </w:rPr>
              <w:t xml:space="preserve"> možnos</w:t>
            </w:r>
            <w:r w:rsidR="00DD1986">
              <w:rPr>
                <w:sz w:val="22"/>
                <w:szCs w:val="22"/>
              </w:rPr>
              <w:t>ť</w:t>
            </w:r>
            <w:r w:rsidRPr="00BA0079">
              <w:rPr>
                <w:sz w:val="22"/>
                <w:szCs w:val="22"/>
              </w:rPr>
              <w:t xml:space="preserve"> </w:t>
            </w:r>
            <w:r w:rsidR="000A69E9">
              <w:rPr>
                <w:sz w:val="22"/>
                <w:szCs w:val="22"/>
              </w:rPr>
              <w:t xml:space="preserve">Ministerstva vnútra SR určiť príslušnosť oddelení cudzineckej polície PZ na prijatie </w:t>
            </w:r>
            <w:r w:rsidRPr="00BA0079">
              <w:rPr>
                <w:sz w:val="22"/>
                <w:szCs w:val="22"/>
              </w:rPr>
              <w:t>žiadostí o registráciu práva pobytu občanov Únie a ich rodinných príslušníkov</w:t>
            </w:r>
            <w:r w:rsidR="000A69E9">
              <w:rPr>
                <w:sz w:val="22"/>
                <w:szCs w:val="22"/>
              </w:rPr>
              <w:t>, čím sa umožní týmto cudzincom podávať svoje žiadosti</w:t>
            </w:r>
            <w:r w:rsidRPr="00BA0079">
              <w:rPr>
                <w:sz w:val="22"/>
                <w:szCs w:val="22"/>
              </w:rPr>
              <w:t xml:space="preserve"> na ktoromkoľvek oddelení cudzineckej polície PZ. </w:t>
            </w:r>
            <w:r w:rsidR="00783CC0" w:rsidRPr="00BA0079">
              <w:rPr>
                <w:sz w:val="22"/>
                <w:szCs w:val="22"/>
              </w:rPr>
              <w:t>V t</w:t>
            </w:r>
            <w:r w:rsidRPr="00BA0079">
              <w:rPr>
                <w:sz w:val="22"/>
                <w:szCs w:val="22"/>
              </w:rPr>
              <w:t>omto prípade ide o zmenu existujúcej služby</w:t>
            </w:r>
            <w:r w:rsidR="00783CC0" w:rsidRPr="00BA0079">
              <w:rPr>
                <w:sz w:val="22"/>
                <w:szCs w:val="22"/>
              </w:rPr>
              <w:t>.</w:t>
            </w:r>
          </w:p>
          <w:p w:rsidR="00783CC0" w:rsidRPr="00BA0079" w:rsidRDefault="00783CC0" w:rsidP="007C7F8B">
            <w:pPr>
              <w:spacing w:line="240" w:lineRule="auto"/>
              <w:rPr>
                <w:sz w:val="22"/>
                <w:szCs w:val="22"/>
              </w:rPr>
            </w:pPr>
          </w:p>
          <w:p w:rsidR="007D2B5A" w:rsidRPr="00BA0079" w:rsidRDefault="007D2B5A" w:rsidP="00E761A1">
            <w:pPr>
              <w:spacing w:line="240" w:lineRule="auto"/>
              <w:rPr>
                <w:sz w:val="22"/>
                <w:szCs w:val="22"/>
              </w:rPr>
            </w:pPr>
            <w:r w:rsidRPr="00BA0079">
              <w:rPr>
                <w:sz w:val="22"/>
                <w:szCs w:val="22"/>
              </w:rPr>
              <w:t>4</w:t>
            </w:r>
            <w:r w:rsidR="00E1532D" w:rsidRPr="00BA0079">
              <w:rPr>
                <w:sz w:val="22"/>
                <w:szCs w:val="22"/>
              </w:rPr>
              <w:t xml:space="preserve">. </w:t>
            </w:r>
            <w:r w:rsidR="00DD1986">
              <w:rPr>
                <w:sz w:val="22"/>
                <w:szCs w:val="22"/>
              </w:rPr>
              <w:t>Zavádza sa zmena</w:t>
            </w:r>
            <w:r w:rsidR="00BA0079" w:rsidRPr="00BA0079">
              <w:rPr>
                <w:sz w:val="22"/>
                <w:szCs w:val="22"/>
              </w:rPr>
              <w:t xml:space="preserve"> a úprav</w:t>
            </w:r>
            <w:r w:rsidR="00DD1986">
              <w:rPr>
                <w:sz w:val="22"/>
                <w:szCs w:val="22"/>
              </w:rPr>
              <w:t>a</w:t>
            </w:r>
            <w:r w:rsidR="00BA0079" w:rsidRPr="00BA0079">
              <w:rPr>
                <w:sz w:val="22"/>
                <w:szCs w:val="22"/>
              </w:rPr>
              <w:t xml:space="preserve"> doterajšieho systému udeľovania prechodného pobytu na účel podnikania  z dôvodu potreby zefektívnenia postupov a regulácie prijímania cudzincov na územie Slovenskej republiky na účel podnikania. V praxi pôjde o zavedenie kvót na počet prijatých žiadostí o udelenie prechodného pobytu na účel podnikania a na zoznam krajín, z ktorých budú cudzinci prijímaní na naše územie. V praxi sa umožní podávať žiadosti o udelenie tohto druhu pobytu len v zahraničí na príslušnom zastupiteľskom úrade a zavedie sa udeľovanie pobytu na účel podnikania prvožiadateľom fixne na tri roky. Prínosom bude postupné odbúravanie administratívnej záťaže či už na strane cudzincov, ako aj na strane pracovníkov štátnej správy. V tomto prípade ide o zmenu existujúcej služby.   </w:t>
            </w:r>
          </w:p>
          <w:p w:rsidR="00E1532D" w:rsidRPr="002179E3" w:rsidRDefault="00E1532D" w:rsidP="00E761A1">
            <w:pPr>
              <w:spacing w:line="240" w:lineRule="auto"/>
              <w:rPr>
                <w:sz w:val="22"/>
                <w:szCs w:val="22"/>
              </w:rPr>
            </w:pPr>
          </w:p>
        </w:tc>
      </w:tr>
      <w:tr w:rsidR="00337789" w:rsidRPr="005C4B9C" w:rsidTr="009C2704">
        <w:trPr>
          <w:trHeight w:val="212"/>
        </w:trPr>
        <w:tc>
          <w:tcPr>
            <w:tcW w:w="9371" w:type="dxa"/>
          </w:tcPr>
          <w:p w:rsidR="00337789" w:rsidRPr="002179E3" w:rsidRDefault="00337789" w:rsidP="007C7F8B">
            <w:pPr>
              <w:spacing w:line="240" w:lineRule="auto"/>
              <w:rPr>
                <w:i/>
                <w:sz w:val="22"/>
                <w:szCs w:val="22"/>
              </w:rPr>
            </w:pPr>
            <w:r w:rsidRPr="002179E3">
              <w:rPr>
                <w:i/>
                <w:sz w:val="22"/>
                <w:szCs w:val="22"/>
              </w:rPr>
              <w:t>Nová služba (konkretizujte a popíšte)</w:t>
            </w:r>
          </w:p>
        </w:tc>
      </w:tr>
      <w:tr w:rsidR="00337789" w:rsidRPr="005C4B9C" w:rsidTr="009C2704">
        <w:trPr>
          <w:trHeight w:val="598"/>
        </w:trPr>
        <w:tc>
          <w:tcPr>
            <w:tcW w:w="9371" w:type="dxa"/>
          </w:tcPr>
          <w:p w:rsidR="00337789" w:rsidRPr="002179E3" w:rsidRDefault="00337789" w:rsidP="007C7F8B">
            <w:pPr>
              <w:spacing w:line="240" w:lineRule="auto"/>
              <w:rPr>
                <w:i/>
                <w:sz w:val="22"/>
                <w:szCs w:val="22"/>
              </w:rPr>
            </w:pPr>
          </w:p>
        </w:tc>
      </w:tr>
      <w:tr w:rsidR="00337789" w:rsidRPr="005C4B9C" w:rsidTr="009C2704">
        <w:trPr>
          <w:trHeight w:val="248"/>
        </w:trPr>
        <w:tc>
          <w:tcPr>
            <w:tcW w:w="9371" w:type="dxa"/>
          </w:tcPr>
          <w:p w:rsidR="00337789" w:rsidRPr="002179E3" w:rsidRDefault="00337789" w:rsidP="007C7F8B">
            <w:pPr>
              <w:spacing w:line="240" w:lineRule="auto"/>
              <w:rPr>
                <w:b/>
              </w:rPr>
            </w:pPr>
            <w:r w:rsidRPr="002179E3">
              <w:rPr>
                <w:b/>
              </w:rPr>
              <w:t>7.1.2 Špecifikácia služby verejnej správy, ktorá je dotknutá návrhom</w:t>
            </w:r>
          </w:p>
        </w:tc>
      </w:tr>
      <w:tr w:rsidR="00337789" w:rsidRPr="005C4B9C" w:rsidTr="009C2704">
        <w:trPr>
          <w:trHeight w:val="248"/>
        </w:trPr>
        <w:tc>
          <w:tcPr>
            <w:tcW w:w="9371" w:type="dxa"/>
          </w:tcPr>
          <w:p w:rsidR="00337789" w:rsidRPr="002179E3" w:rsidRDefault="00337789" w:rsidP="007C7F8B">
            <w:pPr>
              <w:spacing w:line="240" w:lineRule="auto"/>
              <w:rPr>
                <w:i/>
                <w:sz w:val="22"/>
                <w:szCs w:val="22"/>
              </w:rPr>
            </w:pPr>
            <w:r w:rsidRPr="002179E3">
              <w:rPr>
                <w:i/>
                <w:sz w:val="22"/>
                <w:szCs w:val="22"/>
              </w:rPr>
              <w:t xml:space="preserve">Názov služby </w:t>
            </w:r>
          </w:p>
        </w:tc>
      </w:tr>
      <w:tr w:rsidR="00337789" w:rsidRPr="005C4B9C" w:rsidTr="009C2704">
        <w:trPr>
          <w:trHeight w:val="545"/>
        </w:trPr>
        <w:tc>
          <w:tcPr>
            <w:tcW w:w="9371" w:type="dxa"/>
          </w:tcPr>
          <w:p w:rsidR="00337789" w:rsidRPr="002179E3" w:rsidRDefault="004433D4" w:rsidP="004433D4">
            <w:pPr>
              <w:spacing w:line="240" w:lineRule="auto"/>
              <w:rPr>
                <w:sz w:val="22"/>
                <w:szCs w:val="22"/>
              </w:rPr>
            </w:pPr>
            <w:r w:rsidRPr="002179E3">
              <w:rPr>
                <w:sz w:val="22"/>
                <w:szCs w:val="22"/>
              </w:rPr>
              <w:t xml:space="preserve">1. </w:t>
            </w:r>
            <w:r w:rsidR="00DD1986">
              <w:rPr>
                <w:sz w:val="22"/>
                <w:szCs w:val="22"/>
              </w:rPr>
              <w:t>Z</w:t>
            </w:r>
            <w:r w:rsidR="00DD1986" w:rsidRPr="00BA0079">
              <w:rPr>
                <w:sz w:val="22"/>
                <w:szCs w:val="22"/>
              </w:rPr>
              <w:t>jednodušenie podmienok prijímania cudzincov</w:t>
            </w:r>
          </w:p>
          <w:p w:rsidR="00E3365A" w:rsidRPr="002179E3" w:rsidRDefault="00E3365A" w:rsidP="004433D4">
            <w:pPr>
              <w:spacing w:line="240" w:lineRule="auto"/>
              <w:rPr>
                <w:sz w:val="22"/>
                <w:szCs w:val="22"/>
              </w:rPr>
            </w:pPr>
          </w:p>
          <w:p w:rsidR="004433D4" w:rsidRPr="002179E3" w:rsidRDefault="004433D4" w:rsidP="004433D4">
            <w:pPr>
              <w:spacing w:line="240" w:lineRule="auto"/>
              <w:rPr>
                <w:sz w:val="22"/>
                <w:szCs w:val="22"/>
              </w:rPr>
            </w:pPr>
            <w:r w:rsidRPr="002179E3">
              <w:rPr>
                <w:sz w:val="22"/>
                <w:szCs w:val="22"/>
              </w:rPr>
              <w:t xml:space="preserve">2. </w:t>
            </w:r>
            <w:r w:rsidR="00DD1986">
              <w:rPr>
                <w:sz w:val="22"/>
                <w:szCs w:val="22"/>
              </w:rPr>
              <w:t>Ú</w:t>
            </w:r>
            <w:r w:rsidR="00DD1986" w:rsidRPr="00BA0079">
              <w:rPr>
                <w:sz w:val="22"/>
                <w:szCs w:val="22"/>
              </w:rPr>
              <w:t>prav</w:t>
            </w:r>
            <w:r w:rsidR="00DD1986">
              <w:rPr>
                <w:sz w:val="22"/>
                <w:szCs w:val="22"/>
              </w:rPr>
              <w:t xml:space="preserve">a </w:t>
            </w:r>
            <w:r w:rsidR="00DD1986" w:rsidRPr="00BA0079">
              <w:rPr>
                <w:sz w:val="22"/>
                <w:szCs w:val="22"/>
              </w:rPr>
              <w:t>dĺžk</w:t>
            </w:r>
            <w:r w:rsidR="00DD1986">
              <w:rPr>
                <w:sz w:val="22"/>
                <w:szCs w:val="22"/>
              </w:rPr>
              <w:t>y</w:t>
            </w:r>
            <w:r w:rsidR="00DD1986" w:rsidRPr="00BA0079">
              <w:rPr>
                <w:sz w:val="22"/>
                <w:szCs w:val="22"/>
              </w:rPr>
              <w:t xml:space="preserve"> platnosti národného víza udeleného na účel podania žiadosti o udelenie pobytu na našom území</w:t>
            </w:r>
          </w:p>
          <w:p w:rsidR="00E3365A" w:rsidRPr="002179E3" w:rsidRDefault="00E3365A" w:rsidP="004433D4">
            <w:pPr>
              <w:spacing w:line="240" w:lineRule="auto"/>
              <w:rPr>
                <w:sz w:val="22"/>
                <w:szCs w:val="22"/>
              </w:rPr>
            </w:pPr>
          </w:p>
          <w:p w:rsidR="00DD1986" w:rsidRDefault="00E761A1" w:rsidP="004433D4">
            <w:pPr>
              <w:spacing w:line="240" w:lineRule="auto"/>
              <w:rPr>
                <w:sz w:val="22"/>
                <w:szCs w:val="22"/>
              </w:rPr>
            </w:pPr>
            <w:r w:rsidRPr="002179E3">
              <w:rPr>
                <w:sz w:val="22"/>
                <w:szCs w:val="22"/>
              </w:rPr>
              <w:t xml:space="preserve">3. </w:t>
            </w:r>
            <w:r w:rsidR="00DD1986">
              <w:rPr>
                <w:sz w:val="22"/>
                <w:szCs w:val="22"/>
              </w:rPr>
              <w:t xml:space="preserve">Rozšírenie </w:t>
            </w:r>
            <w:r w:rsidR="001F3B19">
              <w:rPr>
                <w:sz w:val="22"/>
                <w:szCs w:val="22"/>
              </w:rPr>
              <w:t xml:space="preserve">príslušnosti oddelení cudzineckej polície PZ na prijatie </w:t>
            </w:r>
            <w:r w:rsidR="001F3B19" w:rsidRPr="00BA0079">
              <w:rPr>
                <w:sz w:val="22"/>
                <w:szCs w:val="22"/>
              </w:rPr>
              <w:t>žiadostí o registráciu práva pobytu občanov Únie a ich rodinných príslušníkov</w:t>
            </w:r>
            <w:r w:rsidR="001F3B19">
              <w:rPr>
                <w:sz w:val="22"/>
                <w:szCs w:val="22"/>
              </w:rPr>
              <w:t xml:space="preserve"> </w:t>
            </w:r>
          </w:p>
          <w:p w:rsidR="001F3B19" w:rsidRDefault="001F3B19" w:rsidP="004433D4">
            <w:pPr>
              <w:spacing w:line="240" w:lineRule="auto"/>
              <w:rPr>
                <w:sz w:val="22"/>
                <w:szCs w:val="22"/>
              </w:rPr>
            </w:pPr>
          </w:p>
          <w:p w:rsidR="00DD1986" w:rsidRPr="002179E3" w:rsidRDefault="00DD1986" w:rsidP="004433D4">
            <w:pPr>
              <w:spacing w:line="240" w:lineRule="auto"/>
              <w:rPr>
                <w:sz w:val="22"/>
                <w:szCs w:val="22"/>
              </w:rPr>
            </w:pPr>
            <w:r>
              <w:rPr>
                <w:sz w:val="22"/>
                <w:szCs w:val="22"/>
              </w:rPr>
              <w:t>4. Zmena</w:t>
            </w:r>
            <w:r w:rsidRPr="00BA0079">
              <w:rPr>
                <w:sz w:val="22"/>
                <w:szCs w:val="22"/>
              </w:rPr>
              <w:t xml:space="preserve"> a úprav</w:t>
            </w:r>
            <w:r>
              <w:rPr>
                <w:sz w:val="22"/>
                <w:szCs w:val="22"/>
              </w:rPr>
              <w:t>a</w:t>
            </w:r>
            <w:r w:rsidRPr="00BA0079">
              <w:rPr>
                <w:sz w:val="22"/>
                <w:szCs w:val="22"/>
              </w:rPr>
              <w:t xml:space="preserve"> doterajšieho systému udeľovania prechodného pobytu na účel podnikania  </w:t>
            </w:r>
          </w:p>
          <w:p w:rsidR="00E3365A" w:rsidRPr="002179E3" w:rsidRDefault="00E3365A" w:rsidP="004433D4">
            <w:pPr>
              <w:spacing w:line="240" w:lineRule="auto"/>
              <w:rPr>
                <w:i/>
                <w:sz w:val="22"/>
                <w:szCs w:val="22"/>
              </w:rPr>
            </w:pPr>
          </w:p>
        </w:tc>
      </w:tr>
      <w:tr w:rsidR="00337789" w:rsidRPr="005C4B9C" w:rsidTr="009C2704">
        <w:trPr>
          <w:trHeight w:val="248"/>
        </w:trPr>
        <w:tc>
          <w:tcPr>
            <w:tcW w:w="9371" w:type="dxa"/>
          </w:tcPr>
          <w:p w:rsidR="00337789" w:rsidRPr="002179E3" w:rsidRDefault="00337789" w:rsidP="007C7F8B">
            <w:pPr>
              <w:spacing w:line="240" w:lineRule="auto"/>
              <w:rPr>
                <w:b/>
                <w:i/>
                <w:sz w:val="22"/>
                <w:szCs w:val="22"/>
              </w:rPr>
            </w:pPr>
            <w:r w:rsidRPr="002179E3">
              <w:rPr>
                <w:i/>
                <w:sz w:val="22"/>
                <w:szCs w:val="22"/>
              </w:rPr>
              <w:lastRenderedPageBreak/>
              <w:t>Platná právna úprava, na základe ktorej je služba poskytovaná (ak ide o zmenu existujúcej služby)</w:t>
            </w:r>
          </w:p>
        </w:tc>
      </w:tr>
      <w:tr w:rsidR="00337789" w:rsidRPr="005C4B9C" w:rsidTr="009C2704">
        <w:trPr>
          <w:trHeight w:val="630"/>
        </w:trPr>
        <w:tc>
          <w:tcPr>
            <w:tcW w:w="9371" w:type="dxa"/>
          </w:tcPr>
          <w:p w:rsidR="00E3365A" w:rsidRPr="00380ED8" w:rsidRDefault="00DB6B1D" w:rsidP="00DB6B1D">
            <w:pPr>
              <w:spacing w:line="240" w:lineRule="auto"/>
              <w:rPr>
                <w:sz w:val="22"/>
                <w:szCs w:val="22"/>
              </w:rPr>
            </w:pPr>
            <w:r w:rsidRPr="002179E3">
              <w:rPr>
                <w:sz w:val="22"/>
                <w:szCs w:val="22"/>
              </w:rPr>
              <w:t xml:space="preserve">1. </w:t>
            </w:r>
            <w:r w:rsidR="00E761A1" w:rsidRPr="002179E3">
              <w:rPr>
                <w:sz w:val="22"/>
                <w:szCs w:val="22"/>
              </w:rPr>
              <w:t>príslušné</w:t>
            </w:r>
            <w:r w:rsidRPr="002179E3">
              <w:rPr>
                <w:sz w:val="22"/>
                <w:szCs w:val="22"/>
              </w:rPr>
              <w:t xml:space="preserve"> ustanovenia zákona č. 404/2011 Z. z. o pobyte cudzincov a o zmene a doplnení niektorých zákonov v znení neskorších predpisov (ďalej len „</w:t>
            </w:r>
            <w:r w:rsidRPr="00DD1986">
              <w:rPr>
                <w:sz w:val="22"/>
                <w:szCs w:val="22"/>
              </w:rPr>
              <w:t xml:space="preserve">zákon o pobyte cudzincov“), </w:t>
            </w:r>
            <w:r w:rsidRPr="00380ED8">
              <w:rPr>
                <w:sz w:val="22"/>
                <w:szCs w:val="22"/>
              </w:rPr>
              <w:t xml:space="preserve">napr. </w:t>
            </w:r>
            <w:r w:rsidR="00380ED8" w:rsidRPr="00380ED8">
              <w:rPr>
                <w:sz w:val="22"/>
                <w:szCs w:val="22"/>
              </w:rPr>
              <w:t xml:space="preserve">§ 19 ods. 7, </w:t>
            </w:r>
            <w:r w:rsidR="00380ED8" w:rsidRPr="00380ED8">
              <w:rPr>
                <w:bCs/>
                <w:sz w:val="22"/>
                <w:szCs w:val="22"/>
              </w:rPr>
              <w:t xml:space="preserve">§ 32 ods. 2, § 32 ods. 6, § 32 ods. 7 prvá veta, § 32 ods. 11 a 14, § 34 ods. 3, </w:t>
            </w:r>
            <w:r w:rsidR="00380ED8" w:rsidRPr="00380ED8">
              <w:rPr>
                <w:sz w:val="22"/>
                <w:szCs w:val="22"/>
              </w:rPr>
              <w:t>§ 34 ods. 6, 7 a</w:t>
            </w:r>
            <w:r w:rsidR="00380ED8" w:rsidRPr="00380ED8">
              <w:rPr>
                <w:bCs/>
                <w:sz w:val="22"/>
                <w:szCs w:val="22"/>
              </w:rPr>
              <w:t xml:space="preserve"> 9, § 45 ods. 3, 6 a 7, § 47 ods. 3, </w:t>
            </w:r>
            <w:r w:rsidR="00380ED8" w:rsidRPr="00380ED8">
              <w:rPr>
                <w:sz w:val="22"/>
                <w:szCs w:val="22"/>
              </w:rPr>
              <w:t xml:space="preserve">§ 53 ods. </w:t>
            </w:r>
            <w:r w:rsidR="00380ED8">
              <w:rPr>
                <w:sz w:val="22"/>
                <w:szCs w:val="22"/>
              </w:rPr>
              <w:t xml:space="preserve">3, </w:t>
            </w:r>
            <w:r w:rsidR="00380ED8" w:rsidRPr="00380ED8">
              <w:rPr>
                <w:sz w:val="22"/>
                <w:szCs w:val="22"/>
              </w:rPr>
              <w:t xml:space="preserve">4, § 67 ods. 8, § 38 ods. 5, § 40 ods. 5, § 62 ods. 2, § 66 ods. 11, § 70 ods. 11, § 70 ods. 13 a 14, § 71 ods. 9, </w:t>
            </w:r>
            <w:r w:rsidR="00380ED8" w:rsidRPr="00380ED8">
              <w:rPr>
                <w:bCs/>
                <w:sz w:val="22"/>
                <w:szCs w:val="22"/>
              </w:rPr>
              <w:t>§ 125 ods. 14 a § 131k ods. 4</w:t>
            </w:r>
            <w:r w:rsidR="00380ED8" w:rsidRPr="00380ED8">
              <w:rPr>
                <w:sz w:val="22"/>
                <w:szCs w:val="22"/>
              </w:rPr>
              <w:t>,</w:t>
            </w:r>
          </w:p>
          <w:p w:rsidR="00DD1986" w:rsidRPr="00DD1986" w:rsidRDefault="00DD1986" w:rsidP="00DB6B1D">
            <w:pPr>
              <w:spacing w:line="240" w:lineRule="auto"/>
              <w:rPr>
                <w:sz w:val="22"/>
                <w:szCs w:val="22"/>
              </w:rPr>
            </w:pPr>
          </w:p>
          <w:p w:rsidR="00380ED8" w:rsidRDefault="00DB6B1D" w:rsidP="00DB6B1D">
            <w:pPr>
              <w:spacing w:line="240" w:lineRule="auto"/>
              <w:rPr>
                <w:sz w:val="22"/>
                <w:szCs w:val="22"/>
              </w:rPr>
            </w:pPr>
            <w:r w:rsidRPr="002179E3">
              <w:rPr>
                <w:sz w:val="22"/>
                <w:szCs w:val="22"/>
              </w:rPr>
              <w:t xml:space="preserve">2. </w:t>
            </w:r>
            <w:r w:rsidR="00380ED8" w:rsidRPr="002179E3">
              <w:rPr>
                <w:sz w:val="22"/>
                <w:szCs w:val="22"/>
              </w:rPr>
              <w:t>príslušné ustanovenia zákona</w:t>
            </w:r>
            <w:r w:rsidR="00380ED8">
              <w:rPr>
                <w:b/>
              </w:rPr>
              <w:t xml:space="preserve"> </w:t>
            </w:r>
            <w:r w:rsidR="00380ED8" w:rsidRPr="00380ED8">
              <w:rPr>
                <w:sz w:val="22"/>
                <w:szCs w:val="22"/>
              </w:rPr>
              <w:t xml:space="preserve">o pobyte cudzincov, </w:t>
            </w:r>
            <w:r w:rsidR="00380ED8">
              <w:rPr>
                <w:sz w:val="22"/>
                <w:szCs w:val="22"/>
              </w:rPr>
              <w:t>najmä</w:t>
            </w:r>
            <w:r w:rsidR="00380ED8" w:rsidRPr="00380ED8">
              <w:rPr>
                <w:sz w:val="22"/>
                <w:szCs w:val="22"/>
              </w:rPr>
              <w:t xml:space="preserve"> § 15 ods. 3 písm. a)</w:t>
            </w:r>
          </w:p>
          <w:p w:rsidR="00380ED8" w:rsidRDefault="00380ED8" w:rsidP="00DB6B1D">
            <w:pPr>
              <w:spacing w:line="240" w:lineRule="auto"/>
              <w:rPr>
                <w:sz w:val="22"/>
                <w:szCs w:val="22"/>
              </w:rPr>
            </w:pPr>
          </w:p>
          <w:p w:rsidR="00380ED8" w:rsidRPr="00380ED8" w:rsidRDefault="00380ED8" w:rsidP="00DB6B1D">
            <w:pPr>
              <w:spacing w:line="240" w:lineRule="auto"/>
              <w:rPr>
                <w:sz w:val="22"/>
                <w:szCs w:val="22"/>
              </w:rPr>
            </w:pPr>
            <w:r>
              <w:rPr>
                <w:sz w:val="22"/>
                <w:szCs w:val="22"/>
              </w:rPr>
              <w:t xml:space="preserve">3. </w:t>
            </w:r>
            <w:r w:rsidRPr="002179E3">
              <w:rPr>
                <w:sz w:val="22"/>
                <w:szCs w:val="22"/>
              </w:rPr>
              <w:t>príslušné ustanovenia zákona o pobyte cudzincov, najmä §</w:t>
            </w:r>
            <w:r>
              <w:rPr>
                <w:sz w:val="22"/>
                <w:szCs w:val="22"/>
              </w:rPr>
              <w:t xml:space="preserve"> </w:t>
            </w:r>
            <w:r w:rsidRPr="00380ED8">
              <w:rPr>
                <w:sz w:val="22"/>
                <w:szCs w:val="22"/>
              </w:rPr>
              <w:t>§ 125 ods. 1 tretia veta</w:t>
            </w:r>
          </w:p>
          <w:p w:rsidR="00380ED8" w:rsidRDefault="00380ED8" w:rsidP="00DB6B1D">
            <w:pPr>
              <w:spacing w:line="240" w:lineRule="auto"/>
              <w:rPr>
                <w:b/>
              </w:rPr>
            </w:pPr>
          </w:p>
          <w:p w:rsidR="00E3365A" w:rsidRPr="002179E3" w:rsidRDefault="00E761A1" w:rsidP="00380ED8">
            <w:pPr>
              <w:spacing w:line="240" w:lineRule="auto"/>
              <w:rPr>
                <w:sz w:val="22"/>
                <w:szCs w:val="22"/>
              </w:rPr>
            </w:pPr>
            <w:r w:rsidRPr="002179E3">
              <w:rPr>
                <w:sz w:val="22"/>
                <w:szCs w:val="22"/>
              </w:rPr>
              <w:t>3. príslušné ustanovenia zákona o </w:t>
            </w:r>
            <w:r w:rsidRPr="00380ED8">
              <w:rPr>
                <w:sz w:val="22"/>
                <w:szCs w:val="22"/>
              </w:rPr>
              <w:t xml:space="preserve">pobyte cudzincov, najmä </w:t>
            </w:r>
            <w:r w:rsidR="00380ED8" w:rsidRPr="00380ED8">
              <w:rPr>
                <w:sz w:val="22"/>
                <w:szCs w:val="22"/>
              </w:rPr>
              <w:t>§ 22 ods. 2, § 31 ods. 1, 3, 4 a 6, § 32 ods. 2 písm. a), § 32 ods. 5 písm. a), § 126 ods. 4, § 131m a § 131n</w:t>
            </w:r>
          </w:p>
        </w:tc>
      </w:tr>
      <w:tr w:rsidR="00337789" w:rsidRPr="005C4B9C" w:rsidTr="009C2704">
        <w:trPr>
          <w:trHeight w:val="220"/>
        </w:trPr>
        <w:tc>
          <w:tcPr>
            <w:tcW w:w="9371" w:type="dxa"/>
          </w:tcPr>
          <w:p w:rsidR="00337789" w:rsidRPr="002179E3" w:rsidRDefault="00337789" w:rsidP="007C7F8B">
            <w:pPr>
              <w:spacing w:line="240" w:lineRule="auto"/>
              <w:rPr>
                <w:b/>
                <w:i/>
                <w:sz w:val="22"/>
                <w:szCs w:val="22"/>
              </w:rPr>
            </w:pPr>
            <w:r w:rsidRPr="002179E3">
              <w:rPr>
                <w:i/>
                <w:sz w:val="22"/>
                <w:szCs w:val="22"/>
              </w:rPr>
              <w:t xml:space="preserve">Subjekt, ktorý je na základe platnej právnej úpravy oprávnený službu poskytovať </w:t>
            </w:r>
          </w:p>
        </w:tc>
      </w:tr>
      <w:tr w:rsidR="00337789" w:rsidRPr="005C4B9C" w:rsidTr="009C2704">
        <w:trPr>
          <w:trHeight w:val="587"/>
        </w:trPr>
        <w:tc>
          <w:tcPr>
            <w:tcW w:w="9371" w:type="dxa"/>
          </w:tcPr>
          <w:p w:rsidR="00380ED8" w:rsidRDefault="00380ED8" w:rsidP="00DB6B1D">
            <w:pPr>
              <w:spacing w:line="240" w:lineRule="auto"/>
              <w:rPr>
                <w:sz w:val="22"/>
                <w:szCs w:val="22"/>
              </w:rPr>
            </w:pPr>
            <w:r>
              <w:rPr>
                <w:sz w:val="22"/>
                <w:szCs w:val="22"/>
              </w:rPr>
              <w:t xml:space="preserve">- </w:t>
            </w:r>
            <w:r w:rsidR="003B41A8" w:rsidRPr="002179E3">
              <w:rPr>
                <w:sz w:val="22"/>
                <w:szCs w:val="22"/>
              </w:rPr>
              <w:t>Policajné</w:t>
            </w:r>
            <w:r w:rsidR="00DB6B1D" w:rsidRPr="002179E3">
              <w:rPr>
                <w:sz w:val="22"/>
                <w:szCs w:val="22"/>
              </w:rPr>
              <w:t xml:space="preserve"> útvar</w:t>
            </w:r>
            <w:r w:rsidR="003B41A8" w:rsidRPr="002179E3">
              <w:rPr>
                <w:sz w:val="22"/>
                <w:szCs w:val="22"/>
              </w:rPr>
              <w:t>y príslušné</w:t>
            </w:r>
            <w:r w:rsidR="00DB6B1D" w:rsidRPr="002179E3">
              <w:rPr>
                <w:sz w:val="22"/>
                <w:szCs w:val="22"/>
              </w:rPr>
              <w:t xml:space="preserve"> konať vo veci pobytu cudzincov – oddelenia cudzineckej polície Policajného zboru</w:t>
            </w:r>
          </w:p>
          <w:p w:rsidR="00DB6B1D" w:rsidRPr="002179E3" w:rsidRDefault="00380ED8" w:rsidP="00DB6B1D">
            <w:pPr>
              <w:spacing w:line="240" w:lineRule="auto"/>
              <w:rPr>
                <w:sz w:val="22"/>
                <w:szCs w:val="22"/>
              </w:rPr>
            </w:pPr>
            <w:r>
              <w:rPr>
                <w:sz w:val="22"/>
                <w:szCs w:val="22"/>
              </w:rPr>
              <w:t>- príslušné Zastupiteľské úrady SR v zahraničí</w:t>
            </w:r>
            <w:r w:rsidR="00DB6B1D" w:rsidRPr="002179E3">
              <w:rPr>
                <w:sz w:val="22"/>
                <w:szCs w:val="22"/>
              </w:rPr>
              <w:t xml:space="preserve">  </w:t>
            </w:r>
          </w:p>
          <w:p w:rsidR="00337789" w:rsidRPr="002179E3" w:rsidRDefault="00337789" w:rsidP="007C7F8B">
            <w:pPr>
              <w:spacing w:line="240" w:lineRule="auto"/>
              <w:rPr>
                <w:sz w:val="22"/>
                <w:szCs w:val="22"/>
              </w:rPr>
            </w:pPr>
          </w:p>
        </w:tc>
      </w:tr>
      <w:tr w:rsidR="00337789" w:rsidRPr="005C4B9C" w:rsidTr="009C2704">
        <w:trPr>
          <w:trHeight w:val="423"/>
        </w:trPr>
        <w:tc>
          <w:tcPr>
            <w:tcW w:w="9371" w:type="dxa"/>
          </w:tcPr>
          <w:p w:rsidR="00337789" w:rsidRPr="002179E3" w:rsidRDefault="00337789" w:rsidP="007C7F8B">
            <w:pPr>
              <w:spacing w:line="240" w:lineRule="auto"/>
              <w:rPr>
                <w:b/>
                <w:i/>
                <w:sz w:val="22"/>
                <w:szCs w:val="22"/>
              </w:rPr>
            </w:pPr>
            <w:r w:rsidRPr="002179E3">
              <w:rPr>
                <w:b/>
              </w:rPr>
              <w:t xml:space="preserve">7.1.3 O aký vplyv na službu verejnej správy ide? </w:t>
            </w:r>
          </w:p>
        </w:tc>
      </w:tr>
      <w:tr w:rsidR="00337789" w:rsidRPr="005C4B9C" w:rsidTr="009C2704">
        <w:trPr>
          <w:trHeight w:val="256"/>
        </w:trPr>
        <w:tc>
          <w:tcPr>
            <w:tcW w:w="9371" w:type="dxa"/>
          </w:tcPr>
          <w:p w:rsidR="00337789" w:rsidRPr="002179E3" w:rsidRDefault="00337789" w:rsidP="007C7F8B">
            <w:pPr>
              <w:spacing w:line="240" w:lineRule="auto"/>
              <w:rPr>
                <w:b/>
                <w:i/>
                <w:sz w:val="22"/>
                <w:szCs w:val="22"/>
              </w:rPr>
            </w:pPr>
            <w:r w:rsidRPr="002179E3">
              <w:rPr>
                <w:i/>
                <w:sz w:val="22"/>
                <w:szCs w:val="22"/>
              </w:rPr>
              <w:t xml:space="preserve">Priamy vplyv (popíšte) </w:t>
            </w:r>
          </w:p>
        </w:tc>
      </w:tr>
      <w:tr w:rsidR="00337789" w:rsidRPr="005C4B9C" w:rsidTr="009C2704">
        <w:trPr>
          <w:trHeight w:val="543"/>
        </w:trPr>
        <w:tc>
          <w:tcPr>
            <w:tcW w:w="9371" w:type="dxa"/>
          </w:tcPr>
          <w:p w:rsidR="003B41A8" w:rsidRPr="002179E3" w:rsidRDefault="00DB6B1D" w:rsidP="00DB6B1D">
            <w:pPr>
              <w:spacing w:line="240" w:lineRule="auto"/>
              <w:ind w:left="92" w:hanging="92"/>
              <w:rPr>
                <w:sz w:val="22"/>
                <w:szCs w:val="22"/>
              </w:rPr>
            </w:pPr>
            <w:r w:rsidRPr="002179E3">
              <w:rPr>
                <w:sz w:val="22"/>
                <w:szCs w:val="22"/>
              </w:rPr>
              <w:t xml:space="preserve">1. v prípade </w:t>
            </w:r>
            <w:r w:rsidR="00380ED8">
              <w:rPr>
                <w:sz w:val="22"/>
                <w:szCs w:val="22"/>
              </w:rPr>
              <w:t>z</w:t>
            </w:r>
            <w:r w:rsidR="00380ED8" w:rsidRPr="00BA0079">
              <w:rPr>
                <w:sz w:val="22"/>
                <w:szCs w:val="22"/>
              </w:rPr>
              <w:t>jednodušeni</w:t>
            </w:r>
            <w:r w:rsidR="00380ED8">
              <w:rPr>
                <w:sz w:val="22"/>
                <w:szCs w:val="22"/>
              </w:rPr>
              <w:t>a</w:t>
            </w:r>
            <w:r w:rsidR="00380ED8" w:rsidRPr="00BA0079">
              <w:rPr>
                <w:sz w:val="22"/>
                <w:szCs w:val="22"/>
              </w:rPr>
              <w:t xml:space="preserve"> podmienok prijímania cudzincov</w:t>
            </w:r>
            <w:r w:rsidR="003B41A8" w:rsidRPr="002179E3">
              <w:rPr>
                <w:sz w:val="22"/>
                <w:szCs w:val="22"/>
              </w:rPr>
              <w:t>:</w:t>
            </w:r>
          </w:p>
          <w:p w:rsidR="00DB6B1D" w:rsidRPr="002179E3" w:rsidRDefault="00DB6B1D" w:rsidP="00DB6B1D">
            <w:pPr>
              <w:spacing w:line="240" w:lineRule="auto"/>
              <w:rPr>
                <w:sz w:val="22"/>
                <w:szCs w:val="22"/>
              </w:rPr>
            </w:pPr>
            <w:r w:rsidRPr="002179E3">
              <w:rPr>
                <w:sz w:val="22"/>
                <w:szCs w:val="22"/>
              </w:rPr>
              <w:t>- zníženie administratívnej záťaže policajných útvarov konajúcich vo veci udelenia pobytu a vydávania dokladov cudzincom,</w:t>
            </w:r>
          </w:p>
          <w:p w:rsidR="009B25F7" w:rsidRDefault="009B25F7" w:rsidP="00DB6B1D">
            <w:pPr>
              <w:spacing w:line="240" w:lineRule="auto"/>
              <w:rPr>
                <w:sz w:val="22"/>
                <w:szCs w:val="22"/>
              </w:rPr>
            </w:pPr>
            <w:r w:rsidRPr="002179E3">
              <w:rPr>
                <w:sz w:val="22"/>
                <w:szCs w:val="22"/>
              </w:rPr>
              <w:t>- zníženie administratívnej záťaže cudzincov,</w:t>
            </w:r>
          </w:p>
          <w:p w:rsidR="000A69E9" w:rsidRDefault="00380ED8" w:rsidP="00DB6B1D">
            <w:pPr>
              <w:spacing w:line="240" w:lineRule="auto"/>
              <w:rPr>
                <w:sz w:val="22"/>
                <w:szCs w:val="22"/>
              </w:rPr>
            </w:pPr>
            <w:r>
              <w:rPr>
                <w:sz w:val="22"/>
                <w:szCs w:val="22"/>
              </w:rPr>
              <w:t xml:space="preserve">- </w:t>
            </w:r>
            <w:r w:rsidR="000A69E9">
              <w:rPr>
                <w:sz w:val="22"/>
                <w:szCs w:val="22"/>
              </w:rPr>
              <w:t>skrátenie</w:t>
            </w:r>
            <w:r w:rsidR="000A69E9" w:rsidRPr="00BA0079">
              <w:rPr>
                <w:sz w:val="22"/>
                <w:szCs w:val="22"/>
              </w:rPr>
              <w:t xml:space="preserve"> doby konania o pobyte, </w:t>
            </w:r>
          </w:p>
          <w:p w:rsidR="00380ED8" w:rsidRPr="002179E3" w:rsidRDefault="000A69E9" w:rsidP="00DB6B1D">
            <w:pPr>
              <w:spacing w:line="240" w:lineRule="auto"/>
              <w:rPr>
                <w:sz w:val="22"/>
                <w:szCs w:val="22"/>
              </w:rPr>
            </w:pPr>
            <w:r>
              <w:rPr>
                <w:sz w:val="22"/>
                <w:szCs w:val="22"/>
              </w:rPr>
              <w:t xml:space="preserve">- </w:t>
            </w:r>
            <w:r w:rsidRPr="00BA0079">
              <w:rPr>
                <w:sz w:val="22"/>
                <w:szCs w:val="22"/>
              </w:rPr>
              <w:t>umožn</w:t>
            </w:r>
            <w:r>
              <w:rPr>
                <w:sz w:val="22"/>
                <w:szCs w:val="22"/>
              </w:rPr>
              <w:t>enie vybavenia</w:t>
            </w:r>
            <w:r w:rsidRPr="00BA0079">
              <w:rPr>
                <w:sz w:val="22"/>
                <w:szCs w:val="22"/>
              </w:rPr>
              <w:t xml:space="preserve"> väčšieho počtu žiadostí cudzincov na oddeleniach cudzineckej polície PZ</w:t>
            </w:r>
            <w:r w:rsidR="009F2A51">
              <w:rPr>
                <w:sz w:val="22"/>
                <w:szCs w:val="22"/>
              </w:rPr>
              <w:t>.</w:t>
            </w:r>
          </w:p>
          <w:p w:rsidR="009B25F7" w:rsidRPr="002179E3" w:rsidRDefault="009B25F7" w:rsidP="00DB6B1D">
            <w:pPr>
              <w:spacing w:line="240" w:lineRule="auto"/>
              <w:rPr>
                <w:sz w:val="22"/>
                <w:szCs w:val="22"/>
              </w:rPr>
            </w:pPr>
          </w:p>
          <w:p w:rsidR="009B25F7" w:rsidRPr="002179E3" w:rsidRDefault="009B25F7" w:rsidP="00DB6B1D">
            <w:pPr>
              <w:spacing w:line="240" w:lineRule="auto"/>
              <w:rPr>
                <w:sz w:val="22"/>
                <w:szCs w:val="22"/>
              </w:rPr>
            </w:pPr>
            <w:r w:rsidRPr="002179E3">
              <w:rPr>
                <w:sz w:val="22"/>
                <w:szCs w:val="22"/>
              </w:rPr>
              <w:t xml:space="preserve">2. v prípade </w:t>
            </w:r>
            <w:r w:rsidR="000A69E9">
              <w:rPr>
                <w:sz w:val="22"/>
                <w:szCs w:val="22"/>
              </w:rPr>
              <w:t>ú</w:t>
            </w:r>
            <w:r w:rsidR="000A69E9" w:rsidRPr="00BA0079">
              <w:rPr>
                <w:sz w:val="22"/>
                <w:szCs w:val="22"/>
              </w:rPr>
              <w:t>prav</w:t>
            </w:r>
            <w:r w:rsidR="000A69E9">
              <w:rPr>
                <w:sz w:val="22"/>
                <w:szCs w:val="22"/>
              </w:rPr>
              <w:t xml:space="preserve">y </w:t>
            </w:r>
            <w:r w:rsidR="000A69E9" w:rsidRPr="00BA0079">
              <w:rPr>
                <w:sz w:val="22"/>
                <w:szCs w:val="22"/>
              </w:rPr>
              <w:t>dĺžk</w:t>
            </w:r>
            <w:r w:rsidR="000A69E9">
              <w:rPr>
                <w:sz w:val="22"/>
                <w:szCs w:val="22"/>
              </w:rPr>
              <w:t>y</w:t>
            </w:r>
            <w:r w:rsidR="000A69E9" w:rsidRPr="00BA0079">
              <w:rPr>
                <w:sz w:val="22"/>
                <w:szCs w:val="22"/>
              </w:rPr>
              <w:t xml:space="preserve"> platnosti národného víza udeleného na účel podania žiadosti o udelenie pobytu na našom území</w:t>
            </w:r>
            <w:r w:rsidRPr="002179E3">
              <w:rPr>
                <w:sz w:val="22"/>
                <w:szCs w:val="22"/>
              </w:rPr>
              <w:t>:</w:t>
            </w:r>
          </w:p>
          <w:p w:rsidR="00E1532D" w:rsidRPr="002179E3" w:rsidRDefault="009B25F7" w:rsidP="000A69E9">
            <w:pPr>
              <w:spacing w:line="240" w:lineRule="auto"/>
              <w:rPr>
                <w:sz w:val="22"/>
                <w:szCs w:val="22"/>
              </w:rPr>
            </w:pPr>
            <w:r w:rsidRPr="002179E3">
              <w:rPr>
                <w:sz w:val="22"/>
                <w:szCs w:val="22"/>
              </w:rPr>
              <w:t xml:space="preserve">- </w:t>
            </w:r>
            <w:r w:rsidR="000A69E9">
              <w:rPr>
                <w:sz w:val="22"/>
                <w:szCs w:val="22"/>
              </w:rPr>
              <w:t xml:space="preserve">uľahčenie splnenia povinnosti cudzincom </w:t>
            </w:r>
            <w:r w:rsidR="001F3B19">
              <w:rPr>
                <w:sz w:val="22"/>
                <w:szCs w:val="22"/>
              </w:rPr>
              <w:t>–</w:t>
            </w:r>
            <w:r w:rsidR="000A69E9">
              <w:rPr>
                <w:sz w:val="22"/>
                <w:szCs w:val="22"/>
              </w:rPr>
              <w:t xml:space="preserve"> poskytnutie</w:t>
            </w:r>
            <w:r w:rsidR="001F3B19">
              <w:rPr>
                <w:sz w:val="22"/>
                <w:szCs w:val="22"/>
              </w:rPr>
              <w:t xml:space="preserve"> </w:t>
            </w:r>
            <w:r w:rsidR="000A69E9">
              <w:rPr>
                <w:sz w:val="22"/>
                <w:szCs w:val="22"/>
              </w:rPr>
              <w:t>väčšieho časového priestoru na vybavenie žiadosti</w:t>
            </w:r>
            <w:r w:rsidR="009F2A51">
              <w:rPr>
                <w:sz w:val="22"/>
                <w:szCs w:val="22"/>
              </w:rPr>
              <w:t>.</w:t>
            </w:r>
          </w:p>
          <w:p w:rsidR="00337789" w:rsidRPr="002179E3" w:rsidRDefault="00337789" w:rsidP="007C7F8B">
            <w:pPr>
              <w:spacing w:line="240" w:lineRule="auto"/>
              <w:rPr>
                <w:b/>
                <w:i/>
                <w:sz w:val="22"/>
                <w:szCs w:val="22"/>
              </w:rPr>
            </w:pPr>
          </w:p>
          <w:p w:rsidR="00E761A1" w:rsidRPr="002179E3" w:rsidRDefault="00E761A1" w:rsidP="007C7F8B">
            <w:pPr>
              <w:spacing w:line="240" w:lineRule="auto"/>
              <w:rPr>
                <w:sz w:val="22"/>
                <w:szCs w:val="22"/>
              </w:rPr>
            </w:pPr>
            <w:r w:rsidRPr="002179E3">
              <w:rPr>
                <w:sz w:val="22"/>
                <w:szCs w:val="22"/>
              </w:rPr>
              <w:t xml:space="preserve">3. v prípade </w:t>
            </w:r>
            <w:r w:rsidR="000A69E9">
              <w:rPr>
                <w:sz w:val="22"/>
                <w:szCs w:val="22"/>
              </w:rPr>
              <w:t xml:space="preserve">rozšírenia </w:t>
            </w:r>
            <w:r w:rsidR="001F3B19">
              <w:rPr>
                <w:sz w:val="22"/>
                <w:szCs w:val="22"/>
              </w:rPr>
              <w:t xml:space="preserve">príslušnosti oddelení cudzineckej polície PZ na prijatie </w:t>
            </w:r>
            <w:r w:rsidR="001F3B19" w:rsidRPr="00BA0079">
              <w:rPr>
                <w:sz w:val="22"/>
                <w:szCs w:val="22"/>
              </w:rPr>
              <w:t>žiadostí o registráciu práva pobytu občanov Únie a ich rodinných príslušníkov</w:t>
            </w:r>
            <w:r w:rsidR="00E3365A" w:rsidRPr="002179E3">
              <w:rPr>
                <w:sz w:val="22"/>
                <w:szCs w:val="22"/>
              </w:rPr>
              <w:t xml:space="preserve">: </w:t>
            </w:r>
          </w:p>
          <w:p w:rsidR="00E3365A" w:rsidRDefault="00E3365A" w:rsidP="00E3365A">
            <w:pPr>
              <w:spacing w:line="240" w:lineRule="auto"/>
              <w:rPr>
                <w:sz w:val="22"/>
                <w:szCs w:val="22"/>
              </w:rPr>
            </w:pPr>
            <w:r w:rsidRPr="002179E3">
              <w:rPr>
                <w:sz w:val="22"/>
                <w:szCs w:val="22"/>
              </w:rPr>
              <w:t>-</w:t>
            </w:r>
            <w:r w:rsidR="000A69E9">
              <w:rPr>
                <w:sz w:val="22"/>
                <w:szCs w:val="22"/>
              </w:rPr>
              <w:t xml:space="preserve"> </w:t>
            </w:r>
            <w:r w:rsidR="001F3B19">
              <w:rPr>
                <w:sz w:val="22"/>
                <w:szCs w:val="22"/>
              </w:rPr>
              <w:t>uľahčenie</w:t>
            </w:r>
            <w:r w:rsidR="000A69E9">
              <w:rPr>
                <w:sz w:val="22"/>
                <w:szCs w:val="22"/>
              </w:rPr>
              <w:t xml:space="preserve"> podávani</w:t>
            </w:r>
            <w:r w:rsidR="001F3B19">
              <w:rPr>
                <w:sz w:val="22"/>
                <w:szCs w:val="22"/>
              </w:rPr>
              <w:t>a</w:t>
            </w:r>
            <w:r w:rsidR="000A69E9">
              <w:rPr>
                <w:sz w:val="22"/>
                <w:szCs w:val="22"/>
              </w:rPr>
              <w:t xml:space="preserve"> žiadostí o</w:t>
            </w:r>
            <w:r w:rsidR="001F3B19">
              <w:rPr>
                <w:sz w:val="22"/>
                <w:szCs w:val="22"/>
              </w:rPr>
              <w:t> </w:t>
            </w:r>
            <w:r w:rsidR="000A69E9">
              <w:rPr>
                <w:sz w:val="22"/>
                <w:szCs w:val="22"/>
              </w:rPr>
              <w:t>registráciu</w:t>
            </w:r>
            <w:r w:rsidR="001F3B19">
              <w:rPr>
                <w:sz w:val="22"/>
                <w:szCs w:val="22"/>
              </w:rPr>
              <w:t xml:space="preserve"> </w:t>
            </w:r>
            <w:r w:rsidR="001F3B19" w:rsidRPr="00BA0079">
              <w:rPr>
                <w:sz w:val="22"/>
                <w:szCs w:val="22"/>
              </w:rPr>
              <w:t>práva pobytu občanov Únie a ich rodinných príslušníkov</w:t>
            </w:r>
            <w:r w:rsidRPr="002179E3">
              <w:rPr>
                <w:sz w:val="22"/>
                <w:szCs w:val="22"/>
              </w:rPr>
              <w:t>.</w:t>
            </w:r>
          </w:p>
          <w:p w:rsidR="001F3B19" w:rsidRDefault="001F3B19" w:rsidP="00E3365A">
            <w:pPr>
              <w:spacing w:line="240" w:lineRule="auto"/>
              <w:rPr>
                <w:sz w:val="22"/>
                <w:szCs w:val="22"/>
              </w:rPr>
            </w:pPr>
          </w:p>
          <w:p w:rsidR="001F3B19" w:rsidRDefault="001F3B19" w:rsidP="00E3365A">
            <w:pPr>
              <w:spacing w:line="240" w:lineRule="auto"/>
              <w:rPr>
                <w:sz w:val="22"/>
                <w:szCs w:val="22"/>
              </w:rPr>
            </w:pPr>
            <w:r>
              <w:rPr>
                <w:sz w:val="22"/>
                <w:szCs w:val="22"/>
              </w:rPr>
              <w:t xml:space="preserve">4. </w:t>
            </w:r>
            <w:r w:rsidRPr="002179E3">
              <w:rPr>
                <w:sz w:val="22"/>
                <w:szCs w:val="22"/>
              </w:rPr>
              <w:t>v prípade</w:t>
            </w:r>
            <w:r>
              <w:rPr>
                <w:sz w:val="22"/>
                <w:szCs w:val="22"/>
              </w:rPr>
              <w:t xml:space="preserve"> zmeny</w:t>
            </w:r>
            <w:r w:rsidRPr="00BA0079">
              <w:rPr>
                <w:sz w:val="22"/>
                <w:szCs w:val="22"/>
              </w:rPr>
              <w:t xml:space="preserve"> a úprav</w:t>
            </w:r>
            <w:r>
              <w:rPr>
                <w:sz w:val="22"/>
                <w:szCs w:val="22"/>
              </w:rPr>
              <w:t>y</w:t>
            </w:r>
            <w:r w:rsidRPr="00BA0079">
              <w:rPr>
                <w:sz w:val="22"/>
                <w:szCs w:val="22"/>
              </w:rPr>
              <w:t xml:space="preserve"> doterajšieho systému udeľovania prechodného pobytu na účel podnikania</w:t>
            </w:r>
            <w:r>
              <w:rPr>
                <w:sz w:val="22"/>
                <w:szCs w:val="22"/>
              </w:rPr>
              <w:t>:</w:t>
            </w:r>
          </w:p>
          <w:p w:rsidR="001F3B19" w:rsidRDefault="001F3B19" w:rsidP="00E3365A">
            <w:pPr>
              <w:spacing w:line="240" w:lineRule="auto"/>
              <w:rPr>
                <w:sz w:val="22"/>
                <w:szCs w:val="22"/>
              </w:rPr>
            </w:pPr>
            <w:r>
              <w:rPr>
                <w:sz w:val="22"/>
                <w:szCs w:val="22"/>
              </w:rPr>
              <w:t xml:space="preserve">- </w:t>
            </w:r>
            <w:r w:rsidRPr="002179E3">
              <w:rPr>
                <w:sz w:val="22"/>
                <w:szCs w:val="22"/>
              </w:rPr>
              <w:t xml:space="preserve">zníženie administratívnej záťaže </w:t>
            </w:r>
            <w:r>
              <w:rPr>
                <w:sz w:val="22"/>
                <w:szCs w:val="22"/>
              </w:rPr>
              <w:t>zastupiteľských úradov SR v zahraničí z dôvodu prijímania presne učeného počtu žiadostí o udelenie prechodného pobytu na účel podnikania v súlade so stanovenými kvótami</w:t>
            </w:r>
            <w:r w:rsidR="009F2A51">
              <w:rPr>
                <w:sz w:val="22"/>
                <w:szCs w:val="22"/>
              </w:rPr>
              <w:t xml:space="preserve"> – možnosť regulácie</w:t>
            </w:r>
            <w:r>
              <w:rPr>
                <w:sz w:val="22"/>
                <w:szCs w:val="22"/>
              </w:rPr>
              <w:t>,</w:t>
            </w:r>
          </w:p>
          <w:p w:rsidR="001F3B19" w:rsidRDefault="001F3B19" w:rsidP="001F3B19">
            <w:pPr>
              <w:spacing w:line="240" w:lineRule="auto"/>
              <w:rPr>
                <w:sz w:val="22"/>
                <w:szCs w:val="22"/>
              </w:rPr>
            </w:pPr>
            <w:r>
              <w:rPr>
                <w:sz w:val="22"/>
                <w:szCs w:val="22"/>
              </w:rPr>
              <w:t xml:space="preserve">- </w:t>
            </w:r>
            <w:r w:rsidRPr="002179E3">
              <w:rPr>
                <w:sz w:val="22"/>
                <w:szCs w:val="22"/>
              </w:rPr>
              <w:t>zníženie administratívnej záťaže policajných útvarov konajúcich vo veci udelenia pobytu</w:t>
            </w:r>
            <w:r>
              <w:rPr>
                <w:sz w:val="22"/>
                <w:szCs w:val="22"/>
              </w:rPr>
              <w:t>,</w:t>
            </w:r>
          </w:p>
          <w:p w:rsidR="00E761A1" w:rsidRPr="002179E3" w:rsidRDefault="00E761A1" w:rsidP="001F3B19">
            <w:pPr>
              <w:spacing w:line="240" w:lineRule="auto"/>
              <w:rPr>
                <w:b/>
                <w:i/>
                <w:sz w:val="22"/>
                <w:szCs w:val="22"/>
              </w:rPr>
            </w:pPr>
          </w:p>
        </w:tc>
      </w:tr>
      <w:tr w:rsidR="00337789" w:rsidRPr="005C4B9C" w:rsidTr="009C2704">
        <w:trPr>
          <w:trHeight w:val="20"/>
        </w:trPr>
        <w:tc>
          <w:tcPr>
            <w:tcW w:w="9371" w:type="dxa"/>
          </w:tcPr>
          <w:p w:rsidR="00337789" w:rsidRPr="002179E3" w:rsidRDefault="00337789" w:rsidP="007C7F8B">
            <w:pPr>
              <w:spacing w:line="240" w:lineRule="auto"/>
              <w:rPr>
                <w:b/>
                <w:i/>
                <w:sz w:val="22"/>
                <w:szCs w:val="22"/>
              </w:rPr>
            </w:pPr>
            <w:r w:rsidRPr="002179E3">
              <w:rPr>
                <w:i/>
                <w:sz w:val="22"/>
                <w:szCs w:val="22"/>
              </w:rPr>
              <w:t xml:space="preserve">Nepriamy vplyv (popíšte) </w:t>
            </w:r>
          </w:p>
        </w:tc>
      </w:tr>
      <w:tr w:rsidR="00337789" w:rsidRPr="005C4B9C" w:rsidTr="009C2704">
        <w:trPr>
          <w:trHeight w:val="616"/>
        </w:trPr>
        <w:tc>
          <w:tcPr>
            <w:tcW w:w="9371" w:type="dxa"/>
          </w:tcPr>
          <w:p w:rsidR="00D93944" w:rsidRDefault="00D93944" w:rsidP="00D93944">
            <w:pPr>
              <w:spacing w:line="240" w:lineRule="auto"/>
              <w:rPr>
                <w:sz w:val="22"/>
                <w:szCs w:val="22"/>
              </w:rPr>
            </w:pPr>
            <w:r>
              <w:rPr>
                <w:sz w:val="22"/>
                <w:szCs w:val="22"/>
              </w:rPr>
              <w:t xml:space="preserve">4. </w:t>
            </w:r>
            <w:r w:rsidRPr="002179E3">
              <w:rPr>
                <w:sz w:val="22"/>
                <w:szCs w:val="22"/>
              </w:rPr>
              <w:t>v prípade</w:t>
            </w:r>
            <w:r>
              <w:rPr>
                <w:sz w:val="22"/>
                <w:szCs w:val="22"/>
              </w:rPr>
              <w:t xml:space="preserve"> zmeny</w:t>
            </w:r>
            <w:r w:rsidRPr="00BA0079">
              <w:rPr>
                <w:sz w:val="22"/>
                <w:szCs w:val="22"/>
              </w:rPr>
              <w:t xml:space="preserve"> a úprav</w:t>
            </w:r>
            <w:r>
              <w:rPr>
                <w:sz w:val="22"/>
                <w:szCs w:val="22"/>
              </w:rPr>
              <w:t>y</w:t>
            </w:r>
            <w:r w:rsidRPr="00BA0079">
              <w:rPr>
                <w:sz w:val="22"/>
                <w:szCs w:val="22"/>
              </w:rPr>
              <w:t xml:space="preserve"> doterajšieho systému udeľovania prechodného pobytu na účel podnikania</w:t>
            </w:r>
            <w:r>
              <w:rPr>
                <w:sz w:val="22"/>
                <w:szCs w:val="22"/>
              </w:rPr>
              <w:t>:</w:t>
            </w:r>
          </w:p>
          <w:p w:rsidR="00337789" w:rsidRDefault="00D93944" w:rsidP="00D93944">
            <w:pPr>
              <w:spacing w:line="240" w:lineRule="auto"/>
              <w:rPr>
                <w:sz w:val="22"/>
                <w:szCs w:val="22"/>
              </w:rPr>
            </w:pPr>
            <w:r>
              <w:rPr>
                <w:sz w:val="22"/>
                <w:szCs w:val="22"/>
              </w:rPr>
              <w:t>- možnosť regulácie počtov cudzincov prijímaných na územie SR na účel podnikania,</w:t>
            </w:r>
            <w:r w:rsidR="006D3E9F">
              <w:rPr>
                <w:sz w:val="22"/>
                <w:szCs w:val="22"/>
              </w:rPr>
              <w:t xml:space="preserve"> a tým možnosť účinnejšej kontroly týchto osôb, ako aj ich podnikania a ekonomického prínosu pre SR,</w:t>
            </w:r>
          </w:p>
          <w:p w:rsidR="006D3E9F" w:rsidRDefault="006D3E9F" w:rsidP="00D93944">
            <w:pPr>
              <w:spacing w:line="240" w:lineRule="auto"/>
              <w:rPr>
                <w:sz w:val="22"/>
                <w:szCs w:val="22"/>
              </w:rPr>
            </w:pPr>
            <w:r>
              <w:rPr>
                <w:sz w:val="22"/>
                <w:szCs w:val="22"/>
              </w:rPr>
              <w:t xml:space="preserve">- obmedzenie „núteného“ otvorenia živnosti v prípade osôb, kde je možné ....  zamestnanecký vzťah, </w:t>
            </w:r>
          </w:p>
          <w:p w:rsidR="00D93944" w:rsidRDefault="00D93944" w:rsidP="00D93944">
            <w:pPr>
              <w:spacing w:line="240" w:lineRule="auto"/>
              <w:rPr>
                <w:sz w:val="22"/>
                <w:szCs w:val="22"/>
              </w:rPr>
            </w:pPr>
            <w:r>
              <w:rPr>
                <w:sz w:val="22"/>
                <w:szCs w:val="22"/>
              </w:rPr>
              <w:t xml:space="preserve">- </w:t>
            </w:r>
            <w:r w:rsidR="00C055FD">
              <w:rPr>
                <w:sz w:val="22"/>
                <w:szCs w:val="22"/>
              </w:rPr>
              <w:t xml:space="preserve">uvoľnenie termínov v rezervačnom systéme na objednanie sa cudzincov, žiadajúcich o iné druhy pobytov na oddeleniach cudzineckej polície PZ (v prípade </w:t>
            </w:r>
            <w:r>
              <w:rPr>
                <w:sz w:val="22"/>
                <w:szCs w:val="22"/>
              </w:rPr>
              <w:t>znížen</w:t>
            </w:r>
            <w:r w:rsidR="00C055FD">
              <w:rPr>
                <w:sz w:val="22"/>
                <w:szCs w:val="22"/>
              </w:rPr>
              <w:t>ia</w:t>
            </w:r>
            <w:r>
              <w:rPr>
                <w:sz w:val="22"/>
                <w:szCs w:val="22"/>
              </w:rPr>
              <w:t xml:space="preserve"> počtov žiadostí o udelenie p</w:t>
            </w:r>
            <w:r w:rsidR="006D3E9F">
              <w:rPr>
                <w:sz w:val="22"/>
                <w:szCs w:val="22"/>
              </w:rPr>
              <w:t xml:space="preserve">rechodného pobytu na účel podnikania, ako aj v prípade </w:t>
            </w:r>
            <w:r w:rsidR="006D3E9F" w:rsidRPr="00D36282">
              <w:rPr>
                <w:sz w:val="22"/>
                <w:szCs w:val="22"/>
              </w:rPr>
              <w:t>zavedenia povinnosti prvožiadateľom</w:t>
            </w:r>
            <w:r w:rsidR="006D3E9F">
              <w:rPr>
                <w:sz w:val="22"/>
                <w:szCs w:val="22"/>
              </w:rPr>
              <w:t xml:space="preserve"> podávať žiadosť o tento druh pobytu len na zastupiteľských úradoch SR v zahraničí </w:t>
            </w:r>
            <w:r w:rsidR="00C055FD">
              <w:rPr>
                <w:sz w:val="22"/>
                <w:szCs w:val="22"/>
              </w:rPr>
              <w:t>)</w:t>
            </w:r>
            <w:r>
              <w:rPr>
                <w:sz w:val="22"/>
                <w:szCs w:val="22"/>
              </w:rPr>
              <w:t xml:space="preserve">.   </w:t>
            </w:r>
          </w:p>
          <w:p w:rsidR="00D93944" w:rsidRPr="002179E3" w:rsidRDefault="00D93944" w:rsidP="00D93944">
            <w:pPr>
              <w:spacing w:line="240" w:lineRule="auto"/>
              <w:rPr>
                <w:b/>
                <w:i/>
                <w:sz w:val="22"/>
                <w:szCs w:val="22"/>
              </w:rPr>
            </w:pPr>
          </w:p>
        </w:tc>
      </w:tr>
      <w:tr w:rsidR="00337789" w:rsidRPr="005C4B9C" w:rsidTr="009C2704">
        <w:trPr>
          <w:trHeight w:val="20"/>
        </w:trPr>
        <w:tc>
          <w:tcPr>
            <w:tcW w:w="9371" w:type="dxa"/>
            <w:shd w:val="clear" w:color="auto" w:fill="C0C0C0"/>
            <w:vAlign w:val="center"/>
          </w:tcPr>
          <w:p w:rsidR="00337789" w:rsidRPr="002179E3" w:rsidRDefault="00337789" w:rsidP="009634B3">
            <w:pPr>
              <w:spacing w:line="240" w:lineRule="auto"/>
              <w:jc w:val="center"/>
              <w:rPr>
                <w:b/>
                <w:sz w:val="28"/>
                <w:szCs w:val="28"/>
              </w:rPr>
            </w:pPr>
            <w:r w:rsidRPr="002179E3">
              <w:rPr>
                <w:b/>
                <w:sz w:val="28"/>
                <w:szCs w:val="28"/>
              </w:rPr>
              <w:lastRenderedPageBreak/>
              <w:t xml:space="preserve">7.2 Vplyv </w:t>
            </w:r>
            <w:r w:rsidR="00611193" w:rsidRPr="002179E3">
              <w:rPr>
                <w:b/>
                <w:sz w:val="28"/>
                <w:szCs w:val="28"/>
              </w:rPr>
              <w:t>služ</w:t>
            </w:r>
            <w:r w:rsidR="009634B3" w:rsidRPr="002179E3">
              <w:rPr>
                <w:b/>
                <w:sz w:val="28"/>
                <w:szCs w:val="28"/>
              </w:rPr>
              <w:t>ieb</w:t>
            </w:r>
            <w:r w:rsidR="00611193" w:rsidRPr="002179E3">
              <w:rPr>
                <w:b/>
                <w:sz w:val="28"/>
                <w:szCs w:val="28"/>
              </w:rPr>
              <w:t xml:space="preserve"> </w:t>
            </w:r>
            <w:r w:rsidR="00E57B5B" w:rsidRPr="002179E3">
              <w:rPr>
                <w:b/>
                <w:sz w:val="28"/>
                <w:szCs w:val="28"/>
              </w:rPr>
              <w:t xml:space="preserve">verejnej správy </w:t>
            </w:r>
            <w:r w:rsidR="005021C6" w:rsidRPr="002179E3">
              <w:rPr>
                <w:b/>
                <w:sz w:val="28"/>
                <w:szCs w:val="28"/>
              </w:rPr>
              <w:t>na</w:t>
            </w:r>
            <w:r w:rsidRPr="002179E3">
              <w:rPr>
                <w:b/>
                <w:sz w:val="28"/>
                <w:szCs w:val="28"/>
              </w:rPr>
              <w:t xml:space="preserve"> </w:t>
            </w:r>
            <w:r w:rsidR="005021C6" w:rsidRPr="002179E3">
              <w:rPr>
                <w:b/>
                <w:sz w:val="28"/>
                <w:szCs w:val="28"/>
              </w:rPr>
              <w:t>občana</w:t>
            </w:r>
          </w:p>
        </w:tc>
      </w:tr>
      <w:tr w:rsidR="00337789" w:rsidRPr="005C4B9C" w:rsidTr="009C2704">
        <w:trPr>
          <w:trHeight w:val="388"/>
        </w:trPr>
        <w:tc>
          <w:tcPr>
            <w:tcW w:w="9371" w:type="dxa"/>
          </w:tcPr>
          <w:p w:rsidR="00337789" w:rsidRPr="002179E3" w:rsidRDefault="00337789" w:rsidP="007C7F8B">
            <w:pPr>
              <w:spacing w:line="240" w:lineRule="auto"/>
              <w:rPr>
                <w:b/>
              </w:rPr>
            </w:pPr>
            <w:r w:rsidRPr="002179E3">
              <w:rPr>
                <w:b/>
              </w:rPr>
              <w:t xml:space="preserve">7.2.1 Náklady </w:t>
            </w:r>
          </w:p>
        </w:tc>
      </w:tr>
      <w:tr w:rsidR="00337789" w:rsidRPr="005C4B9C" w:rsidTr="009C2704">
        <w:trPr>
          <w:trHeight w:val="226"/>
        </w:trPr>
        <w:tc>
          <w:tcPr>
            <w:tcW w:w="9371" w:type="dxa"/>
          </w:tcPr>
          <w:p w:rsidR="00337789" w:rsidRPr="002179E3" w:rsidRDefault="00337789" w:rsidP="007C7F8B">
            <w:pPr>
              <w:spacing w:line="240" w:lineRule="auto"/>
              <w:rPr>
                <w:b/>
              </w:rPr>
            </w:pPr>
            <w:r w:rsidRPr="002179E3">
              <w:rPr>
                <w:i/>
              </w:rPr>
              <w:t xml:space="preserve">Zníženie priamych finančných nákladov </w:t>
            </w:r>
          </w:p>
        </w:tc>
      </w:tr>
      <w:tr w:rsidR="00337789" w:rsidRPr="005C4B9C" w:rsidTr="009C2704">
        <w:trPr>
          <w:trHeight w:val="599"/>
        </w:trPr>
        <w:tc>
          <w:tcPr>
            <w:tcW w:w="9371" w:type="dxa"/>
          </w:tcPr>
          <w:p w:rsidR="00C055FD" w:rsidRPr="00C055FD" w:rsidRDefault="00C055FD" w:rsidP="009662ED">
            <w:pPr>
              <w:spacing w:line="240" w:lineRule="auto"/>
              <w:rPr>
                <w:sz w:val="22"/>
                <w:szCs w:val="22"/>
              </w:rPr>
            </w:pPr>
          </w:p>
        </w:tc>
      </w:tr>
      <w:tr w:rsidR="00337789" w:rsidRPr="005C4B9C" w:rsidTr="009C2704">
        <w:trPr>
          <w:trHeight w:val="294"/>
        </w:trPr>
        <w:tc>
          <w:tcPr>
            <w:tcW w:w="9371" w:type="dxa"/>
          </w:tcPr>
          <w:p w:rsidR="00337789" w:rsidRPr="002179E3" w:rsidRDefault="00337789" w:rsidP="007C7F8B">
            <w:pPr>
              <w:spacing w:line="240" w:lineRule="auto"/>
              <w:rPr>
                <w:i/>
              </w:rPr>
            </w:pPr>
            <w:r w:rsidRPr="002179E3">
              <w:rPr>
                <w:i/>
              </w:rPr>
              <w:t>Zvýšenie priamych finančných nákladov</w:t>
            </w:r>
          </w:p>
        </w:tc>
      </w:tr>
      <w:tr w:rsidR="00337789" w:rsidRPr="005C4B9C" w:rsidTr="009C2704">
        <w:trPr>
          <w:trHeight w:val="572"/>
        </w:trPr>
        <w:tc>
          <w:tcPr>
            <w:tcW w:w="9371" w:type="dxa"/>
          </w:tcPr>
          <w:p w:rsidR="00337789" w:rsidRPr="002179E3" w:rsidRDefault="00337789" w:rsidP="007C7F8B">
            <w:pPr>
              <w:spacing w:line="240" w:lineRule="auto"/>
              <w:rPr>
                <w:i/>
              </w:rPr>
            </w:pPr>
          </w:p>
        </w:tc>
      </w:tr>
      <w:tr w:rsidR="00337789" w:rsidRPr="005C4B9C" w:rsidTr="009C2704">
        <w:trPr>
          <w:trHeight w:val="214"/>
        </w:trPr>
        <w:tc>
          <w:tcPr>
            <w:tcW w:w="9371" w:type="dxa"/>
          </w:tcPr>
          <w:p w:rsidR="00337789" w:rsidRPr="002179E3" w:rsidRDefault="00337789" w:rsidP="007C7F8B">
            <w:pPr>
              <w:spacing w:line="240" w:lineRule="auto"/>
              <w:rPr>
                <w:i/>
              </w:rPr>
            </w:pPr>
            <w:r w:rsidRPr="002179E3">
              <w:rPr>
                <w:i/>
              </w:rPr>
              <w:t>Zníženie nepriamych finančných nákladov</w:t>
            </w:r>
          </w:p>
        </w:tc>
      </w:tr>
      <w:tr w:rsidR="00337789" w:rsidRPr="005C4B9C" w:rsidTr="009C2704">
        <w:trPr>
          <w:trHeight w:val="707"/>
        </w:trPr>
        <w:tc>
          <w:tcPr>
            <w:tcW w:w="9371" w:type="dxa"/>
          </w:tcPr>
          <w:p w:rsidR="00337789" w:rsidRPr="002179E3" w:rsidRDefault="00337789" w:rsidP="007C7F8B">
            <w:pPr>
              <w:spacing w:line="240" w:lineRule="auto"/>
              <w:rPr>
                <w:i/>
              </w:rPr>
            </w:pPr>
          </w:p>
        </w:tc>
      </w:tr>
      <w:tr w:rsidR="00337789" w:rsidRPr="005C4B9C" w:rsidTr="009C2704">
        <w:trPr>
          <w:trHeight w:val="388"/>
        </w:trPr>
        <w:tc>
          <w:tcPr>
            <w:tcW w:w="9371" w:type="dxa"/>
          </w:tcPr>
          <w:p w:rsidR="00337789" w:rsidRPr="002179E3" w:rsidRDefault="00337789" w:rsidP="007C7F8B">
            <w:pPr>
              <w:spacing w:line="240" w:lineRule="auto"/>
              <w:rPr>
                <w:i/>
              </w:rPr>
            </w:pPr>
            <w:r w:rsidRPr="002179E3">
              <w:rPr>
                <w:i/>
              </w:rPr>
              <w:t>Zvýšenie nepriamych finančných nákladov</w:t>
            </w:r>
          </w:p>
        </w:tc>
      </w:tr>
      <w:tr w:rsidR="00337789" w:rsidRPr="005C4B9C" w:rsidTr="009C2704">
        <w:trPr>
          <w:trHeight w:val="800"/>
        </w:trPr>
        <w:tc>
          <w:tcPr>
            <w:tcW w:w="9371" w:type="dxa"/>
          </w:tcPr>
          <w:p w:rsidR="00337789" w:rsidRPr="002179E3" w:rsidRDefault="00337789" w:rsidP="007C7F8B">
            <w:pPr>
              <w:spacing w:line="240" w:lineRule="auto"/>
              <w:rPr>
                <w:i/>
              </w:rPr>
            </w:pPr>
          </w:p>
        </w:tc>
      </w:tr>
      <w:tr w:rsidR="00337789" w:rsidRPr="005C4B9C" w:rsidTr="009C2704">
        <w:trPr>
          <w:trHeight w:val="388"/>
        </w:trPr>
        <w:tc>
          <w:tcPr>
            <w:tcW w:w="9371" w:type="dxa"/>
          </w:tcPr>
          <w:p w:rsidR="00337789" w:rsidRPr="002179E3" w:rsidRDefault="00337789" w:rsidP="007C7F8B">
            <w:pPr>
              <w:spacing w:line="240" w:lineRule="auto"/>
              <w:rPr>
                <w:i/>
                <w:iCs/>
              </w:rPr>
            </w:pPr>
            <w:r w:rsidRPr="002179E3">
              <w:rPr>
                <w:b/>
              </w:rPr>
              <w:t xml:space="preserve">7.2.2 Časový vplyv </w:t>
            </w:r>
          </w:p>
        </w:tc>
      </w:tr>
      <w:tr w:rsidR="00337789" w:rsidRPr="005C4B9C" w:rsidTr="009C2704">
        <w:trPr>
          <w:trHeight w:val="20"/>
        </w:trPr>
        <w:tc>
          <w:tcPr>
            <w:tcW w:w="9371" w:type="dxa"/>
          </w:tcPr>
          <w:p w:rsidR="00337789" w:rsidRPr="002179E3" w:rsidRDefault="00337789" w:rsidP="007C7F8B">
            <w:pPr>
              <w:spacing w:line="240" w:lineRule="auto"/>
              <w:rPr>
                <w:b/>
              </w:rPr>
            </w:pPr>
            <w:r w:rsidRPr="002179E3">
              <w:rPr>
                <w:i/>
              </w:rPr>
              <w:t>Zvýšenie času vybavenia požiadavky (popíšte)</w:t>
            </w:r>
          </w:p>
        </w:tc>
      </w:tr>
      <w:tr w:rsidR="00337789" w:rsidRPr="005C4B9C" w:rsidTr="009C2704">
        <w:trPr>
          <w:trHeight w:val="703"/>
        </w:trPr>
        <w:tc>
          <w:tcPr>
            <w:tcW w:w="9371" w:type="dxa"/>
          </w:tcPr>
          <w:p w:rsidR="00E84A14" w:rsidRPr="00E84A14" w:rsidRDefault="00E84A14" w:rsidP="00E84A14">
            <w:pPr>
              <w:spacing w:line="240" w:lineRule="auto"/>
              <w:rPr>
                <w:sz w:val="22"/>
                <w:szCs w:val="22"/>
              </w:rPr>
            </w:pPr>
            <w:r>
              <w:rPr>
                <w:sz w:val="22"/>
                <w:szCs w:val="22"/>
              </w:rPr>
              <w:t>4</w:t>
            </w:r>
            <w:r w:rsidRPr="00E84A14">
              <w:rPr>
                <w:sz w:val="22"/>
                <w:szCs w:val="22"/>
              </w:rPr>
              <w:t>. v prípade zmeny a úpravy doterajšieho systému udeľovania prechodného pobytu na účel podnikania:</w:t>
            </w:r>
          </w:p>
          <w:p w:rsidR="006D3E9F" w:rsidRDefault="00E84A14" w:rsidP="006D3E9F">
            <w:pPr>
              <w:spacing w:line="240" w:lineRule="auto"/>
              <w:rPr>
                <w:sz w:val="22"/>
                <w:szCs w:val="22"/>
              </w:rPr>
            </w:pPr>
            <w:r w:rsidRPr="00E84A14">
              <w:rPr>
                <w:sz w:val="22"/>
                <w:szCs w:val="22"/>
              </w:rPr>
              <w:t xml:space="preserve">- </w:t>
            </w:r>
            <w:r w:rsidR="006D3E9F" w:rsidRPr="00E84A14">
              <w:rPr>
                <w:sz w:val="22"/>
                <w:szCs w:val="22"/>
              </w:rPr>
              <w:t>navýšenie času</w:t>
            </w:r>
            <w:r w:rsidR="006D3E9F">
              <w:rPr>
                <w:sz w:val="22"/>
                <w:szCs w:val="22"/>
              </w:rPr>
              <w:t xml:space="preserve"> pre pracovníkov oddelení cudzineckej polície PZ konajúcich vo veci udelenia prechodného pobytu na účel podnikania – v dôsledku menšieho počtu prijatých žiadostí o udelenie prechodného pobytu na účel podnikania</w:t>
            </w:r>
          </w:p>
          <w:p w:rsidR="006D3E9F" w:rsidRDefault="006D3E9F" w:rsidP="006D3E9F">
            <w:pPr>
              <w:spacing w:line="240" w:lineRule="auto"/>
              <w:rPr>
                <w:sz w:val="22"/>
                <w:szCs w:val="22"/>
              </w:rPr>
            </w:pPr>
            <w:r>
              <w:rPr>
                <w:sz w:val="22"/>
                <w:szCs w:val="22"/>
              </w:rPr>
              <w:t xml:space="preserve">- </w:t>
            </w:r>
            <w:r w:rsidR="00E84A14" w:rsidRPr="00E84A14">
              <w:rPr>
                <w:sz w:val="22"/>
                <w:szCs w:val="22"/>
              </w:rPr>
              <w:t xml:space="preserve">navýšenie času </w:t>
            </w:r>
            <w:r w:rsidR="00E84A14">
              <w:rPr>
                <w:sz w:val="22"/>
                <w:szCs w:val="22"/>
              </w:rPr>
              <w:t>zastupiteľských úradov SR</w:t>
            </w:r>
            <w:r>
              <w:rPr>
                <w:sz w:val="22"/>
                <w:szCs w:val="22"/>
              </w:rPr>
              <w:t>,</w:t>
            </w:r>
            <w:r w:rsidR="00E84A14">
              <w:rPr>
                <w:sz w:val="22"/>
                <w:szCs w:val="22"/>
              </w:rPr>
              <w:t xml:space="preserve"> prijímajúcich žiadosti o udelenie prechodného pobytu na účel podnikania, ktorý môže byť poskytnutý na prijatie </w:t>
            </w:r>
            <w:r>
              <w:rPr>
                <w:sz w:val="22"/>
                <w:szCs w:val="22"/>
              </w:rPr>
              <w:t xml:space="preserve">a kontrolu </w:t>
            </w:r>
            <w:r w:rsidR="00E84A14">
              <w:rPr>
                <w:sz w:val="22"/>
                <w:szCs w:val="22"/>
              </w:rPr>
              <w:t>žiadostí o iný druh pobytu</w:t>
            </w:r>
            <w:r>
              <w:rPr>
                <w:sz w:val="22"/>
                <w:szCs w:val="22"/>
              </w:rPr>
              <w:t xml:space="preserve"> – v dôsledku menšieho počtu prijatých žiadostí o udelenie prechodného pobytu na účel podnikania</w:t>
            </w:r>
          </w:p>
          <w:p w:rsidR="00E84A14" w:rsidRDefault="00E84A14" w:rsidP="00E84A14">
            <w:pPr>
              <w:spacing w:line="240" w:lineRule="auto"/>
              <w:rPr>
                <w:sz w:val="22"/>
                <w:szCs w:val="22"/>
              </w:rPr>
            </w:pPr>
            <w:r>
              <w:rPr>
                <w:sz w:val="22"/>
                <w:szCs w:val="22"/>
              </w:rPr>
              <w:t>- navýšenie času pre pracovníkov MH SR, ktorí vyhodnocujú mieru hospodárskeho prínosu cudzincov – podnikateľov pre SR – v dôsledku menšieho počtu prijatých žiadostí o udelenie prechodného pobytu na účel podnikania</w:t>
            </w:r>
          </w:p>
          <w:p w:rsidR="00E974A1" w:rsidRDefault="00E974A1" w:rsidP="00E84A14">
            <w:pPr>
              <w:spacing w:line="240" w:lineRule="auto"/>
              <w:rPr>
                <w:sz w:val="22"/>
                <w:szCs w:val="22"/>
              </w:rPr>
            </w:pPr>
            <w:r>
              <w:rPr>
                <w:sz w:val="22"/>
                <w:szCs w:val="22"/>
              </w:rPr>
              <w:t xml:space="preserve">- zavedenie </w:t>
            </w:r>
            <w:r w:rsidRPr="00E974A1">
              <w:rPr>
                <w:sz w:val="22"/>
                <w:szCs w:val="22"/>
              </w:rPr>
              <w:t>povinnos</w:t>
            </w:r>
            <w:r>
              <w:rPr>
                <w:sz w:val="22"/>
                <w:szCs w:val="22"/>
              </w:rPr>
              <w:t>ti pre štátnych príslušníkov tretích krajín – žiadateľov o udelenie prechodného pobytu na účel podnikania</w:t>
            </w:r>
            <w:r w:rsidRPr="00E974A1">
              <w:rPr>
                <w:sz w:val="22"/>
                <w:szCs w:val="22"/>
              </w:rPr>
              <w:t xml:space="preserve"> v každom prípade vypracovať podnikateľský plán k žiadosti o udelenie prechodného pobytu na účel podnikania</w:t>
            </w:r>
          </w:p>
          <w:p w:rsidR="00E974A1" w:rsidRDefault="00E974A1" w:rsidP="00E84A14">
            <w:pPr>
              <w:spacing w:line="240" w:lineRule="auto"/>
              <w:rPr>
                <w:sz w:val="22"/>
                <w:szCs w:val="22"/>
              </w:rPr>
            </w:pPr>
            <w:r>
              <w:rPr>
                <w:sz w:val="22"/>
                <w:szCs w:val="22"/>
              </w:rPr>
              <w:t xml:space="preserve">- zabezpečenie </w:t>
            </w:r>
            <w:r w:rsidRPr="00E974A1">
              <w:rPr>
                <w:sz w:val="22"/>
                <w:szCs w:val="22"/>
              </w:rPr>
              <w:t>preklad</w:t>
            </w:r>
            <w:r>
              <w:rPr>
                <w:sz w:val="22"/>
                <w:szCs w:val="22"/>
              </w:rPr>
              <w:t>u</w:t>
            </w:r>
            <w:r w:rsidRPr="00E974A1">
              <w:rPr>
                <w:sz w:val="22"/>
                <w:szCs w:val="22"/>
              </w:rPr>
              <w:t xml:space="preserve"> podnikateľsk</w:t>
            </w:r>
            <w:r>
              <w:rPr>
                <w:sz w:val="22"/>
                <w:szCs w:val="22"/>
              </w:rPr>
              <w:t>ého</w:t>
            </w:r>
            <w:r w:rsidRPr="00E974A1">
              <w:rPr>
                <w:sz w:val="22"/>
                <w:szCs w:val="22"/>
              </w:rPr>
              <w:t xml:space="preserve"> plán</w:t>
            </w:r>
            <w:r>
              <w:rPr>
                <w:sz w:val="22"/>
                <w:szCs w:val="22"/>
              </w:rPr>
              <w:t>u</w:t>
            </w:r>
            <w:r w:rsidRPr="00E974A1">
              <w:rPr>
                <w:sz w:val="22"/>
                <w:szCs w:val="22"/>
              </w:rPr>
              <w:t xml:space="preserve"> vypracovan</w:t>
            </w:r>
            <w:r>
              <w:rPr>
                <w:sz w:val="22"/>
                <w:szCs w:val="22"/>
              </w:rPr>
              <w:t>ého</w:t>
            </w:r>
            <w:r w:rsidRPr="00E974A1">
              <w:rPr>
                <w:sz w:val="22"/>
                <w:szCs w:val="22"/>
              </w:rPr>
              <w:t xml:space="preserve"> v cudzom jazyku</w:t>
            </w:r>
            <w:r>
              <w:rPr>
                <w:sz w:val="22"/>
                <w:szCs w:val="22"/>
              </w:rPr>
              <w:t xml:space="preserve"> </w:t>
            </w:r>
            <w:r w:rsidRPr="00E974A1">
              <w:rPr>
                <w:sz w:val="22"/>
                <w:szCs w:val="22"/>
              </w:rPr>
              <w:t xml:space="preserve">do úradného jazyka.  </w:t>
            </w:r>
          </w:p>
          <w:p w:rsidR="00337789" w:rsidRPr="002179E3" w:rsidRDefault="00E84A14" w:rsidP="00E84A14">
            <w:pPr>
              <w:spacing w:line="240" w:lineRule="auto"/>
              <w:rPr>
                <w:b/>
              </w:rPr>
            </w:pPr>
            <w:r>
              <w:rPr>
                <w:b/>
              </w:rPr>
              <w:t xml:space="preserve"> </w:t>
            </w:r>
          </w:p>
        </w:tc>
      </w:tr>
      <w:tr w:rsidR="00337789" w:rsidRPr="005C4B9C" w:rsidTr="009C2704">
        <w:trPr>
          <w:trHeight w:val="20"/>
        </w:trPr>
        <w:tc>
          <w:tcPr>
            <w:tcW w:w="9371" w:type="dxa"/>
          </w:tcPr>
          <w:p w:rsidR="00337789" w:rsidRPr="002179E3" w:rsidRDefault="00337789" w:rsidP="007C7F8B">
            <w:pPr>
              <w:spacing w:line="240" w:lineRule="auto"/>
              <w:rPr>
                <w:b/>
              </w:rPr>
            </w:pPr>
            <w:r w:rsidRPr="002179E3">
              <w:rPr>
                <w:i/>
              </w:rPr>
              <w:t>Zníženie času  vybavenia požiadavky (popíšte)</w:t>
            </w:r>
          </w:p>
        </w:tc>
      </w:tr>
      <w:tr w:rsidR="00337789" w:rsidRPr="005C4B9C" w:rsidTr="009C2704">
        <w:trPr>
          <w:trHeight w:val="729"/>
        </w:trPr>
        <w:tc>
          <w:tcPr>
            <w:tcW w:w="9371" w:type="dxa"/>
          </w:tcPr>
          <w:p w:rsidR="00E3365A" w:rsidRPr="002179E3" w:rsidRDefault="00E3365A" w:rsidP="00E3365A">
            <w:pPr>
              <w:spacing w:line="240" w:lineRule="auto"/>
              <w:ind w:left="92" w:hanging="92"/>
              <w:rPr>
                <w:sz w:val="22"/>
                <w:szCs w:val="22"/>
              </w:rPr>
            </w:pPr>
            <w:r w:rsidRPr="002179E3">
              <w:rPr>
                <w:sz w:val="22"/>
                <w:szCs w:val="22"/>
              </w:rPr>
              <w:t xml:space="preserve">1. v prípade </w:t>
            </w:r>
            <w:r w:rsidR="00E84A14">
              <w:rPr>
                <w:sz w:val="22"/>
                <w:szCs w:val="22"/>
              </w:rPr>
              <w:t>zjednodušenia podmienok prijímania cudzincov na územie SR</w:t>
            </w:r>
            <w:r w:rsidRPr="002179E3">
              <w:rPr>
                <w:sz w:val="22"/>
                <w:szCs w:val="22"/>
              </w:rPr>
              <w:t>:</w:t>
            </w:r>
          </w:p>
          <w:p w:rsidR="00E3365A" w:rsidRPr="002179E3" w:rsidRDefault="00E3365A" w:rsidP="00E84A14">
            <w:pPr>
              <w:spacing w:line="240" w:lineRule="auto"/>
              <w:ind w:left="92" w:hanging="92"/>
              <w:rPr>
                <w:sz w:val="22"/>
                <w:szCs w:val="22"/>
              </w:rPr>
            </w:pPr>
            <w:r w:rsidRPr="002179E3">
              <w:rPr>
                <w:sz w:val="22"/>
                <w:szCs w:val="22"/>
              </w:rPr>
              <w:t xml:space="preserve">- </w:t>
            </w:r>
            <w:r w:rsidR="00E84A14">
              <w:rPr>
                <w:sz w:val="22"/>
                <w:szCs w:val="22"/>
              </w:rPr>
              <w:t>skrátenie</w:t>
            </w:r>
            <w:r w:rsidR="00E84A14" w:rsidRPr="00BA0079">
              <w:rPr>
                <w:sz w:val="22"/>
                <w:szCs w:val="22"/>
              </w:rPr>
              <w:t xml:space="preserve"> doby konania o</w:t>
            </w:r>
            <w:r w:rsidR="00E84A14">
              <w:rPr>
                <w:sz w:val="22"/>
                <w:szCs w:val="22"/>
              </w:rPr>
              <w:t> </w:t>
            </w:r>
            <w:r w:rsidR="00E84A14" w:rsidRPr="00BA0079">
              <w:rPr>
                <w:sz w:val="22"/>
                <w:szCs w:val="22"/>
              </w:rPr>
              <w:t>pobyte</w:t>
            </w:r>
            <w:r w:rsidR="00E84A14">
              <w:rPr>
                <w:sz w:val="22"/>
                <w:szCs w:val="22"/>
              </w:rPr>
              <w:t xml:space="preserve"> z dôvodu prijímania menšieho počtu dokladov na skontrolovanie a vyhodnotenie oddeleniami cudzineckej polície PZ</w:t>
            </w:r>
            <w:r w:rsidRPr="002179E3">
              <w:rPr>
                <w:sz w:val="22"/>
                <w:szCs w:val="22"/>
              </w:rPr>
              <w:t>.</w:t>
            </w:r>
          </w:p>
          <w:p w:rsidR="00E84A14" w:rsidRPr="002179E3" w:rsidRDefault="00E84A14" w:rsidP="00E84A14">
            <w:pPr>
              <w:spacing w:line="240" w:lineRule="auto"/>
              <w:rPr>
                <w:b/>
              </w:rPr>
            </w:pPr>
          </w:p>
        </w:tc>
      </w:tr>
      <w:tr w:rsidR="00337789" w:rsidRPr="005C4B9C" w:rsidTr="009C2704">
        <w:trPr>
          <w:trHeight w:val="424"/>
        </w:trPr>
        <w:tc>
          <w:tcPr>
            <w:tcW w:w="9371" w:type="dxa"/>
          </w:tcPr>
          <w:p w:rsidR="00337789" w:rsidRPr="00A96BFC" w:rsidRDefault="00337789" w:rsidP="007C7F8B">
            <w:pPr>
              <w:spacing w:line="240" w:lineRule="auto"/>
              <w:rPr>
                <w:b/>
              </w:rPr>
            </w:pPr>
            <w:r w:rsidRPr="00A96BFC">
              <w:rPr>
                <w:b/>
              </w:rPr>
              <w:t xml:space="preserve">7.2.3 Ktorá skupina občanov bude predloženým návrhom ovplyvnená? </w:t>
            </w:r>
          </w:p>
          <w:p w:rsidR="00337789" w:rsidRPr="00A96BFC" w:rsidRDefault="00337789" w:rsidP="007C7F8B">
            <w:pPr>
              <w:spacing w:line="240" w:lineRule="auto"/>
              <w:rPr>
                <w:i/>
                <w:iCs/>
              </w:rPr>
            </w:pPr>
            <w:r w:rsidRPr="00A96BFC">
              <w:rPr>
                <w:i/>
                <w:iCs/>
              </w:rPr>
              <w:t>Špecifikujte skupinu občanov, ktorá bude návrhom ovplyvnená (napr. držitelia vodičských oprávnení). Aká je  veľkosť tejto skupiny?</w:t>
            </w:r>
          </w:p>
        </w:tc>
      </w:tr>
      <w:tr w:rsidR="00337789" w:rsidRPr="005C4B9C" w:rsidTr="009C2704">
        <w:trPr>
          <w:trHeight w:val="734"/>
        </w:trPr>
        <w:tc>
          <w:tcPr>
            <w:tcW w:w="9371" w:type="dxa"/>
          </w:tcPr>
          <w:p w:rsidR="006D3E9F" w:rsidRPr="00A96BFC" w:rsidRDefault="001155C6" w:rsidP="006D3E9F">
            <w:pPr>
              <w:pStyle w:val="Odsekzoznamu"/>
              <w:widowControl/>
              <w:adjustRightInd/>
              <w:spacing w:line="240" w:lineRule="auto"/>
              <w:ind w:left="0"/>
              <w:contextualSpacing/>
              <w:textAlignment w:val="auto"/>
              <w:rPr>
                <w:sz w:val="20"/>
                <w:szCs w:val="20"/>
              </w:rPr>
            </w:pPr>
            <w:r w:rsidRPr="00A96BFC">
              <w:rPr>
                <w:sz w:val="22"/>
                <w:szCs w:val="22"/>
              </w:rPr>
              <w:t xml:space="preserve">1. cudzinci </w:t>
            </w:r>
            <w:r w:rsidR="006D3E9F" w:rsidRPr="00A96BFC">
              <w:rPr>
                <w:sz w:val="20"/>
                <w:szCs w:val="20"/>
              </w:rPr>
              <w:t>– štátni príslušníci tretích krajín, občania Únie a ich rodinní príslušníci</w:t>
            </w:r>
          </w:p>
          <w:p w:rsidR="00DF5811" w:rsidRPr="00A96BFC" w:rsidRDefault="000F3633" w:rsidP="001155C6">
            <w:pPr>
              <w:spacing w:line="240" w:lineRule="auto"/>
              <w:rPr>
                <w:sz w:val="22"/>
                <w:szCs w:val="22"/>
              </w:rPr>
            </w:pPr>
            <w:r w:rsidRPr="00A96BFC">
              <w:rPr>
                <w:sz w:val="22"/>
                <w:szCs w:val="22"/>
              </w:rPr>
              <w:t>Počty cudzincov na území SR k dátumu 31.12.2024:</w:t>
            </w:r>
          </w:p>
          <w:p w:rsidR="000F3633" w:rsidRPr="00A96BFC" w:rsidRDefault="000F3633" w:rsidP="004055D7">
            <w:pPr>
              <w:numPr>
                <w:ilvl w:val="0"/>
                <w:numId w:val="29"/>
              </w:numPr>
              <w:spacing w:line="240" w:lineRule="auto"/>
              <w:rPr>
                <w:sz w:val="22"/>
                <w:szCs w:val="22"/>
              </w:rPr>
            </w:pPr>
            <w:r w:rsidRPr="00A96BFC">
              <w:rPr>
                <w:sz w:val="22"/>
                <w:szCs w:val="22"/>
              </w:rPr>
              <w:t>Prechodný pobyt – 110</w:t>
            </w:r>
            <w:r w:rsidR="007600E8" w:rsidRPr="00A96BFC">
              <w:rPr>
                <w:sz w:val="22"/>
                <w:szCs w:val="22"/>
              </w:rPr>
              <w:t xml:space="preserve"> </w:t>
            </w:r>
            <w:r w:rsidRPr="00A96BFC">
              <w:rPr>
                <w:sz w:val="22"/>
                <w:szCs w:val="22"/>
              </w:rPr>
              <w:t>113 štátnych príslušníkov tretích krajín</w:t>
            </w:r>
          </w:p>
          <w:p w:rsidR="000F3633" w:rsidRPr="00A96BFC" w:rsidRDefault="000F3633" w:rsidP="004055D7">
            <w:pPr>
              <w:numPr>
                <w:ilvl w:val="0"/>
                <w:numId w:val="29"/>
              </w:numPr>
              <w:spacing w:line="240" w:lineRule="auto"/>
              <w:rPr>
                <w:sz w:val="22"/>
                <w:szCs w:val="22"/>
              </w:rPr>
            </w:pPr>
            <w:r w:rsidRPr="00A96BFC">
              <w:rPr>
                <w:sz w:val="22"/>
                <w:szCs w:val="22"/>
              </w:rPr>
              <w:t>Trvalý pobyt – 3</w:t>
            </w:r>
            <w:r w:rsidR="007600E8" w:rsidRPr="00A96BFC">
              <w:rPr>
                <w:sz w:val="22"/>
                <w:szCs w:val="22"/>
              </w:rPr>
              <w:t>9 822</w:t>
            </w:r>
            <w:r w:rsidRPr="00A96BFC">
              <w:rPr>
                <w:sz w:val="22"/>
                <w:szCs w:val="22"/>
              </w:rPr>
              <w:t xml:space="preserve"> štátnych príslušníkov tretích krajín</w:t>
            </w:r>
            <w:r w:rsidR="007600E8" w:rsidRPr="00A96BFC">
              <w:rPr>
                <w:sz w:val="22"/>
                <w:szCs w:val="22"/>
              </w:rPr>
              <w:t xml:space="preserve"> (vrátane rodinných príslušníkov občanov Únie)</w:t>
            </w:r>
          </w:p>
          <w:p w:rsidR="000F3633" w:rsidRPr="00A96BFC" w:rsidRDefault="000F3633" w:rsidP="004055D7">
            <w:pPr>
              <w:numPr>
                <w:ilvl w:val="0"/>
                <w:numId w:val="29"/>
              </w:numPr>
              <w:spacing w:line="240" w:lineRule="auto"/>
              <w:rPr>
                <w:sz w:val="22"/>
                <w:szCs w:val="22"/>
              </w:rPr>
            </w:pPr>
            <w:r w:rsidRPr="00A96BFC">
              <w:rPr>
                <w:sz w:val="22"/>
                <w:szCs w:val="22"/>
              </w:rPr>
              <w:t>Tolerovaný pobyt (vrátane dočasného útočiska) – 131</w:t>
            </w:r>
            <w:r w:rsidR="007600E8" w:rsidRPr="00A96BFC">
              <w:rPr>
                <w:sz w:val="22"/>
                <w:szCs w:val="22"/>
              </w:rPr>
              <w:t xml:space="preserve"> </w:t>
            </w:r>
            <w:r w:rsidRPr="00A96BFC">
              <w:rPr>
                <w:sz w:val="22"/>
                <w:szCs w:val="22"/>
              </w:rPr>
              <w:t>716 štátnych príslušníkov tretích krajín (vrátane občanov UA na dočasnom útočisku)</w:t>
            </w:r>
          </w:p>
          <w:p w:rsidR="000F3633" w:rsidRPr="00A96BFC" w:rsidRDefault="00A96BFC" w:rsidP="004055D7">
            <w:pPr>
              <w:numPr>
                <w:ilvl w:val="0"/>
                <w:numId w:val="29"/>
              </w:numPr>
              <w:spacing w:line="240" w:lineRule="auto"/>
              <w:rPr>
                <w:sz w:val="22"/>
                <w:szCs w:val="22"/>
              </w:rPr>
            </w:pPr>
            <w:r w:rsidRPr="00A96BFC">
              <w:rPr>
                <w:sz w:val="22"/>
                <w:szCs w:val="22"/>
              </w:rPr>
              <w:lastRenderedPageBreak/>
              <w:t>O</w:t>
            </w:r>
            <w:r w:rsidR="007600E8" w:rsidRPr="00A96BFC">
              <w:rPr>
                <w:sz w:val="22"/>
                <w:szCs w:val="22"/>
              </w:rPr>
              <w:t>bčan</w:t>
            </w:r>
            <w:r w:rsidRPr="00A96BFC">
              <w:rPr>
                <w:sz w:val="22"/>
                <w:szCs w:val="22"/>
              </w:rPr>
              <w:t>ia</w:t>
            </w:r>
            <w:r w:rsidR="007600E8" w:rsidRPr="00A96BFC">
              <w:rPr>
                <w:sz w:val="22"/>
                <w:szCs w:val="22"/>
              </w:rPr>
              <w:t xml:space="preserve"> Únie</w:t>
            </w:r>
            <w:r w:rsidRPr="00A96BFC">
              <w:rPr>
                <w:sz w:val="22"/>
                <w:szCs w:val="22"/>
              </w:rPr>
              <w:t xml:space="preserve"> </w:t>
            </w:r>
            <w:r w:rsidR="007600E8" w:rsidRPr="00A96BFC">
              <w:rPr>
                <w:sz w:val="22"/>
                <w:szCs w:val="22"/>
              </w:rPr>
              <w:t>– 55 4</w:t>
            </w:r>
            <w:r w:rsidRPr="00A96BFC">
              <w:rPr>
                <w:sz w:val="22"/>
                <w:szCs w:val="22"/>
              </w:rPr>
              <w:t>89</w:t>
            </w:r>
          </w:p>
          <w:p w:rsidR="001155C6" w:rsidRPr="00A96BFC" w:rsidRDefault="001155C6" w:rsidP="00035F02">
            <w:pPr>
              <w:spacing w:line="240" w:lineRule="auto"/>
              <w:rPr>
                <w:i/>
                <w:iCs/>
                <w:strike/>
                <w:sz w:val="22"/>
                <w:szCs w:val="22"/>
              </w:rPr>
            </w:pPr>
          </w:p>
        </w:tc>
      </w:tr>
      <w:tr w:rsidR="00337789" w:rsidRPr="005C4B9C" w:rsidTr="009C2704">
        <w:trPr>
          <w:trHeight w:val="20"/>
        </w:trPr>
        <w:tc>
          <w:tcPr>
            <w:tcW w:w="9371" w:type="dxa"/>
          </w:tcPr>
          <w:p w:rsidR="00337789" w:rsidRPr="002179E3" w:rsidRDefault="00337789" w:rsidP="007C7F8B">
            <w:pPr>
              <w:spacing w:line="240" w:lineRule="auto"/>
              <w:rPr>
                <w:i/>
                <w:iCs/>
              </w:rPr>
            </w:pPr>
            <w:r w:rsidRPr="002179E3">
              <w:rPr>
                <w:b/>
              </w:rPr>
              <w:lastRenderedPageBreak/>
              <w:t xml:space="preserve">7.2.4 Vyplývajú z návrhu pre občana pri vybavení svojej požiadavky nové povinnosti alebo zanikajú už existujúce povinnosti?  </w:t>
            </w:r>
          </w:p>
        </w:tc>
      </w:tr>
      <w:tr w:rsidR="00337789" w:rsidRPr="005C4B9C" w:rsidTr="009C2704">
        <w:trPr>
          <w:trHeight w:val="20"/>
        </w:trPr>
        <w:tc>
          <w:tcPr>
            <w:tcW w:w="9371" w:type="dxa"/>
          </w:tcPr>
          <w:p w:rsidR="00337789" w:rsidRPr="002179E3" w:rsidRDefault="00337789" w:rsidP="007C7F8B">
            <w:pPr>
              <w:spacing w:line="240" w:lineRule="auto"/>
              <w:rPr>
                <w:i/>
                <w:iCs/>
              </w:rPr>
            </w:pPr>
            <w:r w:rsidRPr="002179E3">
              <w:rPr>
                <w:i/>
                <w:iCs/>
              </w:rPr>
              <w:t xml:space="preserve">Nové povinnosti (identifikujte) </w:t>
            </w:r>
          </w:p>
        </w:tc>
      </w:tr>
      <w:tr w:rsidR="00337789" w:rsidRPr="005C4B9C" w:rsidTr="009C2704">
        <w:trPr>
          <w:trHeight w:val="726"/>
        </w:trPr>
        <w:tc>
          <w:tcPr>
            <w:tcW w:w="9371" w:type="dxa"/>
          </w:tcPr>
          <w:p w:rsidR="00E974A1" w:rsidRDefault="00E974A1" w:rsidP="00E974A1">
            <w:pPr>
              <w:spacing w:line="240" w:lineRule="auto"/>
              <w:rPr>
                <w:sz w:val="22"/>
                <w:szCs w:val="22"/>
              </w:rPr>
            </w:pPr>
            <w:r>
              <w:rPr>
                <w:i/>
                <w:iCs/>
              </w:rPr>
              <w:t xml:space="preserve">- </w:t>
            </w:r>
            <w:r>
              <w:rPr>
                <w:sz w:val="22"/>
                <w:szCs w:val="22"/>
              </w:rPr>
              <w:t xml:space="preserve">zavedenie </w:t>
            </w:r>
            <w:r w:rsidRPr="00E974A1">
              <w:rPr>
                <w:sz w:val="22"/>
                <w:szCs w:val="22"/>
              </w:rPr>
              <w:t>povinnos</w:t>
            </w:r>
            <w:r>
              <w:rPr>
                <w:sz w:val="22"/>
                <w:szCs w:val="22"/>
              </w:rPr>
              <w:t>ti pre štátnych príslušníkov tretích krajín – žiadateľov o udelenie prechodného pobytu na účel podnikania</w:t>
            </w:r>
            <w:r w:rsidRPr="00E974A1">
              <w:rPr>
                <w:sz w:val="22"/>
                <w:szCs w:val="22"/>
              </w:rPr>
              <w:t xml:space="preserve"> v každom prípade vypracovať podnikateľský plán k žiadosti o udelenie prechodného pobytu na účel podnikania</w:t>
            </w:r>
          </w:p>
          <w:p w:rsidR="00E974A1" w:rsidRDefault="00E974A1" w:rsidP="00E974A1">
            <w:pPr>
              <w:spacing w:line="240" w:lineRule="auto"/>
              <w:rPr>
                <w:sz w:val="22"/>
                <w:szCs w:val="22"/>
              </w:rPr>
            </w:pPr>
            <w:r>
              <w:rPr>
                <w:sz w:val="22"/>
                <w:szCs w:val="22"/>
              </w:rPr>
              <w:t xml:space="preserve">- zabezpečenie </w:t>
            </w:r>
            <w:r w:rsidRPr="00E974A1">
              <w:rPr>
                <w:sz w:val="22"/>
                <w:szCs w:val="22"/>
              </w:rPr>
              <w:t>preklad</w:t>
            </w:r>
            <w:r>
              <w:rPr>
                <w:sz w:val="22"/>
                <w:szCs w:val="22"/>
              </w:rPr>
              <w:t>u</w:t>
            </w:r>
            <w:r w:rsidRPr="00E974A1">
              <w:rPr>
                <w:sz w:val="22"/>
                <w:szCs w:val="22"/>
              </w:rPr>
              <w:t xml:space="preserve"> podnikateľsk</w:t>
            </w:r>
            <w:r>
              <w:rPr>
                <w:sz w:val="22"/>
                <w:szCs w:val="22"/>
              </w:rPr>
              <w:t>ého</w:t>
            </w:r>
            <w:r w:rsidRPr="00E974A1">
              <w:rPr>
                <w:sz w:val="22"/>
                <w:szCs w:val="22"/>
              </w:rPr>
              <w:t xml:space="preserve"> plán</w:t>
            </w:r>
            <w:r>
              <w:rPr>
                <w:sz w:val="22"/>
                <w:szCs w:val="22"/>
              </w:rPr>
              <w:t>u</w:t>
            </w:r>
            <w:r w:rsidRPr="00E974A1">
              <w:rPr>
                <w:sz w:val="22"/>
                <w:szCs w:val="22"/>
              </w:rPr>
              <w:t xml:space="preserve"> vypracovan</w:t>
            </w:r>
            <w:r>
              <w:rPr>
                <w:sz w:val="22"/>
                <w:szCs w:val="22"/>
              </w:rPr>
              <w:t>ého</w:t>
            </w:r>
            <w:r w:rsidRPr="00E974A1">
              <w:rPr>
                <w:sz w:val="22"/>
                <w:szCs w:val="22"/>
              </w:rPr>
              <w:t xml:space="preserve"> v cudzom jazyku</w:t>
            </w:r>
            <w:r>
              <w:rPr>
                <w:sz w:val="22"/>
                <w:szCs w:val="22"/>
              </w:rPr>
              <w:t xml:space="preserve"> </w:t>
            </w:r>
            <w:r w:rsidRPr="00E974A1">
              <w:rPr>
                <w:sz w:val="22"/>
                <w:szCs w:val="22"/>
              </w:rPr>
              <w:t xml:space="preserve">do úradného jazyka  </w:t>
            </w:r>
          </w:p>
          <w:p w:rsidR="00337789" w:rsidRPr="002179E3" w:rsidRDefault="00337789" w:rsidP="007C7F8B">
            <w:pPr>
              <w:spacing w:line="240" w:lineRule="auto"/>
              <w:rPr>
                <w:i/>
                <w:iCs/>
              </w:rPr>
            </w:pPr>
          </w:p>
        </w:tc>
      </w:tr>
      <w:tr w:rsidR="00337789" w:rsidRPr="005C4B9C" w:rsidTr="009C2704">
        <w:trPr>
          <w:trHeight w:val="20"/>
        </w:trPr>
        <w:tc>
          <w:tcPr>
            <w:tcW w:w="9371" w:type="dxa"/>
          </w:tcPr>
          <w:p w:rsidR="00337789" w:rsidRPr="002179E3" w:rsidRDefault="00337789" w:rsidP="007C7F8B">
            <w:pPr>
              <w:spacing w:line="240" w:lineRule="auto"/>
              <w:rPr>
                <w:i/>
                <w:iCs/>
              </w:rPr>
            </w:pPr>
            <w:r w:rsidRPr="002179E3">
              <w:rPr>
                <w:i/>
                <w:iCs/>
              </w:rPr>
              <w:t>Zanikajúce povinnosti (identifikujte)</w:t>
            </w:r>
          </w:p>
        </w:tc>
      </w:tr>
      <w:tr w:rsidR="00337789" w:rsidRPr="005C4B9C" w:rsidTr="009C2704">
        <w:trPr>
          <w:trHeight w:val="609"/>
        </w:trPr>
        <w:tc>
          <w:tcPr>
            <w:tcW w:w="9371" w:type="dxa"/>
          </w:tcPr>
          <w:p w:rsidR="00845C54" w:rsidRPr="002179E3" w:rsidRDefault="00845C54" w:rsidP="00845C54">
            <w:pPr>
              <w:spacing w:line="240" w:lineRule="auto"/>
              <w:ind w:left="92" w:hanging="92"/>
              <w:rPr>
                <w:sz w:val="22"/>
                <w:szCs w:val="22"/>
              </w:rPr>
            </w:pPr>
            <w:r w:rsidRPr="002179E3">
              <w:rPr>
                <w:sz w:val="22"/>
                <w:szCs w:val="22"/>
              </w:rPr>
              <w:t xml:space="preserve">1. v prípade </w:t>
            </w:r>
            <w:r>
              <w:rPr>
                <w:sz w:val="22"/>
                <w:szCs w:val="22"/>
              </w:rPr>
              <w:t>z</w:t>
            </w:r>
            <w:r w:rsidRPr="00BA0079">
              <w:rPr>
                <w:sz w:val="22"/>
                <w:szCs w:val="22"/>
              </w:rPr>
              <w:t>jednodušeni</w:t>
            </w:r>
            <w:r>
              <w:rPr>
                <w:sz w:val="22"/>
                <w:szCs w:val="22"/>
              </w:rPr>
              <w:t>a</w:t>
            </w:r>
            <w:r w:rsidRPr="00BA0079">
              <w:rPr>
                <w:sz w:val="22"/>
                <w:szCs w:val="22"/>
              </w:rPr>
              <w:t xml:space="preserve"> podmienok prijímania cudzincov</w:t>
            </w:r>
            <w:r w:rsidRPr="002179E3">
              <w:rPr>
                <w:sz w:val="22"/>
                <w:szCs w:val="22"/>
              </w:rPr>
              <w:t>:</w:t>
            </w:r>
          </w:p>
          <w:p w:rsidR="00337789" w:rsidRDefault="00845C54" w:rsidP="007C7F8B">
            <w:pPr>
              <w:spacing w:line="240" w:lineRule="auto"/>
              <w:rPr>
                <w:iCs/>
                <w:sz w:val="22"/>
                <w:szCs w:val="22"/>
              </w:rPr>
            </w:pPr>
            <w:r w:rsidRPr="00845C54">
              <w:rPr>
                <w:iCs/>
                <w:sz w:val="22"/>
                <w:szCs w:val="22"/>
              </w:rPr>
              <w:t xml:space="preserve">- zaniká povinnosť </w:t>
            </w:r>
            <w:r>
              <w:rPr>
                <w:iCs/>
                <w:sz w:val="22"/>
                <w:szCs w:val="22"/>
              </w:rPr>
              <w:t xml:space="preserve">všetkých cudzincov žiadajúcich o pobyt, resp. o registráciu pobytu </w:t>
            </w:r>
            <w:r w:rsidRPr="00845C54">
              <w:rPr>
                <w:iCs/>
                <w:sz w:val="22"/>
                <w:szCs w:val="22"/>
              </w:rPr>
              <w:t>pr</w:t>
            </w:r>
            <w:r>
              <w:rPr>
                <w:iCs/>
                <w:sz w:val="22"/>
                <w:szCs w:val="22"/>
              </w:rPr>
              <w:t>i</w:t>
            </w:r>
            <w:r w:rsidRPr="00845C54">
              <w:rPr>
                <w:iCs/>
                <w:sz w:val="22"/>
                <w:szCs w:val="22"/>
              </w:rPr>
              <w:t xml:space="preserve">kladať </w:t>
            </w:r>
            <w:r>
              <w:rPr>
                <w:iCs/>
                <w:sz w:val="22"/>
                <w:szCs w:val="22"/>
              </w:rPr>
              <w:t>k žiadostiam fotografiu</w:t>
            </w:r>
          </w:p>
          <w:p w:rsidR="00845C54" w:rsidRPr="00845C54" w:rsidRDefault="00845C54" w:rsidP="007C7F8B">
            <w:pPr>
              <w:spacing w:line="240" w:lineRule="auto"/>
              <w:rPr>
                <w:iCs/>
                <w:sz w:val="22"/>
                <w:szCs w:val="22"/>
              </w:rPr>
            </w:pPr>
            <w:r>
              <w:rPr>
                <w:iCs/>
                <w:sz w:val="22"/>
                <w:szCs w:val="22"/>
              </w:rPr>
              <w:t xml:space="preserve">- </w:t>
            </w:r>
            <w:r w:rsidRPr="00845C54">
              <w:rPr>
                <w:iCs/>
                <w:sz w:val="22"/>
                <w:szCs w:val="22"/>
              </w:rPr>
              <w:t>zaniká povinnosť</w:t>
            </w:r>
            <w:r>
              <w:rPr>
                <w:iCs/>
                <w:sz w:val="22"/>
                <w:szCs w:val="22"/>
              </w:rPr>
              <w:t xml:space="preserve"> štátnych príslušníkov tretích krajín žiadajúcich o udelenie/obnovenie prechodného pobytu, trvalého pobytu, modrej karty preukazovať finančné zabezpečenie pobytu – v prípadoch, kde to umožňuje európska legislatíva</w:t>
            </w:r>
          </w:p>
          <w:p w:rsidR="00CD477A" w:rsidRPr="002179E3" w:rsidRDefault="00CD477A" w:rsidP="007C7F8B">
            <w:pPr>
              <w:spacing w:line="240" w:lineRule="auto"/>
              <w:rPr>
                <w:i/>
                <w:iCs/>
              </w:rPr>
            </w:pPr>
          </w:p>
          <w:p w:rsidR="00CD477A" w:rsidRPr="002179E3" w:rsidRDefault="00CD477A" w:rsidP="007C7F8B">
            <w:pPr>
              <w:spacing w:line="240" w:lineRule="auto"/>
              <w:rPr>
                <w:i/>
                <w:iCs/>
              </w:rPr>
            </w:pPr>
          </w:p>
        </w:tc>
      </w:tr>
      <w:tr w:rsidR="00337789" w:rsidRPr="005C4B9C" w:rsidTr="009C2704">
        <w:trPr>
          <w:trHeight w:val="20"/>
        </w:trPr>
        <w:tc>
          <w:tcPr>
            <w:tcW w:w="9371" w:type="dxa"/>
            <w:shd w:val="clear" w:color="auto" w:fill="BFBFBF"/>
            <w:vAlign w:val="center"/>
          </w:tcPr>
          <w:p w:rsidR="00337789" w:rsidRPr="002179E3" w:rsidRDefault="00337789" w:rsidP="00E57B5B">
            <w:pPr>
              <w:spacing w:line="240" w:lineRule="auto"/>
              <w:jc w:val="center"/>
              <w:rPr>
                <w:b/>
                <w:sz w:val="28"/>
                <w:szCs w:val="28"/>
              </w:rPr>
            </w:pPr>
            <w:r w:rsidRPr="002179E3">
              <w:rPr>
                <w:b/>
                <w:sz w:val="28"/>
                <w:szCs w:val="28"/>
              </w:rPr>
              <w:t xml:space="preserve">7.3 Vplyv na procesy </w:t>
            </w:r>
            <w:r w:rsidR="00E57B5B" w:rsidRPr="002179E3">
              <w:rPr>
                <w:b/>
                <w:sz w:val="28"/>
                <w:szCs w:val="28"/>
              </w:rPr>
              <w:t xml:space="preserve">služieb </w:t>
            </w:r>
            <w:r w:rsidRPr="002179E3">
              <w:rPr>
                <w:b/>
                <w:sz w:val="28"/>
                <w:szCs w:val="28"/>
              </w:rPr>
              <w:t>vo verejnej správe</w:t>
            </w:r>
          </w:p>
        </w:tc>
      </w:tr>
      <w:tr w:rsidR="00337789" w:rsidRPr="005C4B9C" w:rsidTr="009C2704">
        <w:trPr>
          <w:trHeight w:val="390"/>
        </w:trPr>
        <w:tc>
          <w:tcPr>
            <w:tcW w:w="9371" w:type="dxa"/>
          </w:tcPr>
          <w:p w:rsidR="00337789" w:rsidRPr="002179E3" w:rsidRDefault="00337789" w:rsidP="007C7F8B">
            <w:pPr>
              <w:spacing w:line="240" w:lineRule="auto"/>
              <w:rPr>
                <w:b/>
              </w:rPr>
            </w:pPr>
            <w:r w:rsidRPr="002179E3">
              <w:rPr>
                <w:b/>
              </w:rPr>
              <w:t xml:space="preserve">7.3.1 Ktoré sú dotknuté subjekty verejnej správy? </w:t>
            </w:r>
          </w:p>
          <w:p w:rsidR="00337789" w:rsidRPr="002179E3" w:rsidRDefault="00337789" w:rsidP="007C7F8B">
            <w:pPr>
              <w:spacing w:line="240" w:lineRule="auto"/>
              <w:rPr>
                <w:i/>
                <w:iCs/>
              </w:rPr>
            </w:pPr>
            <w:r w:rsidRPr="002179E3">
              <w:rPr>
                <w:i/>
              </w:rPr>
              <w:t xml:space="preserve">Ktoré subjekty verejnej správy sú účastné procesu poskytnutia služby? </w:t>
            </w:r>
          </w:p>
        </w:tc>
      </w:tr>
      <w:tr w:rsidR="00337789" w:rsidRPr="005C4B9C" w:rsidTr="009C2704">
        <w:trPr>
          <w:trHeight w:val="733"/>
        </w:trPr>
        <w:tc>
          <w:tcPr>
            <w:tcW w:w="9371" w:type="dxa"/>
          </w:tcPr>
          <w:p w:rsidR="00845C54" w:rsidRDefault="00845C54" w:rsidP="00845C54">
            <w:pPr>
              <w:spacing w:line="240" w:lineRule="auto"/>
              <w:rPr>
                <w:sz w:val="20"/>
                <w:szCs w:val="20"/>
              </w:rPr>
            </w:pPr>
            <w:r>
              <w:rPr>
                <w:sz w:val="20"/>
                <w:szCs w:val="20"/>
              </w:rPr>
              <w:t xml:space="preserve">- </w:t>
            </w:r>
            <w:r w:rsidRPr="00CB41C5">
              <w:rPr>
                <w:sz w:val="20"/>
                <w:szCs w:val="20"/>
              </w:rPr>
              <w:t>verejná správa</w:t>
            </w:r>
            <w:r>
              <w:rPr>
                <w:sz w:val="20"/>
                <w:szCs w:val="20"/>
              </w:rPr>
              <w:t>:</w:t>
            </w:r>
          </w:p>
          <w:p w:rsidR="00845C54" w:rsidRDefault="00845C54" w:rsidP="00845C54">
            <w:pPr>
              <w:spacing w:line="240" w:lineRule="auto"/>
              <w:rPr>
                <w:sz w:val="20"/>
                <w:szCs w:val="20"/>
              </w:rPr>
            </w:pPr>
            <w:r>
              <w:rPr>
                <w:sz w:val="20"/>
                <w:szCs w:val="20"/>
              </w:rPr>
              <w:t xml:space="preserve">1. </w:t>
            </w:r>
            <w:r w:rsidRPr="00CB41C5">
              <w:rPr>
                <w:sz w:val="20"/>
                <w:szCs w:val="20"/>
              </w:rPr>
              <w:t xml:space="preserve"> Ministerstvo vnútra SR (príslušné policajné útvary v pôsobnosti úradu hraničnej a cudzineckej polície Prezídia PZ, ktoré budú v aplikačnej praxi prichádzať do kontaktu s cudzincami objednanými na vybavenie prostredníctvom rezervačného systému,), </w:t>
            </w:r>
          </w:p>
          <w:p w:rsidR="00845C54" w:rsidRDefault="00845C54" w:rsidP="00845C54">
            <w:pPr>
              <w:spacing w:line="240" w:lineRule="auto"/>
              <w:rPr>
                <w:sz w:val="20"/>
                <w:szCs w:val="20"/>
              </w:rPr>
            </w:pPr>
            <w:r>
              <w:rPr>
                <w:sz w:val="20"/>
                <w:szCs w:val="20"/>
              </w:rPr>
              <w:t xml:space="preserve">2. </w:t>
            </w:r>
            <w:r w:rsidRPr="00CB41C5">
              <w:rPr>
                <w:sz w:val="20"/>
                <w:szCs w:val="20"/>
              </w:rPr>
              <w:t xml:space="preserve">Ministerstvo hospodárstva SR, </w:t>
            </w:r>
          </w:p>
          <w:p w:rsidR="00130F41" w:rsidRPr="002179E3" w:rsidRDefault="00845C54" w:rsidP="00845C54">
            <w:pPr>
              <w:spacing w:line="240" w:lineRule="auto"/>
              <w:rPr>
                <w:b/>
              </w:rPr>
            </w:pPr>
            <w:r>
              <w:rPr>
                <w:sz w:val="20"/>
                <w:szCs w:val="20"/>
              </w:rPr>
              <w:t xml:space="preserve">3. </w:t>
            </w:r>
            <w:r w:rsidRPr="00CB41C5">
              <w:rPr>
                <w:sz w:val="20"/>
                <w:szCs w:val="20"/>
              </w:rPr>
              <w:t>Ministerstvo zahraničných vecí a európskych záležitostí SR</w:t>
            </w:r>
            <w:r>
              <w:rPr>
                <w:sz w:val="20"/>
                <w:szCs w:val="20"/>
              </w:rPr>
              <w:t xml:space="preserve"> (príslušné zastupiteľské úrady SR v zahraničí)</w:t>
            </w:r>
          </w:p>
        </w:tc>
      </w:tr>
      <w:tr w:rsidR="00337789" w:rsidRPr="005C4B9C" w:rsidTr="009C2704">
        <w:trPr>
          <w:trHeight w:val="20"/>
        </w:trPr>
        <w:tc>
          <w:tcPr>
            <w:tcW w:w="9371" w:type="dxa"/>
          </w:tcPr>
          <w:p w:rsidR="00337789" w:rsidRPr="005C4B9C" w:rsidRDefault="00337789" w:rsidP="007C7F8B">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Nové povinnosti (identifikujte)</w:t>
            </w:r>
          </w:p>
        </w:tc>
      </w:tr>
      <w:tr w:rsidR="00337789" w:rsidRPr="005C4B9C" w:rsidTr="009C2704">
        <w:trPr>
          <w:trHeight w:val="674"/>
        </w:trPr>
        <w:tc>
          <w:tcPr>
            <w:tcW w:w="9371" w:type="dxa"/>
          </w:tcPr>
          <w:p w:rsidR="00845C54" w:rsidRPr="002179E3" w:rsidRDefault="00845C54" w:rsidP="00845C54">
            <w:pPr>
              <w:spacing w:line="240" w:lineRule="auto"/>
              <w:rPr>
                <w:sz w:val="22"/>
                <w:szCs w:val="22"/>
              </w:rPr>
            </w:pPr>
            <w:r w:rsidRPr="002179E3">
              <w:rPr>
                <w:sz w:val="22"/>
                <w:szCs w:val="22"/>
              </w:rPr>
              <w:t xml:space="preserve">3. v prípade </w:t>
            </w:r>
            <w:r>
              <w:rPr>
                <w:sz w:val="22"/>
                <w:szCs w:val="22"/>
              </w:rPr>
              <w:t xml:space="preserve">rozšírenia príslušnosti oddelení cudzineckej polície PZ na prijatie </w:t>
            </w:r>
            <w:r w:rsidRPr="00BA0079">
              <w:rPr>
                <w:sz w:val="22"/>
                <w:szCs w:val="22"/>
              </w:rPr>
              <w:t>žiadostí o registráciu práva pobytu občanov Únie a ich rodinných príslušníkov</w:t>
            </w:r>
            <w:r w:rsidRPr="002179E3">
              <w:rPr>
                <w:sz w:val="22"/>
                <w:szCs w:val="22"/>
              </w:rPr>
              <w:t xml:space="preserve">: </w:t>
            </w:r>
          </w:p>
          <w:p w:rsidR="00845C54" w:rsidRDefault="00845C54" w:rsidP="00845C54">
            <w:pPr>
              <w:spacing w:line="240" w:lineRule="auto"/>
              <w:rPr>
                <w:sz w:val="22"/>
                <w:szCs w:val="22"/>
              </w:rPr>
            </w:pPr>
            <w:r w:rsidRPr="002179E3">
              <w:rPr>
                <w:sz w:val="22"/>
                <w:szCs w:val="22"/>
              </w:rPr>
              <w:t>-</w:t>
            </w:r>
            <w:r>
              <w:rPr>
                <w:sz w:val="22"/>
                <w:szCs w:val="22"/>
              </w:rPr>
              <w:t xml:space="preserve"> </w:t>
            </w:r>
            <w:r w:rsidR="00F20A7A">
              <w:rPr>
                <w:sz w:val="22"/>
                <w:szCs w:val="22"/>
              </w:rPr>
              <w:t>v prípade určenia príslušnosti oddelení cudzineckej polície PZ Ministerstvom vnútra SR budú  oddelenia cudzineckej polície PZ povinné</w:t>
            </w:r>
            <w:r>
              <w:rPr>
                <w:sz w:val="22"/>
                <w:szCs w:val="22"/>
              </w:rPr>
              <w:t xml:space="preserve"> prijímať žiadosti o registráciu </w:t>
            </w:r>
            <w:r w:rsidRPr="00BA0079">
              <w:rPr>
                <w:sz w:val="22"/>
                <w:szCs w:val="22"/>
              </w:rPr>
              <w:t>práva pobytu občanov Únie a ich rodinných príslušníkov</w:t>
            </w:r>
            <w:r>
              <w:rPr>
                <w:sz w:val="22"/>
                <w:szCs w:val="22"/>
              </w:rPr>
              <w:t xml:space="preserve"> na ktoromkoľvek </w:t>
            </w:r>
            <w:r w:rsidR="00F20A7A">
              <w:rPr>
                <w:sz w:val="22"/>
                <w:szCs w:val="22"/>
              </w:rPr>
              <w:t xml:space="preserve">oddelení </w:t>
            </w:r>
            <w:r>
              <w:rPr>
                <w:sz w:val="22"/>
                <w:szCs w:val="22"/>
              </w:rPr>
              <w:t xml:space="preserve">bez ohľadu na miestnu príslušnosť </w:t>
            </w:r>
          </w:p>
          <w:p w:rsidR="00337789" w:rsidRPr="005C4B9C" w:rsidRDefault="00337789" w:rsidP="007C7F8B">
            <w:pPr>
              <w:spacing w:line="240" w:lineRule="auto"/>
              <w:rPr>
                <w:i/>
                <w:iCs/>
              </w:rPr>
            </w:pP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Zanikajúce povinnosti (identifikujte)</w:t>
            </w:r>
          </w:p>
        </w:tc>
      </w:tr>
      <w:tr w:rsidR="00337789" w:rsidRPr="005C4B9C" w:rsidTr="009C2704">
        <w:trPr>
          <w:trHeight w:val="859"/>
        </w:trPr>
        <w:tc>
          <w:tcPr>
            <w:tcW w:w="9371" w:type="dxa"/>
          </w:tcPr>
          <w:p w:rsidR="00845C54" w:rsidRPr="002179E3" w:rsidRDefault="00845C54" w:rsidP="00845C54">
            <w:pPr>
              <w:spacing w:line="240" w:lineRule="auto"/>
              <w:ind w:left="92" w:hanging="92"/>
              <w:rPr>
                <w:sz w:val="22"/>
                <w:szCs w:val="22"/>
              </w:rPr>
            </w:pPr>
            <w:r w:rsidRPr="002179E3">
              <w:rPr>
                <w:sz w:val="22"/>
                <w:szCs w:val="22"/>
              </w:rPr>
              <w:t xml:space="preserve">1. v prípade </w:t>
            </w:r>
            <w:r>
              <w:rPr>
                <w:sz w:val="22"/>
                <w:szCs w:val="22"/>
              </w:rPr>
              <w:t>z</w:t>
            </w:r>
            <w:r w:rsidRPr="00BA0079">
              <w:rPr>
                <w:sz w:val="22"/>
                <w:szCs w:val="22"/>
              </w:rPr>
              <w:t>jednodušeni</w:t>
            </w:r>
            <w:r>
              <w:rPr>
                <w:sz w:val="22"/>
                <w:szCs w:val="22"/>
              </w:rPr>
              <w:t>a</w:t>
            </w:r>
            <w:r w:rsidRPr="00BA0079">
              <w:rPr>
                <w:sz w:val="22"/>
                <w:szCs w:val="22"/>
              </w:rPr>
              <w:t xml:space="preserve"> podmienok prijímania cudzincov</w:t>
            </w:r>
            <w:r w:rsidRPr="002179E3">
              <w:rPr>
                <w:sz w:val="22"/>
                <w:szCs w:val="22"/>
              </w:rPr>
              <w:t>:</w:t>
            </w:r>
          </w:p>
          <w:p w:rsidR="00845C54" w:rsidRDefault="00845C54" w:rsidP="00845C54">
            <w:pPr>
              <w:spacing w:line="240" w:lineRule="auto"/>
              <w:rPr>
                <w:iCs/>
                <w:sz w:val="22"/>
                <w:szCs w:val="22"/>
              </w:rPr>
            </w:pPr>
            <w:r w:rsidRPr="00845C54">
              <w:rPr>
                <w:iCs/>
                <w:sz w:val="22"/>
                <w:szCs w:val="22"/>
              </w:rPr>
              <w:t xml:space="preserve">- </w:t>
            </w:r>
            <w:r>
              <w:rPr>
                <w:iCs/>
                <w:sz w:val="22"/>
                <w:szCs w:val="22"/>
              </w:rPr>
              <w:t xml:space="preserve">nevyžadovať splnenie </w:t>
            </w:r>
            <w:r w:rsidRPr="00845C54">
              <w:rPr>
                <w:iCs/>
                <w:sz w:val="22"/>
                <w:szCs w:val="22"/>
              </w:rPr>
              <w:t>povinnos</w:t>
            </w:r>
            <w:r>
              <w:rPr>
                <w:iCs/>
                <w:sz w:val="22"/>
                <w:szCs w:val="22"/>
              </w:rPr>
              <w:t>ti</w:t>
            </w:r>
            <w:r w:rsidRPr="00845C54">
              <w:rPr>
                <w:iCs/>
                <w:sz w:val="22"/>
                <w:szCs w:val="22"/>
              </w:rPr>
              <w:t xml:space="preserve"> </w:t>
            </w:r>
            <w:r>
              <w:rPr>
                <w:iCs/>
                <w:sz w:val="22"/>
                <w:szCs w:val="22"/>
              </w:rPr>
              <w:t xml:space="preserve">všetkých cudzincov žiadajúcich o pobyt, resp. o registráciu pobytu </w:t>
            </w:r>
            <w:r w:rsidRPr="00845C54">
              <w:rPr>
                <w:iCs/>
                <w:sz w:val="22"/>
                <w:szCs w:val="22"/>
              </w:rPr>
              <w:t>pr</w:t>
            </w:r>
            <w:r>
              <w:rPr>
                <w:iCs/>
                <w:sz w:val="22"/>
                <w:szCs w:val="22"/>
              </w:rPr>
              <w:t>i</w:t>
            </w:r>
            <w:r w:rsidRPr="00845C54">
              <w:rPr>
                <w:iCs/>
                <w:sz w:val="22"/>
                <w:szCs w:val="22"/>
              </w:rPr>
              <w:t xml:space="preserve">kladať </w:t>
            </w:r>
            <w:r>
              <w:rPr>
                <w:iCs/>
                <w:sz w:val="22"/>
                <w:szCs w:val="22"/>
              </w:rPr>
              <w:t>k žiadostiam fotografiu,</w:t>
            </w:r>
          </w:p>
          <w:p w:rsidR="00845C54" w:rsidRDefault="00845C54" w:rsidP="00845C54">
            <w:pPr>
              <w:spacing w:line="240" w:lineRule="auto"/>
              <w:rPr>
                <w:iCs/>
                <w:sz w:val="22"/>
                <w:szCs w:val="22"/>
              </w:rPr>
            </w:pPr>
            <w:r>
              <w:rPr>
                <w:iCs/>
                <w:sz w:val="22"/>
                <w:szCs w:val="22"/>
              </w:rPr>
              <w:t xml:space="preserve">- nevyžadovať splnenie </w:t>
            </w:r>
            <w:r w:rsidRPr="00845C54">
              <w:rPr>
                <w:iCs/>
                <w:sz w:val="22"/>
                <w:szCs w:val="22"/>
              </w:rPr>
              <w:t>povinnos</w:t>
            </w:r>
            <w:r>
              <w:rPr>
                <w:iCs/>
                <w:sz w:val="22"/>
                <w:szCs w:val="22"/>
              </w:rPr>
              <w:t xml:space="preserve">ti štátnych príslušníkov tretích krajín žiadajúcich o udelenie/obnovenie prechodného pobytu, trvalého pobytu, modrej karty preukazovať finančné zabezpečenie pobytu – v prípadoch, kde to umožňuje európska legislatíva </w:t>
            </w:r>
          </w:p>
          <w:p w:rsidR="00337789" w:rsidRPr="00B1784E" w:rsidRDefault="00337789" w:rsidP="007C7F8B">
            <w:pPr>
              <w:spacing w:line="240" w:lineRule="auto"/>
              <w:rPr>
                <w:i/>
                <w:iCs/>
              </w:rPr>
            </w:pPr>
          </w:p>
        </w:tc>
      </w:tr>
    </w:tbl>
    <w:p w:rsidR="00337789" w:rsidRDefault="00337789" w:rsidP="007C7F8B">
      <w:pPr>
        <w:autoSpaceDE w:val="0"/>
        <w:autoSpaceDN w:val="0"/>
        <w:spacing w:line="240" w:lineRule="auto"/>
        <w:jc w:val="center"/>
        <w:rPr>
          <w:rFonts w:eastAsia="Calibri"/>
          <w:b/>
          <w:bCs/>
          <w:color w:val="000000"/>
          <w:sz w:val="36"/>
          <w:szCs w:val="28"/>
          <w:lang w:eastAsia="en-US"/>
        </w:rPr>
      </w:pPr>
    </w:p>
    <w:p w:rsidR="006821D1" w:rsidRDefault="006821D1" w:rsidP="007C7F8B">
      <w:pPr>
        <w:pStyle w:val="Odsekzoznamu"/>
        <w:autoSpaceDE w:val="0"/>
        <w:autoSpaceDN w:val="0"/>
        <w:spacing w:line="240" w:lineRule="auto"/>
        <w:contextualSpacing/>
        <w:rPr>
          <w:rFonts w:eastAsia="Calibri"/>
          <w:bCs/>
          <w:color w:val="000000"/>
          <w:lang w:eastAsia="en-US"/>
        </w:rPr>
      </w:pPr>
    </w:p>
    <w:sectPr w:rsidR="006821D1" w:rsidSect="00033F71">
      <w:footerReference w:type="default" r:id="rId8"/>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AC7" w:rsidRDefault="00BF2AC7">
      <w:r>
        <w:separator/>
      </w:r>
    </w:p>
  </w:endnote>
  <w:endnote w:type="continuationSeparator" w:id="0">
    <w:p w:rsidR="00BF2AC7" w:rsidRDefault="00BF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71" w:rsidRDefault="00033F71">
    <w:pPr>
      <w:pStyle w:val="Pta"/>
      <w:jc w:val="right"/>
    </w:pPr>
    <w:r>
      <w:fldChar w:fldCharType="begin"/>
    </w:r>
    <w:r>
      <w:instrText>PAGE   \* MERGEFORMAT</w:instrText>
    </w:r>
    <w:r>
      <w:fldChar w:fldCharType="separate"/>
    </w:r>
    <w:r w:rsidR="007C6AB5">
      <w:rPr>
        <w:noProof/>
      </w:rPr>
      <w:t>4</w:t>
    </w:r>
    <w:r>
      <w:fldChar w:fldCharType="end"/>
    </w:r>
  </w:p>
  <w:p w:rsidR="009C2704" w:rsidRPr="00DA3A35" w:rsidRDefault="009C2704" w:rsidP="00F15AB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C7" w:rsidRDefault="00BF2AC7">
      <w:r>
        <w:separator/>
      </w:r>
    </w:p>
  </w:footnote>
  <w:footnote w:type="continuationSeparator" w:id="0">
    <w:p w:rsidR="00BF2AC7" w:rsidRDefault="00BF2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616AAD"/>
    <w:multiLevelType w:val="hybridMultilevel"/>
    <w:tmpl w:val="252AFF96"/>
    <w:lvl w:ilvl="0" w:tplc="041B000F">
      <w:start w:val="1"/>
      <w:numFmt w:val="decimal"/>
      <w:lvlText w:val="%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3" w15:restartNumberingAfterBreak="0">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8" w15:restartNumberingAfterBreak="0">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3050474"/>
    <w:multiLevelType w:val="hybridMultilevel"/>
    <w:tmpl w:val="5360F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6"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F3715D8"/>
    <w:multiLevelType w:val="hybridMultilevel"/>
    <w:tmpl w:val="776E14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3" w15:restartNumberingAfterBreak="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4"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5"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97D0001"/>
    <w:multiLevelType w:val="singleLevel"/>
    <w:tmpl w:val="0405000F"/>
    <w:lvl w:ilvl="0">
      <w:start w:val="1"/>
      <w:numFmt w:val="decimal"/>
      <w:lvlText w:val="%1."/>
      <w:lvlJc w:val="left"/>
      <w:pPr>
        <w:tabs>
          <w:tab w:val="num" w:pos="720"/>
        </w:tabs>
        <w:ind w:left="720" w:hanging="360"/>
      </w:pPr>
    </w:lvl>
  </w:abstractNum>
  <w:abstractNum w:abstractNumId="2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8"/>
    <w:lvlOverride w:ilvl="0">
      <w:startOverride w:val="1"/>
    </w:lvlOverride>
  </w:num>
  <w:num w:numId="2">
    <w:abstractNumId w:val="7"/>
  </w:num>
  <w:num w:numId="3">
    <w:abstractNumId w:val="17"/>
  </w:num>
  <w:num w:numId="4">
    <w:abstractNumId w:val="26"/>
  </w:num>
  <w:num w:numId="5">
    <w:abstractNumId w:val="1"/>
  </w:num>
  <w:num w:numId="6">
    <w:abstractNumId w:val="15"/>
  </w:num>
  <w:num w:numId="7">
    <w:abstractNumId w:val="8"/>
  </w:num>
  <w:num w:numId="8">
    <w:abstractNumId w:val="25"/>
  </w:num>
  <w:num w:numId="9">
    <w:abstractNumId w:val="6"/>
  </w:num>
  <w:num w:numId="10">
    <w:abstractNumId w:val="5"/>
  </w:num>
  <w:num w:numId="11">
    <w:abstractNumId w:val="27"/>
  </w:num>
  <w:num w:numId="12">
    <w:abstractNumId w:val="9"/>
  </w:num>
  <w:num w:numId="13">
    <w:abstractNumId w:val="18"/>
  </w:num>
  <w:num w:numId="14">
    <w:abstractNumId w:val="4"/>
  </w:num>
  <w:num w:numId="15">
    <w:abstractNumId w:val="13"/>
  </w:num>
  <w:num w:numId="16">
    <w:abstractNumId w:val="16"/>
  </w:num>
  <w:num w:numId="17">
    <w:abstractNumId w:val="29"/>
  </w:num>
  <w:num w:numId="18">
    <w:abstractNumId w:val="12"/>
  </w:num>
  <w:num w:numId="19">
    <w:abstractNumId w:val="19"/>
  </w:num>
  <w:num w:numId="20">
    <w:abstractNumId w:val="24"/>
  </w:num>
  <w:num w:numId="21">
    <w:abstractNumId w:val="2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
  </w:num>
  <w:num w:numId="28">
    <w:abstractNumId w:val="2"/>
  </w:num>
  <w:num w:numId="29">
    <w:abstractNumId w:val="21"/>
  </w:num>
  <w:num w:numId="3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5F02"/>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0F22"/>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9E9"/>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633"/>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55C6"/>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0F41"/>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07B"/>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6EA"/>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3B19"/>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9E3"/>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3AB9"/>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D63"/>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0ED8"/>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4D7B"/>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1A8"/>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55D7"/>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387"/>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8C"/>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3D4"/>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44E9"/>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4D09"/>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22B"/>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936"/>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67CAA"/>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794"/>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3E9F"/>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2DD8"/>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0E8"/>
    <w:rsid w:val="00760161"/>
    <w:rsid w:val="0076067E"/>
    <w:rsid w:val="007607F2"/>
    <w:rsid w:val="0076117B"/>
    <w:rsid w:val="007611D5"/>
    <w:rsid w:val="00761256"/>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CC0"/>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B5"/>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B5A"/>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C54"/>
    <w:rsid w:val="00845E20"/>
    <w:rsid w:val="0084605F"/>
    <w:rsid w:val="008467BF"/>
    <w:rsid w:val="00847B4F"/>
    <w:rsid w:val="008502D1"/>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82"/>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CD0"/>
    <w:rsid w:val="00963D36"/>
    <w:rsid w:val="00964399"/>
    <w:rsid w:val="009645D9"/>
    <w:rsid w:val="009647FC"/>
    <w:rsid w:val="00964BAB"/>
    <w:rsid w:val="00964DDF"/>
    <w:rsid w:val="009662ED"/>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5F7"/>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2A51"/>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47FE0"/>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BFC"/>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801"/>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8B3"/>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079"/>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2AC7"/>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55FD"/>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6E06"/>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285"/>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282"/>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57FA6"/>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3944"/>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B1D"/>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986"/>
    <w:rsid w:val="00DD1CBB"/>
    <w:rsid w:val="00DD25DC"/>
    <w:rsid w:val="00DD2B36"/>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811"/>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3EA0"/>
    <w:rsid w:val="00E1402C"/>
    <w:rsid w:val="00E14A3D"/>
    <w:rsid w:val="00E1532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60A"/>
    <w:rsid w:val="00E27A68"/>
    <w:rsid w:val="00E27D08"/>
    <w:rsid w:val="00E302C4"/>
    <w:rsid w:val="00E30D80"/>
    <w:rsid w:val="00E314E9"/>
    <w:rsid w:val="00E31764"/>
    <w:rsid w:val="00E318F8"/>
    <w:rsid w:val="00E31A3A"/>
    <w:rsid w:val="00E31A74"/>
    <w:rsid w:val="00E3365A"/>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1A1"/>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14"/>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4A1"/>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A7A"/>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84D"/>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28125C-C7E4-4C8F-A137-957CAF2E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aliases w:val=" Char Char3 Char Char Char Char Char Char"/>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 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 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 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ilný"/>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 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 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 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 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ListParagraph">
    <w:name w:val="List Paragraph"/>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 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PlaceholderText">
    <w:name w:val="Placeholder Text"/>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link w:val="Predvolenpsmoodseku"/>
    <w:rsid w:val="00924FEB"/>
    <w:pPr>
      <w:spacing w:after="160" w:line="240" w:lineRule="exact"/>
    </w:pPr>
    <w:rPr>
      <w:rFonts w:ascii="Tahoma" w:hAnsi="Tahoma" w:cs="Tahoma"/>
      <w:lang w:val="en-US" w:eastAsia="en-US"/>
    </w:rPr>
  </w:style>
  <w:style w:type="character" w:styleId="Textzstupnhosymbolu">
    <w:name w:val="Text zástupného symbolu"/>
    <w:uiPriority w:val="99"/>
    <w:semiHidden/>
    <w:rsid w:val="009843AC"/>
    <w:rPr>
      <w:rFonts w:ascii="Times New Roman" w:hAnsi="Times New Roman" w:cs="Times New Roman"/>
      <w:color w:val="808080"/>
    </w:rPr>
  </w:style>
  <w:style w:type="paragraph" w:customStyle="1" w:styleId="CharChar1CharChar">
    <w:name w:val=" 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 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3F7C0-5116-409E-8D45-E2B2AE71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1688</Words>
  <Characters>9622</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subject/>
  <dc:creator>lassova</dc:creator>
  <cp:keywords/>
  <cp:lastModifiedBy>Nikoleta Fekete</cp:lastModifiedBy>
  <cp:revision>2</cp:revision>
  <cp:lastPrinted>2016-02-22T12:58:00Z</cp:lastPrinted>
  <dcterms:created xsi:type="dcterms:W3CDTF">2025-05-13T11:55:00Z</dcterms:created>
  <dcterms:modified xsi:type="dcterms:W3CDTF">2025-05-13T11:55:00Z</dcterms:modified>
</cp:coreProperties>
</file>