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9E1A" w14:textId="416F3CD8" w:rsidR="006B1B39" w:rsidRPr="00201CE3" w:rsidRDefault="00201CE3" w:rsidP="00197541">
      <w:pPr>
        <w:spacing w:after="120"/>
        <w:jc w:val="center"/>
        <w:rPr>
          <w:color w:val="000000"/>
          <w:sz w:val="28"/>
          <w:szCs w:val="28"/>
        </w:rPr>
      </w:pPr>
      <w:r w:rsidRPr="00201CE3">
        <w:rPr>
          <w:b/>
          <w:color w:val="000000"/>
          <w:sz w:val="28"/>
          <w:szCs w:val="28"/>
        </w:rPr>
        <w:t>Dôvodová správa</w:t>
      </w:r>
    </w:p>
    <w:p w14:paraId="48613013" w14:textId="77777777" w:rsidR="006B1B39" w:rsidRPr="00A64D2D" w:rsidRDefault="006B1B39" w:rsidP="00197541">
      <w:pPr>
        <w:spacing w:after="120"/>
        <w:jc w:val="both"/>
        <w:rPr>
          <w:color w:val="000000"/>
        </w:rPr>
      </w:pPr>
    </w:p>
    <w:p w14:paraId="537E20A4" w14:textId="77777777" w:rsidR="006B1B39" w:rsidRPr="00CC46A8" w:rsidRDefault="006B1B39" w:rsidP="00197541">
      <w:pPr>
        <w:pStyle w:val="Odsekzoznamu"/>
        <w:numPr>
          <w:ilvl w:val="0"/>
          <w:numId w:val="1"/>
        </w:numPr>
        <w:adjustRightInd w:val="0"/>
        <w:spacing w:after="120"/>
        <w:jc w:val="both"/>
        <w:rPr>
          <w:b/>
          <w:color w:val="000000"/>
        </w:rPr>
      </w:pPr>
      <w:r w:rsidRPr="00CC46A8">
        <w:rPr>
          <w:b/>
          <w:color w:val="000000"/>
        </w:rPr>
        <w:t>Všeobecná časť</w:t>
      </w:r>
    </w:p>
    <w:p w14:paraId="28B72851" w14:textId="77777777" w:rsidR="006B1B39" w:rsidRDefault="006B1B39" w:rsidP="00197541">
      <w:pPr>
        <w:autoSpaceDE w:val="0"/>
        <w:autoSpaceDN w:val="0"/>
        <w:spacing w:after="120"/>
        <w:jc w:val="both"/>
      </w:pPr>
    </w:p>
    <w:p w14:paraId="7A4EEDAB" w14:textId="2A75DE4C" w:rsidR="00B31140" w:rsidRPr="00F70292" w:rsidRDefault="00B31140" w:rsidP="00F70292">
      <w:pPr>
        <w:pStyle w:val="Zkladntext"/>
        <w:spacing w:before="0" w:after="240"/>
        <w:ind w:firstLine="357"/>
        <w:rPr>
          <w:lang w:val="sk-SK"/>
        </w:rPr>
      </w:pPr>
      <w:r w:rsidRPr="45DD917B">
        <w:rPr>
          <w:lang w:val="sk-SK"/>
        </w:rPr>
        <w:t xml:space="preserve">Návrh zákona vytvára novú právnu úpravu </w:t>
      </w:r>
      <w:r w:rsidR="00646350" w:rsidRPr="45DD917B">
        <w:rPr>
          <w:lang w:val="sk-SK"/>
        </w:rPr>
        <w:t>ako reakciu na rýchly rozvoj digitalizácie a potrebu zvýšenia ochrany spotrebiteľa</w:t>
      </w:r>
      <w:r w:rsidRPr="45DD917B">
        <w:rPr>
          <w:lang w:val="sk-SK"/>
        </w:rPr>
        <w:t xml:space="preserve">, pričom </w:t>
      </w:r>
      <w:r w:rsidR="00924F4D" w:rsidRPr="45DD917B">
        <w:rPr>
          <w:lang w:val="sk-SK"/>
        </w:rPr>
        <w:t>jedným z hlavných dôvodov</w:t>
      </w:r>
      <w:r w:rsidRPr="45DD917B">
        <w:rPr>
          <w:lang w:val="sk-SK"/>
        </w:rPr>
        <w:t xml:space="preserve"> </w:t>
      </w:r>
      <w:r w:rsidR="003C2EA2" w:rsidRPr="45DD917B">
        <w:rPr>
          <w:lang w:val="sk-SK"/>
        </w:rPr>
        <w:t xml:space="preserve">na predloženie návrhu zákona je </w:t>
      </w:r>
      <w:r w:rsidR="00443631" w:rsidRPr="45DD917B">
        <w:rPr>
          <w:lang w:val="sk-SK"/>
        </w:rPr>
        <w:t>prebr</w:t>
      </w:r>
      <w:r w:rsidR="00646350" w:rsidRPr="45DD917B">
        <w:rPr>
          <w:lang w:val="sk-SK"/>
        </w:rPr>
        <w:t>atie požiadaviek ustanovených v</w:t>
      </w:r>
      <w:r w:rsidR="005A3E62" w:rsidRPr="45DD917B">
        <w:rPr>
          <w:lang w:val="sk-SK"/>
        </w:rPr>
        <w:t xml:space="preserve"> </w:t>
      </w:r>
      <w:r w:rsidR="00443631" w:rsidRPr="45DD917B">
        <w:rPr>
          <w:lang w:val="sk-SK"/>
        </w:rPr>
        <w:t>smernici</w:t>
      </w:r>
      <w:r w:rsidRPr="45DD917B">
        <w:rPr>
          <w:lang w:val="sk-SK"/>
        </w:rPr>
        <w:t xml:space="preserve"> </w:t>
      </w:r>
      <w:r w:rsidR="00646350" w:rsidRPr="45DD917B">
        <w:rPr>
          <w:lang w:val="sk-SK"/>
        </w:rPr>
        <w:t xml:space="preserve">Európskeho parlamentu a Rady (EÚ) 2023/2673 z 22. novembra 2023, ktorou sa mení smernica 2011/83/EÚ, pokiaľ ide o zmluvy o finančných službách uzavreté na diaľku, a ktorou sa zrušuje smernica 2002/65/ES </w:t>
      </w:r>
      <w:r w:rsidRPr="45DD917B">
        <w:rPr>
          <w:lang w:val="sk-SK"/>
        </w:rPr>
        <w:t xml:space="preserve">(ďalej len „smernica </w:t>
      </w:r>
      <w:r w:rsidR="00646350" w:rsidRPr="45DD917B">
        <w:rPr>
          <w:lang w:val="sk-SK"/>
        </w:rPr>
        <w:t>2023/2673</w:t>
      </w:r>
      <w:r w:rsidRPr="45DD917B">
        <w:rPr>
          <w:lang w:val="sk-SK"/>
        </w:rPr>
        <w:t>“)</w:t>
      </w:r>
      <w:r w:rsidR="57812140" w:rsidRPr="45DD917B">
        <w:rPr>
          <w:lang w:val="sk-SK"/>
        </w:rPr>
        <w:t xml:space="preserve">, </w:t>
      </w:r>
      <w:r w:rsidR="003C2EA2" w:rsidRPr="45DD917B">
        <w:rPr>
          <w:lang w:val="sk-SK"/>
        </w:rPr>
        <w:t>nakoľko Slovenskej republike vyplýva povinnosť transponovať citovanú smernicu do vnútroštátneho právneho poriadku na dosiahnutie súladu s legislatívou Európskej únie (ďalej len „EÚ“).</w:t>
      </w:r>
    </w:p>
    <w:p w14:paraId="7BDCFDC1" w14:textId="45992431" w:rsidR="00DC3DBE" w:rsidRDefault="00204135" w:rsidP="45DD917B">
      <w:pPr>
        <w:pStyle w:val="Normlnywebov"/>
        <w:spacing w:before="0" w:beforeAutospacing="0" w:after="240" w:afterAutospacing="0"/>
        <w:ind w:firstLine="357"/>
        <w:jc w:val="both"/>
      </w:pPr>
      <w:r>
        <w:t xml:space="preserve">Primárnym cieľom je </w:t>
      </w:r>
      <w:r w:rsidR="00924F4D">
        <w:t>riešenie</w:t>
      </w:r>
      <w:r>
        <w:t xml:space="preserve"> problematiky </w:t>
      </w:r>
      <w:r w:rsidR="00DC3DBE">
        <w:t>poskytovania finančných služieb na diaľku prostredníctvom rôznych online kanálov, pričom doterajšia právna úprava adekvátne nereag</w:t>
      </w:r>
      <w:r w:rsidR="52ECDD13">
        <w:t>uje</w:t>
      </w:r>
      <w:r w:rsidR="00DC3DBE">
        <w:t xml:space="preserve"> na technické možnosti</w:t>
      </w:r>
      <w:r w:rsidR="71CAD55E">
        <w:t>,</w:t>
      </w:r>
      <w:r w:rsidR="00DC3DBE">
        <w:t xml:space="preserve"> akými môžu byť finančné služby na diaľku ponúkané a poskytované v súčasnosti. </w:t>
      </w:r>
      <w:r w:rsidR="00BA5221">
        <w:t xml:space="preserve">Digitalizácia prispela k vývoju na trhu, ktorý sa v čase prijímania súčasnej právnej úpravy nedal predvídať, pričom tento vývoj so sebou priniesol významné zmeny na trhu s finančnými službami. Finančné služby ponúkané spotrebiteľom sa značne rozvinuli a </w:t>
      </w:r>
      <w:proofErr w:type="spellStart"/>
      <w:r w:rsidR="00BA5221">
        <w:t>diverzifikovali</w:t>
      </w:r>
      <w:proofErr w:type="spellEnd"/>
      <w:r w:rsidR="00BA5221">
        <w:t xml:space="preserve">. </w:t>
      </w:r>
      <w:r w:rsidR="06CB88A6">
        <w:t>Vyvinuli</w:t>
      </w:r>
      <w:r w:rsidR="00BA5221">
        <w:t xml:space="preserve"> sa nové produkty, najmä v online prostredí, a ich používanie sa naďalej vyvíja často rýchlym a nepredvídateľným spôsobom. Absencia právnej regulácie v daných oblastiach, ako aj nejednotnosť pravidiel zabezpečujúcich úroveň ochrany spotrebiteľov pri finančných službách na diaľku </w:t>
      </w:r>
      <w:r w:rsidR="5843EE6D">
        <w:t>by viedla</w:t>
      </w:r>
      <w:r w:rsidR="00BA5221">
        <w:t xml:space="preserve"> k právnej neistote a k problémom pri uzavieraní zmlúv o finančných službách v rámci vnútorného trhu.</w:t>
      </w:r>
    </w:p>
    <w:p w14:paraId="4E62DAF1" w14:textId="7D4363AD" w:rsidR="00B2716D" w:rsidRDefault="00F67220" w:rsidP="007B1575">
      <w:pPr>
        <w:spacing w:before="240" w:after="240"/>
        <w:ind w:firstLine="357"/>
        <w:jc w:val="both"/>
      </w:pPr>
      <w:r>
        <w:t xml:space="preserve">Návrh zákona </w:t>
      </w:r>
      <w:r w:rsidR="002A5BF1">
        <w:t xml:space="preserve">preto </w:t>
      </w:r>
      <w:r>
        <w:t xml:space="preserve">sleduje viacero cieľov, ktoré majú primárne riešiť problematiku </w:t>
      </w:r>
      <w:r w:rsidR="00BA5221">
        <w:t>finančných služieb poskytovaných na diaľku a podporiť ochranu spotrebiteľa v danej oblasti.</w:t>
      </w:r>
      <w:r w:rsidR="00B2716D">
        <w:t xml:space="preserve"> Všeobecné závery z hodnotenia v rámci programu regulačnej vhodnosti a efektívnosti (REFIT) boli, že právne predpisy, ktoré taktiež predstavovali transpozíciu smerníc (napr. zákon č. 129/2010 Z. z. o spotrebiteľských úveroch a o iných úveroch a pôžičkách pre spotrebiteľov a o zmene a doplnení niektorých zákonov, zákon č. 90/2016 Z. z. o úveroch na bývanie a o zmene a doplnení niektorých zákonov</w:t>
      </w:r>
      <w:r w:rsidR="563490B5">
        <w:t>)</w:t>
      </w:r>
      <w:r w:rsidR="00B2716D">
        <w:t xml:space="preserve"> znížili pridanú hodnotu smernice 2023/2673 a jej relevantnosť. Smernica 2023/2673 a ňou transponovaný návrh zákona </w:t>
      </w:r>
      <w:r w:rsidR="0F9E7778">
        <w:t>preto</w:t>
      </w:r>
      <w:r w:rsidR="00B2716D">
        <w:t xml:space="preserve"> zabezpečuje funkciu záchrannej siete, čo znamená, že spotrebitelia majú určitú úroveň ochrany v prípade zmlúv uzavretých na diaľku, a to aj v prípade finančných produktov, na ktoré sa doteraz nevzťahovali žiadne právne predpisy (napr. smernica sa uplatňuje v prípade neexistencie pravidiel EÚ týkajúcich sa </w:t>
      </w:r>
      <w:proofErr w:type="spellStart"/>
      <w:r w:rsidR="00B2716D">
        <w:t>kryptoaktív</w:t>
      </w:r>
      <w:proofErr w:type="spellEnd"/>
      <w:r w:rsidR="00B2716D">
        <w:t xml:space="preserve">). Vzhľadom na to je prijatie novej právnej úpravy </w:t>
      </w:r>
      <w:r w:rsidR="34A5ADF7">
        <w:t>nevyhnutné</w:t>
      </w:r>
      <w:r w:rsidR="00B2716D">
        <w:t>.</w:t>
      </w:r>
    </w:p>
    <w:p w14:paraId="530AAF09" w14:textId="77777777" w:rsidR="00BA5221" w:rsidRPr="00BA5221" w:rsidRDefault="00BA5221" w:rsidP="00BA5221">
      <w:pPr>
        <w:pStyle w:val="Zkladntext"/>
        <w:spacing w:after="240"/>
        <w:ind w:firstLine="357"/>
        <w:rPr>
          <w:lang w:val="sk-SK"/>
        </w:rPr>
      </w:pPr>
      <w:r w:rsidRPr="00BA5221">
        <w:rPr>
          <w:lang w:val="sk-SK"/>
        </w:rPr>
        <w:t>Ochrana spotrebiteľa patrí do spoločnej právomoci EÚ a jej členských štátov. Ako sa uvádza v článku 169 Zmluvy o fungovaní Európskej únie (ZFEÚ), EÚ musí pomáhať chrániť hospodárske záujmy spotrebiteľov a podporovať ich právo na informácie a osvetu na ochranu ich záujmov. Právnym základom návrhu je článok 114 ZFEÚ. Ten je v súlade s článkom 169 ods. 2 písm. a) ZFEÚ právnym základom na prijatie opatrení, ktorými sa prispieva k dosahovaniu cieľov stanovených v článku 169 ZFEÚ v súvislosti so zavŕšením tvorby jednotného trhu.</w:t>
      </w:r>
    </w:p>
    <w:p w14:paraId="165C9B2C" w14:textId="045BA5C8" w:rsidR="00B2716D" w:rsidRDefault="00B2716D" w:rsidP="007B1575">
      <w:pPr>
        <w:tabs>
          <w:tab w:val="num" w:pos="284"/>
        </w:tabs>
        <w:spacing w:after="240"/>
        <w:jc w:val="both"/>
      </w:pPr>
      <w:r>
        <w:tab/>
        <w:t>Poskytovanie finančných služieb spotrebiteľom na diaľku sa za posledných 20 rokov výrazne zmenilo. Obchodníci</w:t>
      </w:r>
      <w:r w:rsidRPr="0003632C">
        <w:t xml:space="preserve"> a spotrebitelia finančných služieb prestali používať </w:t>
      </w:r>
      <w:r>
        <w:t>napr. fax,</w:t>
      </w:r>
      <w:r w:rsidRPr="0003632C">
        <w:t xml:space="preserve"> pričom sa objavili noví aktéri</w:t>
      </w:r>
      <w:r>
        <w:t xml:space="preserve"> </w:t>
      </w:r>
      <w:r w:rsidRPr="0003632C">
        <w:t xml:space="preserve">(napr. </w:t>
      </w:r>
      <w:proofErr w:type="spellStart"/>
      <w:r w:rsidR="342DD323" w:rsidRPr="0003632C">
        <w:t>fintech</w:t>
      </w:r>
      <w:proofErr w:type="spellEnd"/>
      <w:r w:rsidR="342DD323" w:rsidRPr="0003632C">
        <w:t xml:space="preserve"> </w:t>
      </w:r>
      <w:r w:rsidRPr="0003632C">
        <w:t xml:space="preserve">spoločnosti) s novými obchodnými modelmi a </w:t>
      </w:r>
      <w:r w:rsidRPr="0003632C">
        <w:lastRenderedPageBreak/>
        <w:t>novými distribučnými kanálmi (napr. finančné služby predávané online).</w:t>
      </w:r>
      <w:r>
        <w:t xml:space="preserve"> Pandémia COVID-19 </w:t>
      </w:r>
      <w:r w:rsidRPr="0003632C">
        <w:t>a súvisiace obmedzenia pohybu</w:t>
      </w:r>
      <w:r>
        <w:t xml:space="preserve"> taktiež dopomohli k zrýchleniu nakupovania online vo všeobecnosti (napr. v bankovom sektore sa zmluvné vzťahy uzatvárali </w:t>
      </w:r>
      <w:r w:rsidRPr="0003632C">
        <w:t>prostredníctv</w:t>
      </w:r>
      <w:r>
        <w:t>om elektronických prostriedkov).</w:t>
      </w:r>
    </w:p>
    <w:p w14:paraId="6DED7128" w14:textId="0DD097CF" w:rsidR="00BC036E" w:rsidRDefault="00F67220" w:rsidP="00F70292">
      <w:pPr>
        <w:pStyle w:val="Zkladntext"/>
        <w:spacing w:before="0" w:after="240"/>
        <w:ind w:firstLine="357"/>
        <w:rPr>
          <w:lang w:val="sk-SK"/>
        </w:rPr>
      </w:pPr>
      <w:r w:rsidRPr="00F70292">
        <w:rPr>
          <w:lang w:val="sk-SK"/>
        </w:rPr>
        <w:t>Návrhom zákona sa má</w:t>
      </w:r>
      <w:r w:rsidR="00BA6B2C" w:rsidRPr="00F70292">
        <w:rPr>
          <w:lang w:val="sk-SK"/>
        </w:rPr>
        <w:t xml:space="preserve"> ďalej</w:t>
      </w:r>
      <w:r w:rsidRPr="00F70292">
        <w:rPr>
          <w:lang w:val="sk-SK"/>
        </w:rPr>
        <w:t xml:space="preserve"> dosiahnuť</w:t>
      </w:r>
      <w:r w:rsidR="00BC036E">
        <w:rPr>
          <w:lang w:val="sk-SK"/>
        </w:rPr>
        <w:t>:</w:t>
      </w:r>
    </w:p>
    <w:p w14:paraId="4938D036" w14:textId="77777777" w:rsidR="00B2716D" w:rsidRPr="00B2716D" w:rsidRDefault="00B2716D" w:rsidP="00B2716D">
      <w:pPr>
        <w:pStyle w:val="Zkladntext"/>
        <w:numPr>
          <w:ilvl w:val="0"/>
          <w:numId w:val="3"/>
        </w:numPr>
        <w:spacing w:after="240"/>
        <w:rPr>
          <w:lang w:val="sk-SK"/>
        </w:rPr>
      </w:pPr>
      <w:r w:rsidRPr="00B2716D">
        <w:rPr>
          <w:lang w:val="sk-SK"/>
        </w:rPr>
        <w:t>zavedenie komplexnej a aktuálnej právnej regulácie v oblasti ochrany spotrebiteľa pri poskytovaní finančných služieb na diaľku,</w:t>
      </w:r>
    </w:p>
    <w:p w14:paraId="23988595" w14:textId="77777777" w:rsidR="00B2716D" w:rsidRPr="00B2716D" w:rsidRDefault="00B2716D" w:rsidP="00B2716D">
      <w:pPr>
        <w:pStyle w:val="Zkladntext"/>
        <w:numPr>
          <w:ilvl w:val="0"/>
          <w:numId w:val="3"/>
        </w:numPr>
        <w:spacing w:after="240"/>
        <w:rPr>
          <w:lang w:val="sk-SK"/>
        </w:rPr>
      </w:pPr>
      <w:r w:rsidRPr="00B2716D">
        <w:rPr>
          <w:lang w:val="sk-SK"/>
        </w:rPr>
        <w:t>posilnenie právnej istoty v reakcii na rýchly technologický vývoj v oblasti digitalizácie, ktorý spôsobil, že niektoré inštitúty v online prostredí súčasná právna úprava v plnej miere nerieši,</w:t>
      </w:r>
    </w:p>
    <w:p w14:paraId="2D495B87" w14:textId="77777777" w:rsidR="00B2716D" w:rsidRPr="00B2716D" w:rsidRDefault="00B2716D" w:rsidP="00B2716D">
      <w:pPr>
        <w:pStyle w:val="Zkladntext"/>
        <w:numPr>
          <w:ilvl w:val="0"/>
          <w:numId w:val="3"/>
        </w:numPr>
        <w:spacing w:after="240"/>
        <w:rPr>
          <w:lang w:val="sk-SK"/>
        </w:rPr>
      </w:pPr>
      <w:r w:rsidRPr="00B2716D">
        <w:rPr>
          <w:lang w:val="sk-SK"/>
        </w:rPr>
        <w:t>vymedzenie zásad, ktoré budú platné aj pre prostriedky, ktorých používanie ešte nie je rozšírené alebo ktoré ešte nie sú známe, a to s cieľom reagovať na neustály vývoj uvedených komunikačných prostriedkov,</w:t>
      </w:r>
    </w:p>
    <w:p w14:paraId="72491EEF" w14:textId="77777777" w:rsidR="00B2716D" w:rsidRPr="00B2716D" w:rsidRDefault="00B2716D" w:rsidP="00B2716D">
      <w:pPr>
        <w:pStyle w:val="Zkladntext"/>
        <w:numPr>
          <w:ilvl w:val="0"/>
          <w:numId w:val="3"/>
        </w:numPr>
        <w:spacing w:after="240"/>
        <w:rPr>
          <w:lang w:val="sk-SK"/>
        </w:rPr>
      </w:pPr>
      <w:r w:rsidRPr="00B2716D">
        <w:rPr>
          <w:lang w:val="sk-SK"/>
        </w:rPr>
        <w:t>zabezpečenie jednotnej úrovne ochrany spotrebiteľov v rámci štátov EÚ a zamedzenie rozdielom, ktoré by bránili uzatváraniu zmlúv o finančných službách v rámci vnútorného trhu,</w:t>
      </w:r>
    </w:p>
    <w:p w14:paraId="7A34AF4E" w14:textId="77777777" w:rsidR="00B2716D" w:rsidRPr="00B2716D" w:rsidRDefault="00B2716D" w:rsidP="00B2716D">
      <w:pPr>
        <w:pStyle w:val="Zkladntext"/>
        <w:numPr>
          <w:ilvl w:val="0"/>
          <w:numId w:val="3"/>
        </w:numPr>
        <w:spacing w:after="240"/>
        <w:rPr>
          <w:lang w:val="sk-SK"/>
        </w:rPr>
      </w:pPr>
      <w:r w:rsidRPr="00B2716D">
        <w:rPr>
          <w:lang w:val="sk-SK"/>
        </w:rPr>
        <w:t>zavedenie pravidiel, ktorými sa pre obchodníkov zabezpečí právna istota a transparentnosť a spotrebiteľom sa poskytnú jednotné právne vymožiteľné práva a povinnosti vo všetkých členských štátoch EÚ,</w:t>
      </w:r>
    </w:p>
    <w:p w14:paraId="52364689" w14:textId="77777777" w:rsidR="00B2716D" w:rsidRPr="00B2716D" w:rsidRDefault="00B2716D" w:rsidP="00B2716D">
      <w:pPr>
        <w:pStyle w:val="Zkladntext"/>
        <w:numPr>
          <w:ilvl w:val="0"/>
          <w:numId w:val="3"/>
        </w:numPr>
        <w:spacing w:after="240"/>
        <w:rPr>
          <w:lang w:val="sk-SK"/>
        </w:rPr>
      </w:pPr>
      <w:r w:rsidRPr="00B2716D">
        <w:rPr>
          <w:lang w:val="sk-SK"/>
        </w:rPr>
        <w:t>úprava pravidiel týkajúcich sa práva na predzmluvné informácie a práva na odstúpenie od zmluvy, ako aj pravidiel zabezpečujúcich spravodlivosť na internete pri uzatváraní zmlúv o finančných službách na diaľku.</w:t>
      </w:r>
    </w:p>
    <w:p w14:paraId="30638392" w14:textId="280BB1D2" w:rsidR="009142AA" w:rsidRPr="00F16803" w:rsidRDefault="00F16803" w:rsidP="00F16803">
      <w:pPr>
        <w:pStyle w:val="Zkladntext"/>
        <w:spacing w:after="240"/>
        <w:ind w:firstLine="357"/>
        <w:rPr>
          <w:lang w:val="sk-SK"/>
        </w:rPr>
      </w:pPr>
      <w:r w:rsidRPr="00F16803">
        <w:rPr>
          <w:lang w:val="sk-SK"/>
        </w:rPr>
        <w:t xml:space="preserve">Ciele návrhu zákona budú splnené prostredníctvom ustanovenia zákonných požiadaviek v rámci úplnej harmonizácie na úpravu predzmluvných informácií, úpravu práva na odstúpenie od zmluvy, zásad spravodlivého zaobchádzania v online prostredí a presadzovaním práva. </w:t>
      </w:r>
      <w:r w:rsidR="009142AA" w:rsidRPr="00F16803">
        <w:rPr>
          <w:lang w:val="sk-SK"/>
        </w:rPr>
        <w:t xml:space="preserve">(vymáhaním práva).  </w:t>
      </w:r>
    </w:p>
    <w:p w14:paraId="5A0D24FF" w14:textId="6638A166" w:rsidR="009142AA" w:rsidRDefault="00E1634E" w:rsidP="00F70292">
      <w:pPr>
        <w:pStyle w:val="Zkladntext"/>
        <w:spacing w:before="0" w:after="240"/>
        <w:ind w:firstLine="357"/>
        <w:rPr>
          <w:lang w:val="sk-SK"/>
        </w:rPr>
      </w:pPr>
      <w:r w:rsidRPr="00F70292">
        <w:rPr>
          <w:lang w:val="sk-SK"/>
        </w:rPr>
        <w:t>V záujme zachovania primeranej úrovne ochrany spotrebiteľa v súlade so štandardmi ustanovenými právnymi predpismi EÚ, návrh zákona prinesie zmeny zákona</w:t>
      </w:r>
      <w:r w:rsidR="00343D6E" w:rsidRPr="00F70292">
        <w:rPr>
          <w:lang w:val="sk-SK"/>
        </w:rPr>
        <w:t xml:space="preserve"> č. </w:t>
      </w:r>
      <w:r w:rsidR="009142AA">
        <w:rPr>
          <w:lang w:val="sk-SK"/>
        </w:rPr>
        <w:t xml:space="preserve">108/2024 Z. z. </w:t>
      </w:r>
      <w:r w:rsidR="009142AA" w:rsidRPr="009142AA">
        <w:rPr>
          <w:lang w:val="sk-SK"/>
        </w:rPr>
        <w:t>o ochrane spotrebiteľa a o zmene a doplnení niektorých zákonov</w:t>
      </w:r>
      <w:r w:rsidR="009142AA">
        <w:rPr>
          <w:lang w:val="sk-SK"/>
        </w:rPr>
        <w:t xml:space="preserve"> a zákona č. </w:t>
      </w:r>
      <w:r w:rsidR="009142AA" w:rsidRPr="009142AA">
        <w:rPr>
          <w:lang w:val="sk-SK"/>
        </w:rPr>
        <w:t>251/2012 Z. z. o energetike a o zmene a doplnení niektorých zákonov</w:t>
      </w:r>
      <w:r w:rsidR="00343D6E" w:rsidRPr="00F70292">
        <w:rPr>
          <w:lang w:val="sk-SK"/>
        </w:rPr>
        <w:t xml:space="preserve">, </w:t>
      </w:r>
      <w:r w:rsidR="009142AA">
        <w:rPr>
          <w:lang w:val="sk-SK"/>
        </w:rPr>
        <w:t>ktoré sa týkajú potreby reflektovať zmeny vykonané návrhom zákona aj do týchto právnych predpisov a ustanovenie funkcie na odstúpenie od zmluvy nie len pre obchodníkov poskytujúcich finančné služby na diaľku, ale aj pre obchodníkov poskytujúcich akékoľvek služby a tovary na diaľku.</w:t>
      </w:r>
    </w:p>
    <w:p w14:paraId="1E550584" w14:textId="31D25C8E" w:rsidR="007B1575" w:rsidRPr="009142AA" w:rsidRDefault="00810EAC" w:rsidP="007B1575">
      <w:pPr>
        <w:spacing w:after="120"/>
        <w:ind w:firstLine="357"/>
        <w:jc w:val="both"/>
        <w:rPr>
          <w:rFonts w:eastAsia="Calibri"/>
          <w:color w:val="000000"/>
        </w:rPr>
      </w:pPr>
      <w:r w:rsidRPr="009142AA">
        <w:rPr>
          <w:rFonts w:eastAsia="Calibri"/>
          <w:color w:val="000000"/>
        </w:rPr>
        <w:t>V rámci ďalších novelizačných článkov návrhu zákona je zabezpečený súlad článku I návrhu zákona s ostatnými právnymi predpismi, ktorých sa dotýkajú zmeny zavedené týmto článkom.</w:t>
      </w:r>
    </w:p>
    <w:p w14:paraId="78D2CDED" w14:textId="7A854654" w:rsidR="007B1575" w:rsidRPr="009142AA" w:rsidRDefault="00810EAC" w:rsidP="45DD917B">
      <w:pPr>
        <w:pStyle w:val="Normlnywebov"/>
        <w:spacing w:before="240" w:beforeAutospacing="0" w:after="120" w:afterAutospacing="0"/>
        <w:jc w:val="both"/>
      </w:pPr>
      <w:r>
        <w:t xml:space="preserve">      Návrh zákona má pozitívne aj negatívne vplyvy na podnikateľské prostredie, vrátane vplyvov na malé a stredné podniky. </w:t>
      </w:r>
      <w:r w:rsidR="0004130C">
        <w:t>M</w:t>
      </w:r>
      <w:r>
        <w:t>echanizmus znižovania byrokracie a</w:t>
      </w:r>
      <w:r w:rsidR="0004130C">
        <w:t> </w:t>
      </w:r>
      <w:r>
        <w:t>nákladov</w:t>
      </w:r>
      <w:r w:rsidR="0004130C">
        <w:t xml:space="preserve"> sa uplatňuje</w:t>
      </w:r>
      <w:r>
        <w:t>. Návrh zákona má t</w:t>
      </w:r>
      <w:r w:rsidR="005B5CBD">
        <w:t>iež pozitívne sociálne vplyvy</w:t>
      </w:r>
      <w:r w:rsidR="0036229B">
        <w:t>.</w:t>
      </w:r>
      <w:r>
        <w:t xml:space="preserve"> Návrh zákona nemá vplyvy na</w:t>
      </w:r>
      <w:r w:rsidR="0036229B">
        <w:t xml:space="preserve"> rozpočet verejnej správy a rozpočty obcí a vyšších územných celkov,</w:t>
      </w:r>
      <w:r>
        <w:t xml:space="preserve"> životné prostredie, </w:t>
      </w:r>
      <w:r>
        <w:lastRenderedPageBreak/>
        <w:t>informatizáciu spoločnosti, služby verejnej správy pre občana</w:t>
      </w:r>
      <w:r w:rsidR="317C60AC">
        <w:t>,</w:t>
      </w:r>
      <w:r>
        <w:t xml:space="preserve"> ani na manželstvo, rodičovstvo a rodinu.</w:t>
      </w:r>
    </w:p>
    <w:p w14:paraId="4F045463" w14:textId="20780EA0" w:rsidR="00BC036E" w:rsidRDefault="00810EAC" w:rsidP="45DD917B">
      <w:pPr>
        <w:spacing w:before="240" w:after="120"/>
        <w:ind w:firstLine="357"/>
        <w:jc w:val="both"/>
        <w:rPr>
          <w:color w:val="000000" w:themeColor="text1"/>
        </w:rPr>
      </w:pPr>
      <w:r w:rsidRPr="45DD917B">
        <w:rPr>
          <w:color w:val="000000" w:themeColor="text1"/>
        </w:rPr>
        <w:t>Návrh zákona je v súlade s Ústavou Slovenskej republiky, ústavnými zákonmi a nálezmi ústavného súdu, zákonmi, medzinárodnými zmluvami a inými medzinárodnými dokumentmi, ktorými je Slovenská republika viazaná, ako aj s právom E</w:t>
      </w:r>
      <w:r w:rsidR="1B6DC1F7" w:rsidRPr="45DD917B">
        <w:rPr>
          <w:color w:val="000000" w:themeColor="text1"/>
        </w:rPr>
        <w:t>Ú</w:t>
      </w:r>
      <w:r w:rsidRPr="45DD917B">
        <w:rPr>
          <w:color w:val="000000" w:themeColor="text1"/>
        </w:rPr>
        <w:t>.</w:t>
      </w:r>
    </w:p>
    <w:p w14:paraId="45B2F411" w14:textId="77777777" w:rsidR="009004AC" w:rsidRPr="009004AC" w:rsidRDefault="009004AC" w:rsidP="009004AC">
      <w:pPr>
        <w:spacing w:before="240" w:after="120"/>
        <w:ind w:firstLine="357"/>
        <w:jc w:val="both"/>
        <w:rPr>
          <w:color w:val="000000" w:themeColor="text1"/>
        </w:rPr>
      </w:pPr>
      <w:r w:rsidRPr="009004AC">
        <w:rPr>
          <w:color w:val="000000" w:themeColor="text1"/>
        </w:rPr>
        <w:t xml:space="preserve">Návrh zákona nie je predmetom </w:t>
      </w:r>
      <w:proofErr w:type="spellStart"/>
      <w:r w:rsidRPr="009004AC">
        <w:rPr>
          <w:color w:val="000000" w:themeColor="text1"/>
        </w:rPr>
        <w:t>vnútrokomunitárneho</w:t>
      </w:r>
      <w:proofErr w:type="spellEnd"/>
      <w:r w:rsidRPr="009004AC">
        <w:rPr>
          <w:color w:val="000000" w:themeColor="text1"/>
        </w:rPr>
        <w:t xml:space="preserve"> pripomienkového konania.</w:t>
      </w:r>
    </w:p>
    <w:p w14:paraId="38D5D91B" w14:textId="77777777" w:rsidR="009004AC" w:rsidRPr="005B5CBD" w:rsidRDefault="009004AC" w:rsidP="45DD917B">
      <w:pPr>
        <w:spacing w:before="240" w:after="120"/>
        <w:ind w:firstLine="357"/>
        <w:jc w:val="both"/>
        <w:rPr>
          <w:color w:val="000000"/>
        </w:rPr>
      </w:pPr>
    </w:p>
    <w:p w14:paraId="7B541324" w14:textId="22AFB27F" w:rsidR="009004AC" w:rsidRDefault="009004AC" w:rsidP="00BC036E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5CDE89C1" w14:textId="6057A52D" w:rsidR="00BC036E" w:rsidRDefault="00BC036E" w:rsidP="00BC036E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1D68970D" w14:textId="395E3F34" w:rsidR="00BC036E" w:rsidRDefault="00BC036E" w:rsidP="00BC036E">
      <w:pPr>
        <w:pStyle w:val="Default"/>
      </w:pPr>
    </w:p>
    <w:sectPr w:rsidR="00BC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8CF"/>
    <w:multiLevelType w:val="hybridMultilevel"/>
    <w:tmpl w:val="868E970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0D373CA"/>
    <w:multiLevelType w:val="hybridMultilevel"/>
    <w:tmpl w:val="98208D72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274E"/>
    <w:multiLevelType w:val="multilevel"/>
    <w:tmpl w:val="0A12D1B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 w16cid:durableId="2078476509">
    <w:abstractNumId w:val="1"/>
  </w:num>
  <w:num w:numId="2" w16cid:durableId="1371998235">
    <w:abstractNumId w:val="0"/>
  </w:num>
  <w:num w:numId="3" w16cid:durableId="96851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39"/>
    <w:rsid w:val="0004130C"/>
    <w:rsid w:val="00197541"/>
    <w:rsid w:val="00201CE3"/>
    <w:rsid w:val="00204135"/>
    <w:rsid w:val="00260020"/>
    <w:rsid w:val="00286138"/>
    <w:rsid w:val="002A5BF1"/>
    <w:rsid w:val="002E3F89"/>
    <w:rsid w:val="00343D6E"/>
    <w:rsid w:val="00346D9C"/>
    <w:rsid w:val="0036229B"/>
    <w:rsid w:val="00375AC7"/>
    <w:rsid w:val="003C2EA2"/>
    <w:rsid w:val="00443631"/>
    <w:rsid w:val="00471E08"/>
    <w:rsid w:val="00542F3C"/>
    <w:rsid w:val="005A3E62"/>
    <w:rsid w:val="005B5CBD"/>
    <w:rsid w:val="00605CC5"/>
    <w:rsid w:val="00646350"/>
    <w:rsid w:val="00664BEE"/>
    <w:rsid w:val="00680C2C"/>
    <w:rsid w:val="006B1B39"/>
    <w:rsid w:val="00723598"/>
    <w:rsid w:val="0077769F"/>
    <w:rsid w:val="0079761C"/>
    <w:rsid w:val="007B1575"/>
    <w:rsid w:val="007C2286"/>
    <w:rsid w:val="00810EAC"/>
    <w:rsid w:val="008B0118"/>
    <w:rsid w:val="009004AC"/>
    <w:rsid w:val="009142AA"/>
    <w:rsid w:val="00924F4D"/>
    <w:rsid w:val="009B3CB3"/>
    <w:rsid w:val="00AD0CFD"/>
    <w:rsid w:val="00B140E9"/>
    <w:rsid w:val="00B2716D"/>
    <w:rsid w:val="00B31140"/>
    <w:rsid w:val="00B4369C"/>
    <w:rsid w:val="00B46B7F"/>
    <w:rsid w:val="00B8385B"/>
    <w:rsid w:val="00B94A97"/>
    <w:rsid w:val="00BA5221"/>
    <w:rsid w:val="00BA6B2C"/>
    <w:rsid w:val="00BB018D"/>
    <w:rsid w:val="00BC036E"/>
    <w:rsid w:val="00BC3834"/>
    <w:rsid w:val="00C318CE"/>
    <w:rsid w:val="00D52381"/>
    <w:rsid w:val="00DC3DBE"/>
    <w:rsid w:val="00DD2E98"/>
    <w:rsid w:val="00E1634E"/>
    <w:rsid w:val="00E77EE7"/>
    <w:rsid w:val="00EB793C"/>
    <w:rsid w:val="00F16803"/>
    <w:rsid w:val="00F67220"/>
    <w:rsid w:val="00F70292"/>
    <w:rsid w:val="06CB88A6"/>
    <w:rsid w:val="09C44327"/>
    <w:rsid w:val="0F9E7778"/>
    <w:rsid w:val="1B6DC1F7"/>
    <w:rsid w:val="25937ADE"/>
    <w:rsid w:val="317C60AC"/>
    <w:rsid w:val="342DD323"/>
    <w:rsid w:val="34A5ADF7"/>
    <w:rsid w:val="4292F77C"/>
    <w:rsid w:val="4311923D"/>
    <w:rsid w:val="45DD917B"/>
    <w:rsid w:val="52ECDD13"/>
    <w:rsid w:val="563490B5"/>
    <w:rsid w:val="57812140"/>
    <w:rsid w:val="5843EE6D"/>
    <w:rsid w:val="5C2828D6"/>
    <w:rsid w:val="6751918E"/>
    <w:rsid w:val="68AF0B5E"/>
    <w:rsid w:val="6F98D523"/>
    <w:rsid w:val="71CA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5A40"/>
  <w15:chartTrackingRefBased/>
  <w15:docId w15:val="{CBBD757E-2A31-4FA7-B31E-90E65F2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B1B39"/>
    <w:pPr>
      <w:ind w:left="720"/>
      <w:contextualSpacing/>
    </w:pPr>
  </w:style>
  <w:style w:type="paragraph" w:styleId="Normlnywebov">
    <w:name w:val="Normal (Web)"/>
    <w:basedOn w:val="Normlny"/>
    <w:link w:val="NormlnywebovChar"/>
    <w:uiPriority w:val="99"/>
    <w:unhideWhenUsed/>
    <w:rsid w:val="006B1B39"/>
    <w:pPr>
      <w:spacing w:before="100" w:beforeAutospacing="1" w:after="100" w:afterAutospacing="1"/>
    </w:pPr>
  </w:style>
  <w:style w:type="character" w:customStyle="1" w:styleId="NormlnywebovChar">
    <w:name w:val="Normálny (webový) Char"/>
    <w:link w:val="Normlnywebov"/>
    <w:uiPriority w:val="99"/>
    <w:locked/>
    <w:rsid w:val="006B1B3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B1B3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B01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01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01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01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018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0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18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ormaltextrun">
    <w:name w:val="normaltextrun"/>
    <w:basedOn w:val="Predvolenpsmoodseku"/>
    <w:rsid w:val="003C2EA2"/>
  </w:style>
  <w:style w:type="paragraph" w:styleId="Zkladntext">
    <w:name w:val="Body Text"/>
    <w:basedOn w:val="Normlny"/>
    <w:link w:val="ZkladntextChar"/>
    <w:uiPriority w:val="1"/>
    <w:unhideWhenUsed/>
    <w:qFormat/>
    <w:rsid w:val="00204135"/>
    <w:pPr>
      <w:widowControl w:val="0"/>
      <w:autoSpaceDE w:val="0"/>
      <w:autoSpaceDN w:val="0"/>
      <w:spacing w:before="120"/>
      <w:jc w:val="both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041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46B7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wspan">
    <w:name w:val="awspan"/>
    <w:basedOn w:val="Predvolenpsmoodseku"/>
    <w:rsid w:val="00BC036E"/>
  </w:style>
  <w:style w:type="paragraph" w:styleId="Revzia">
    <w:name w:val="Revision"/>
    <w:hidden/>
    <w:uiPriority w:val="99"/>
    <w:semiHidden/>
    <w:rsid w:val="002E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Dôvodová-správa_všeobecná"/>
    <f:field ref="objsubject" par="" edit="true" text=""/>
    <f:field ref="objcreatedby" par="" text="Jokmanová, Diana, Mgr."/>
    <f:field ref="objcreatedat" par="" text="24.1.2022 16:46:43"/>
    <f:field ref="objchangedby" par="" text="Administrator, System"/>
    <f:field ref="objmodifiedat" par="" text="24.1.2022 16:46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F3022E2-9922-4171-BDEA-15DE4C35C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natalia.sihelnikova@mfsr.sk</dc:creator>
  <cp:keywords/>
  <dc:description/>
  <cp:lastModifiedBy>Sihelnikova Natalia</cp:lastModifiedBy>
  <cp:revision>5</cp:revision>
  <dcterms:created xsi:type="dcterms:W3CDTF">2024-09-26T10:56:00Z</dcterms:created>
  <dcterms:modified xsi:type="dcterms:W3CDTF">2024-11-07T13:45:00Z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právo_x000d_
Ochrana spotrebiteľa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ochrane spotrebiteľa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Úlohy B.24 a B.25 uznesenia vlády SR č. 491/2019,_x000d_
úloha B.8 uznesenia vlády SR č. 468/2020,_x000d_
úloha C.1 uznesenia vlády SR č. 547/2020,_x000d_
úloha B.1 uznesenia vlády SR č. 340/2021</vt:lpwstr>
  </property>
  <property fmtid="{D5CDD505-2E9C-101B-9397-08002B2CF9AE}" pid="23" name="FSC#SKEDITIONSLOVLEX@103.510:plnynazovpredpis">
    <vt:lpwstr> Zákon o ochrane spotrebiteľa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12146/2022-2062-05788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LP/2022/39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24. 1. 2022</vt:lpwstr>
  </property>
  <property fmtid="{D5CDD505-2E9C-101B-9397-08002B2CF9AE}" pid="151" name="FSC#COOSYSTEM@1.1:Container">
    <vt:lpwstr>COO.2145.1000.3.4800361</vt:lpwstr>
  </property>
  <property fmtid="{D5CDD505-2E9C-101B-9397-08002B2CF9AE}" pid="152" name="FSC#FSCFOLIO@1.1001:docpropproject">
    <vt:lpwstr/>
  </property>
</Properties>
</file>