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D9525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047F6F48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27DCD188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5F26F8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666ECC2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5595A132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456"/>
      </w:tblGrid>
      <w:tr w:rsidR="007D5748" w:rsidRPr="007B7470" w14:paraId="3B0A09EC" w14:textId="77777777" w:rsidTr="00C907F4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6855E96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257" w:type="dxa"/>
            <w:gridSpan w:val="4"/>
            <w:shd w:val="clear" w:color="auto" w:fill="BFBFBF" w:themeFill="background1" w:themeFillShade="BF"/>
            <w:vAlign w:val="center"/>
          </w:tcPr>
          <w:p w14:paraId="42E735D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06CE9AF0" w14:textId="77777777" w:rsidTr="00C907F4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0B2B63C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A9F6FE2" w14:textId="77777777" w:rsidR="007D5748" w:rsidRPr="007B7470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0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193F97B" w14:textId="77777777" w:rsidR="007D5748" w:rsidRPr="007B7470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0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4D6CF5B" w14:textId="77777777" w:rsidR="007D5748" w:rsidRPr="007B7470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0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4FDDB0A5" w14:textId="77777777" w:rsidR="007D5748" w:rsidRPr="007B7470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0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7D5748" w:rsidRPr="007B7470" w14:paraId="764AC064" w14:textId="77777777" w:rsidTr="00C907F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F1A995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A7A7D1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81EDD2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317521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shd w:val="clear" w:color="auto" w:fill="C0C0C0"/>
            <w:vAlign w:val="center"/>
          </w:tcPr>
          <w:p w14:paraId="10B4772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473E448" w14:textId="77777777" w:rsidTr="00C907F4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2CC3BE4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6C669C4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853EE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CA32D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210DAB5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09336E9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D095B4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3B0054D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6C39AF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91CCDE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56" w:type="dxa"/>
            <w:noWrap/>
            <w:vAlign w:val="center"/>
          </w:tcPr>
          <w:p w14:paraId="1114A88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1812BFD8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AAE74F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1CB00C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E9973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5B6A1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1502661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07FF38F3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2568C40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6D4F315D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25ACE2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660363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469CCA07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6C81A00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53883EA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4429865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13ABC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B086B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102C190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1FCB645C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59A354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7FB0FB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96529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EB61C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4B12802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8CEF23D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8D5F17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29E40F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2F4DE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CC484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10FE59F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4CB7762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62FD1E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3941FD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95AF2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6C57E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5076489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4D3028D" w14:textId="77777777" w:rsidTr="00C907F4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CAFE31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2A79FD4" w14:textId="72C538C7" w:rsidR="007D5748" w:rsidRPr="007B7470" w:rsidRDefault="005F6E5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b/>
                <w:sz w:val="24"/>
                <w:szCs w:val="24"/>
              </w:rPr>
              <w:t>22 202 414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3AB63F3" w14:textId="132027E0" w:rsidR="007D5748" w:rsidRPr="007B7470" w:rsidRDefault="005F6E5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b/>
                <w:sz w:val="24"/>
                <w:szCs w:val="24"/>
              </w:rPr>
              <w:t>55 895 383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1265C9C" w14:textId="53A68056" w:rsidR="007D5748" w:rsidRPr="007B7470" w:rsidRDefault="00915337" w:rsidP="00BB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57 179 079</w:t>
            </w:r>
          </w:p>
        </w:tc>
        <w:tc>
          <w:tcPr>
            <w:tcW w:w="1456" w:type="dxa"/>
            <w:shd w:val="clear" w:color="auto" w:fill="C0C0C0"/>
            <w:noWrap/>
            <w:vAlign w:val="center"/>
          </w:tcPr>
          <w:p w14:paraId="77BBA5C2" w14:textId="3596336B" w:rsidR="007D5748" w:rsidRPr="007B7470" w:rsidRDefault="0091533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58 488 </w:t>
            </w:r>
            <w:r w:rsidR="005F6E52" w:rsidRPr="005F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216</w:t>
            </w:r>
          </w:p>
        </w:tc>
      </w:tr>
      <w:tr w:rsidR="006949EB" w:rsidRPr="007B7470" w14:paraId="693E3929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E15DDD2" w14:textId="137D1715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07C</w:t>
            </w:r>
          </w:p>
        </w:tc>
        <w:tc>
          <w:tcPr>
            <w:tcW w:w="1267" w:type="dxa"/>
            <w:noWrap/>
          </w:tcPr>
          <w:p w14:paraId="07EBB236" w14:textId="5E3F50FB" w:rsidR="006949EB" w:rsidRPr="006949EB" w:rsidRDefault="005F6E52" w:rsidP="00694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</w:rPr>
              <w:t>22 202 414</w:t>
            </w:r>
          </w:p>
        </w:tc>
        <w:tc>
          <w:tcPr>
            <w:tcW w:w="1267" w:type="dxa"/>
            <w:noWrap/>
          </w:tcPr>
          <w:p w14:paraId="78206AD3" w14:textId="6CAF6ADA" w:rsidR="006949EB" w:rsidRPr="006949EB" w:rsidRDefault="005F6E52" w:rsidP="00694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</w:rPr>
              <w:t>55 895 383</w:t>
            </w:r>
          </w:p>
        </w:tc>
        <w:tc>
          <w:tcPr>
            <w:tcW w:w="1267" w:type="dxa"/>
            <w:noWrap/>
          </w:tcPr>
          <w:p w14:paraId="0EAF1D1D" w14:textId="2C0C36AB" w:rsidR="006949EB" w:rsidRPr="006949EB" w:rsidRDefault="005F6E52" w:rsidP="00694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</w:rPr>
              <w:t>57 17</w:t>
            </w:r>
            <w:r w:rsidR="00915337">
              <w:rPr>
                <w:rFonts w:ascii="Times New Roman" w:hAnsi="Times New Roman" w:cs="Times New Roman"/>
              </w:rPr>
              <w:t>9 079</w:t>
            </w:r>
          </w:p>
        </w:tc>
        <w:tc>
          <w:tcPr>
            <w:tcW w:w="1456" w:type="dxa"/>
            <w:noWrap/>
          </w:tcPr>
          <w:p w14:paraId="6EFC89C5" w14:textId="6B99FB1C" w:rsidR="006949EB" w:rsidRPr="006949EB" w:rsidRDefault="00915337" w:rsidP="00694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 xml:space="preserve">58 488 </w:t>
            </w:r>
            <w:r w:rsidR="005F6E52" w:rsidRPr="005F6E52">
              <w:rPr>
                <w:rFonts w:ascii="Times New Roman" w:hAnsi="Times New Roman" w:cs="Times New Roman"/>
              </w:rPr>
              <w:t>216</w:t>
            </w:r>
          </w:p>
        </w:tc>
      </w:tr>
      <w:tr w:rsidR="007D5748" w:rsidRPr="007B7470" w14:paraId="67F5012F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323B7A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5C487E3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41FF9C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9BEE8D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56" w:type="dxa"/>
            <w:noWrap/>
            <w:vAlign w:val="center"/>
          </w:tcPr>
          <w:p w14:paraId="6BF66E5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04143" w:rsidRPr="007B7470" w14:paraId="7D450BD4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D3B5DC9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989CF92" w14:textId="0D435BD5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b/>
                <w:sz w:val="24"/>
                <w:szCs w:val="24"/>
              </w:rPr>
              <w:t>22 202 414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6ECEEEE" w14:textId="6C26BB31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b/>
                <w:sz w:val="24"/>
                <w:szCs w:val="24"/>
              </w:rPr>
              <w:t>55 895 383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A96E099" w14:textId="24E82536" w:rsidR="00304143" w:rsidRPr="007B7470" w:rsidRDefault="00915337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57 179 079</w:t>
            </w:r>
          </w:p>
        </w:tc>
        <w:tc>
          <w:tcPr>
            <w:tcW w:w="1456" w:type="dxa"/>
            <w:shd w:val="clear" w:color="auto" w:fill="C0C0C0"/>
            <w:noWrap/>
            <w:vAlign w:val="center"/>
          </w:tcPr>
          <w:p w14:paraId="39333A01" w14:textId="78E85D5C" w:rsidR="00304143" w:rsidRPr="007B7470" w:rsidRDefault="00915337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58 488 </w:t>
            </w:r>
            <w:r w:rsidR="005F6E52" w:rsidRPr="005F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216</w:t>
            </w:r>
          </w:p>
        </w:tc>
      </w:tr>
      <w:tr w:rsidR="00304143" w:rsidRPr="007B7470" w14:paraId="141D1991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CE3D18E" w14:textId="77777777" w:rsidR="00304143" w:rsidRPr="007B7470" w:rsidRDefault="00304143" w:rsidP="0030414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AEB1312" w14:textId="05527CF9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b/>
                <w:sz w:val="24"/>
                <w:szCs w:val="24"/>
              </w:rPr>
              <w:t>22 202 414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7477541" w14:textId="48911B52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b/>
                <w:sz w:val="24"/>
                <w:szCs w:val="24"/>
              </w:rPr>
              <w:t>55 895 383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B69FEAE" w14:textId="709D61E8" w:rsidR="00304143" w:rsidRPr="007B7470" w:rsidRDefault="00915337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57 179 079</w:t>
            </w:r>
          </w:p>
        </w:tc>
        <w:tc>
          <w:tcPr>
            <w:tcW w:w="1456" w:type="dxa"/>
            <w:shd w:val="clear" w:color="auto" w:fill="C0C0C0"/>
            <w:noWrap/>
            <w:vAlign w:val="center"/>
          </w:tcPr>
          <w:p w14:paraId="1C5C184E" w14:textId="60C1E217" w:rsidR="00304143" w:rsidRPr="007B7470" w:rsidRDefault="00915337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58 488 </w:t>
            </w:r>
            <w:r w:rsidR="005F6E52" w:rsidRPr="005F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216</w:t>
            </w:r>
          </w:p>
        </w:tc>
      </w:tr>
      <w:tr w:rsidR="00304143" w:rsidRPr="007B7470" w14:paraId="1357B339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B6A901D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459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MPSVR SR – 07C0301 Peňažný príspevok na osobnú asistenciu</w:t>
            </w:r>
          </w:p>
        </w:tc>
        <w:tc>
          <w:tcPr>
            <w:tcW w:w="1267" w:type="dxa"/>
            <w:noWrap/>
            <w:vAlign w:val="center"/>
          </w:tcPr>
          <w:p w14:paraId="02278A78" w14:textId="090B70FD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3 972 150</w:t>
            </w:r>
          </w:p>
        </w:tc>
        <w:tc>
          <w:tcPr>
            <w:tcW w:w="1267" w:type="dxa"/>
            <w:noWrap/>
            <w:vAlign w:val="center"/>
          </w:tcPr>
          <w:p w14:paraId="41F7E094" w14:textId="16FA4B37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9 791 964</w:t>
            </w:r>
          </w:p>
        </w:tc>
        <w:tc>
          <w:tcPr>
            <w:tcW w:w="1267" w:type="dxa"/>
            <w:noWrap/>
            <w:vAlign w:val="center"/>
          </w:tcPr>
          <w:p w14:paraId="5D6F7671" w14:textId="1B244464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10 108 426</w:t>
            </w:r>
          </w:p>
        </w:tc>
        <w:tc>
          <w:tcPr>
            <w:tcW w:w="1456" w:type="dxa"/>
            <w:noWrap/>
          </w:tcPr>
          <w:p w14:paraId="181FB461" w14:textId="596067C6" w:rsidR="00304143" w:rsidRPr="007B7470" w:rsidRDefault="005F6E52" w:rsidP="003871B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10 408 507</w:t>
            </w:r>
          </w:p>
        </w:tc>
      </w:tr>
      <w:tr w:rsidR="00304143" w:rsidRPr="007B7470" w14:paraId="560ED044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6835E36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459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MPSVR SR – 07C0302 Peňažný  príspevok na opatrovanie</w:t>
            </w:r>
          </w:p>
        </w:tc>
        <w:tc>
          <w:tcPr>
            <w:tcW w:w="1267" w:type="dxa"/>
            <w:noWrap/>
            <w:vAlign w:val="center"/>
          </w:tcPr>
          <w:p w14:paraId="18C2028E" w14:textId="627A00A7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18 230 264</w:t>
            </w:r>
          </w:p>
        </w:tc>
        <w:tc>
          <w:tcPr>
            <w:tcW w:w="1267" w:type="dxa"/>
            <w:noWrap/>
            <w:vAlign w:val="center"/>
          </w:tcPr>
          <w:p w14:paraId="65E8B941" w14:textId="7D77EBD1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46 103 419</w:t>
            </w:r>
          </w:p>
        </w:tc>
        <w:tc>
          <w:tcPr>
            <w:tcW w:w="1267" w:type="dxa"/>
            <w:noWrap/>
            <w:vAlign w:val="center"/>
          </w:tcPr>
          <w:p w14:paraId="2C17F13E" w14:textId="7C9EB95E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47 070 653</w:t>
            </w:r>
          </w:p>
        </w:tc>
        <w:tc>
          <w:tcPr>
            <w:tcW w:w="1456" w:type="dxa"/>
            <w:noWrap/>
            <w:vAlign w:val="center"/>
          </w:tcPr>
          <w:p w14:paraId="2D8EB051" w14:textId="703A4282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48 079 709</w:t>
            </w:r>
          </w:p>
        </w:tc>
      </w:tr>
      <w:tr w:rsidR="00304143" w:rsidRPr="007B7470" w14:paraId="1804F81D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158AD6D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1201F795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83BF74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54CB6A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150C682B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4BD9D664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1AF36BF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09D3F86F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EE72E6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BA9A5B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4AC03C65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0E45A8E3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F02A326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339ED6E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565BEC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1120BD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0821A864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44DC3A5B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16CC943" w14:textId="77777777" w:rsidR="00304143" w:rsidRPr="007B7470" w:rsidRDefault="00304143" w:rsidP="0030414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6571D625" w14:textId="77777777" w:rsidR="00304143" w:rsidRPr="007B7470" w:rsidRDefault="00304143" w:rsidP="0030414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5B313C3B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E087C4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C525FE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404F7F87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50D2E26A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FB78681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EAFEDB6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3F39B4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959F61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09104926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776DC054" w14:textId="77777777" w:rsidTr="00C907F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544CB68" w14:textId="77777777" w:rsidR="00304143" w:rsidRPr="007B7470" w:rsidRDefault="00304143" w:rsidP="0030414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7B3C38E2" w14:textId="77777777" w:rsidR="00304143" w:rsidRPr="007B7470" w:rsidRDefault="00304143" w:rsidP="0030414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505F29B7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D035CF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AD285A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78F20319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4C42B54D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878463C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92B3F0B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1E5B45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A02A79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798A5DF0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1F043E0F" w14:textId="77777777" w:rsidTr="00C907F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6322137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C311771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25D296F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B0B69EF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shd w:val="clear" w:color="auto" w:fill="BFBFBF" w:themeFill="background1" w:themeFillShade="BF"/>
            <w:noWrap/>
            <w:vAlign w:val="center"/>
          </w:tcPr>
          <w:p w14:paraId="4FEBAACC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62529F74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0CD9926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A78F628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8854F1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2F82E2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63BCF011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1411821A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6BC18D5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911683D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D8C33A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C66476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2708B4EC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730EC549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EB8D40B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3AB9778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DE989B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914D1F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37487DCC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463A3B37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8B37AFB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881B398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D3A1D6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F483DA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1E733EBB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0C0B8101" w14:textId="77777777" w:rsidTr="00C907F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2FE780F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750B170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DB3F54C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BD635C1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shd w:val="clear" w:color="auto" w:fill="BFBFBF" w:themeFill="background1" w:themeFillShade="BF"/>
            <w:noWrap/>
            <w:vAlign w:val="center"/>
          </w:tcPr>
          <w:p w14:paraId="13D92274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13857283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060B411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8E8CC91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FC88BA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162E4D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01FAF494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112C8930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186CD89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B879EE4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E76B6C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10BE01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0E55EB32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3D424AE3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497B21D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A990984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0F02AA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E61B62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04B56076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64289472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33FACE6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CD8C381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D0FE70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BDC89B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69C5CBCE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7D048373" w14:textId="77777777" w:rsidTr="00C907F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3D3C7DD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EA712B8" w14:textId="06165CB5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F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22 202 414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A8607D8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2E7ABA2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shd w:val="clear" w:color="auto" w:fill="C0C0C0"/>
            <w:noWrap/>
            <w:vAlign w:val="center"/>
          </w:tcPr>
          <w:p w14:paraId="2CB0283D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536298FE" w14:textId="77777777" w:rsidTr="00C907F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133C412" w14:textId="156F13EB" w:rsidR="00304143" w:rsidRPr="007B7470" w:rsidRDefault="00FE531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E53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MPSVR SR / 07C</w:t>
            </w:r>
          </w:p>
        </w:tc>
        <w:tc>
          <w:tcPr>
            <w:tcW w:w="1267" w:type="dxa"/>
            <w:noWrap/>
            <w:vAlign w:val="center"/>
          </w:tcPr>
          <w:p w14:paraId="29F5B298" w14:textId="22EF3963" w:rsidR="00304143" w:rsidRPr="007B7470" w:rsidRDefault="005F6E52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F6E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22 202 414</w:t>
            </w:r>
          </w:p>
        </w:tc>
        <w:tc>
          <w:tcPr>
            <w:tcW w:w="1267" w:type="dxa"/>
            <w:noWrap/>
            <w:vAlign w:val="center"/>
          </w:tcPr>
          <w:p w14:paraId="51D132B5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931A26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noWrap/>
            <w:vAlign w:val="center"/>
          </w:tcPr>
          <w:p w14:paraId="635F202F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04143" w:rsidRPr="007B7470" w14:paraId="3BBB4C7E" w14:textId="77777777" w:rsidTr="00C907F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8943406" w14:textId="77777777" w:rsidR="00304143" w:rsidRPr="007B7470" w:rsidRDefault="00304143" w:rsidP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89C854D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7B29A82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9DE6EA1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56" w:type="dxa"/>
            <w:shd w:val="clear" w:color="auto" w:fill="BFBFBF" w:themeFill="background1" w:themeFillShade="BF"/>
            <w:noWrap/>
            <w:vAlign w:val="center"/>
          </w:tcPr>
          <w:p w14:paraId="7546E490" w14:textId="77777777" w:rsidR="00304143" w:rsidRPr="007B7470" w:rsidRDefault="00304143" w:rsidP="0030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43E9" w:rsidRPr="007B7470" w14:paraId="3AB50647" w14:textId="77777777" w:rsidTr="00C907F4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1B725212" w14:textId="77777777" w:rsidR="009043E9" w:rsidRPr="007B7470" w:rsidRDefault="009043E9" w:rsidP="00904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BC33D48" w14:textId="7657E67C" w:rsidR="009043E9" w:rsidRPr="007B7470" w:rsidRDefault="00D673C5" w:rsidP="00904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C12A43C" w14:textId="6FF60C15" w:rsidR="009043E9" w:rsidRPr="007B7470" w:rsidRDefault="005F6E52" w:rsidP="00904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F6E52">
              <w:rPr>
                <w:rFonts w:ascii="Times New Roman" w:hAnsi="Times New Roman" w:cs="Times New Roman"/>
                <w:b/>
                <w:sz w:val="24"/>
                <w:szCs w:val="24"/>
              </w:rPr>
              <w:t>55 895 383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2336AA9" w14:textId="4D3A6FEC" w:rsidR="009043E9" w:rsidRPr="007B7470" w:rsidRDefault="00915337" w:rsidP="00904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57 179 079</w:t>
            </w:r>
          </w:p>
        </w:tc>
        <w:tc>
          <w:tcPr>
            <w:tcW w:w="1456" w:type="dxa"/>
            <w:shd w:val="clear" w:color="auto" w:fill="C0C0C0"/>
            <w:noWrap/>
            <w:vAlign w:val="center"/>
          </w:tcPr>
          <w:p w14:paraId="198FBF92" w14:textId="55E498F5" w:rsidR="009043E9" w:rsidRPr="007B7470" w:rsidRDefault="00915337" w:rsidP="00904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58 488 </w:t>
            </w:r>
            <w:r w:rsidR="005F6E52" w:rsidRPr="005F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216</w:t>
            </w:r>
          </w:p>
        </w:tc>
      </w:tr>
    </w:tbl>
    <w:bookmarkEnd w:id="0"/>
    <w:p w14:paraId="4DBE9B26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276"/>
        <w:gridCol w:w="1276"/>
      </w:tblGrid>
      <w:tr w:rsidR="001C721D" w:rsidRPr="007B7470" w14:paraId="2C3A4916" w14:textId="77777777" w:rsidTr="00F0190A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52D3FA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9AE920" w14:textId="77777777" w:rsidR="001C721D" w:rsidRPr="007B7470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</w:t>
            </w:r>
            <w:r w:rsidR="00904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EE3929" w14:textId="77777777" w:rsidR="001C721D" w:rsidRPr="007B7470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</w:t>
            </w:r>
            <w:r w:rsidR="00904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1386C8" w14:textId="77777777" w:rsidR="001C721D" w:rsidRPr="007B7470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</w:t>
            </w:r>
            <w:r w:rsidR="00904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265290" w14:textId="77777777" w:rsidR="001C721D" w:rsidRPr="007B7470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</w:t>
            </w:r>
            <w:r w:rsidR="00904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6949EB" w:rsidRPr="007B7470" w14:paraId="7C1D19DD" w14:textId="77777777" w:rsidTr="00F0190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12A4B0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C9A9" w14:textId="7EACAC32" w:rsidR="006949EB" w:rsidRPr="006949EB" w:rsidRDefault="00D673C5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90414" w14:textId="055EB118" w:rsidR="006949EB" w:rsidRPr="006949EB" w:rsidRDefault="00915337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15337">
              <w:rPr>
                <w:rFonts w:ascii="Times New Roman" w:hAnsi="Times New Roman" w:cs="Times New Roman"/>
                <w:sz w:val="24"/>
                <w:szCs w:val="24"/>
              </w:rPr>
              <w:t>55 895 383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4922" w14:textId="1CBCA52F" w:rsidR="006949EB" w:rsidRPr="006949EB" w:rsidRDefault="00915337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15337">
              <w:rPr>
                <w:rFonts w:ascii="Times New Roman" w:hAnsi="Times New Roman" w:cs="Times New Roman"/>
                <w:sz w:val="24"/>
                <w:szCs w:val="24"/>
              </w:rPr>
              <w:t>57 179 079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7D56" w14:textId="0C19D026" w:rsidR="006949EB" w:rsidRPr="006949EB" w:rsidRDefault="00915337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15337">
              <w:rPr>
                <w:rFonts w:ascii="Times New Roman" w:hAnsi="Times New Roman" w:cs="Times New Roman"/>
                <w:sz w:val="24"/>
                <w:szCs w:val="24"/>
              </w:rPr>
              <w:t>58 488 216</w:t>
            </w:r>
          </w:p>
        </w:tc>
      </w:tr>
      <w:tr w:rsidR="006949EB" w:rsidRPr="007B7470" w14:paraId="26F04E7E" w14:textId="77777777" w:rsidTr="00F0190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763A63" w14:textId="617274C2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MPSVR SR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8842" w14:textId="626ABBFF" w:rsidR="006949EB" w:rsidRPr="006949EB" w:rsidRDefault="00F03AD5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30D4" w14:textId="5552EDA3" w:rsidR="006949EB" w:rsidRPr="006949EB" w:rsidRDefault="00915337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15337">
              <w:rPr>
                <w:rFonts w:ascii="Times New Roman" w:hAnsi="Times New Roman" w:cs="Times New Roman"/>
                <w:sz w:val="24"/>
                <w:szCs w:val="24"/>
              </w:rPr>
              <w:t>55 895 383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2197" w14:textId="69736A04" w:rsidR="006949EB" w:rsidRPr="006949EB" w:rsidRDefault="00915337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15337">
              <w:rPr>
                <w:rFonts w:ascii="Times New Roman" w:hAnsi="Times New Roman" w:cs="Times New Roman"/>
                <w:sz w:val="24"/>
                <w:szCs w:val="24"/>
              </w:rPr>
              <w:t>57 179 079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58E6" w14:textId="0BB71990" w:rsidR="006949EB" w:rsidRPr="006949EB" w:rsidRDefault="00915337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15337">
              <w:rPr>
                <w:rFonts w:ascii="Times New Roman" w:hAnsi="Times New Roman" w:cs="Times New Roman"/>
                <w:sz w:val="24"/>
                <w:szCs w:val="24"/>
              </w:rPr>
              <w:t>58 488 216</w:t>
            </w:r>
          </w:p>
        </w:tc>
      </w:tr>
      <w:tr w:rsidR="001C721D" w:rsidRPr="007B7470" w14:paraId="07349DD2" w14:textId="77777777" w:rsidTr="00F0190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FFF091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EBD" w14:textId="77777777" w:rsidR="001C721D" w:rsidRPr="006949EB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4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06F" w14:textId="77777777" w:rsidR="001C721D" w:rsidRPr="00C171F9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17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21E" w14:textId="77777777" w:rsidR="001C721D" w:rsidRPr="006949EB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4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30A" w14:textId="77777777" w:rsidR="001C721D" w:rsidRPr="006949EB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4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949EB" w:rsidRPr="007B7470" w14:paraId="1308AD9B" w14:textId="77777777" w:rsidTr="00C907F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9723D6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721B" w14:textId="60D5C4CF" w:rsidR="006949EB" w:rsidRPr="006949EB" w:rsidRDefault="00F03AD5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337A" w14:textId="0A5C5154" w:rsidR="006949EB" w:rsidRPr="006949EB" w:rsidRDefault="00915337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15337">
              <w:rPr>
                <w:rFonts w:ascii="Times New Roman" w:hAnsi="Times New Roman" w:cs="Times New Roman"/>
                <w:sz w:val="24"/>
                <w:szCs w:val="24"/>
              </w:rPr>
              <w:t>55 895 383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959A" w14:textId="12A8B6D8" w:rsidR="006949EB" w:rsidRPr="006949EB" w:rsidRDefault="00915337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15337">
              <w:rPr>
                <w:rFonts w:ascii="Times New Roman" w:hAnsi="Times New Roman" w:cs="Times New Roman"/>
                <w:sz w:val="24"/>
                <w:szCs w:val="24"/>
              </w:rPr>
              <w:t>57 179 079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1D51" w14:textId="6D7B4034" w:rsidR="006949EB" w:rsidRPr="006949EB" w:rsidRDefault="00915337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15337">
              <w:rPr>
                <w:rFonts w:ascii="Times New Roman" w:hAnsi="Times New Roman" w:cs="Times New Roman"/>
                <w:sz w:val="24"/>
                <w:szCs w:val="24"/>
              </w:rPr>
              <w:t>58 488 216</w:t>
            </w:r>
          </w:p>
        </w:tc>
      </w:tr>
      <w:tr w:rsidR="001C721D" w:rsidRPr="007B7470" w14:paraId="4FA1760D" w14:textId="77777777" w:rsidTr="00F0190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F8CC7A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54DD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561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F4EF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67D7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633138AD" w14:textId="77777777" w:rsidTr="00F0190A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3AAD7D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42F0" w14:textId="77777777" w:rsidR="002135D4" w:rsidRPr="007B7470" w:rsidRDefault="006949EB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E9AD" w14:textId="77777777" w:rsidR="002135D4" w:rsidRPr="007B7470" w:rsidRDefault="006949EB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56B6" w14:textId="77777777" w:rsidR="002135D4" w:rsidRPr="007B7470" w:rsidRDefault="006949EB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34D3" w14:textId="77777777" w:rsidR="002135D4" w:rsidRPr="007B7470" w:rsidRDefault="006949EB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72583441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269D48A" w14:textId="33105C95" w:rsidR="007D5748" w:rsidRPr="00DA0F9A" w:rsidRDefault="007D5748" w:rsidP="00DA0F9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310B5D71" w14:textId="34E9D6F4" w:rsidR="007D5748" w:rsidRPr="007B7470" w:rsidRDefault="00146D16" w:rsidP="00387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A3578">
        <w:rPr>
          <w:rFonts w:ascii="Times New Roman" w:hAnsi="Times New Roman"/>
          <w:bCs/>
          <w:sz w:val="24"/>
        </w:rPr>
        <w:t xml:space="preserve">Výdavky vyplývajúce z návrhu </w:t>
      </w:r>
      <w:r w:rsidRPr="001A3578">
        <w:rPr>
          <w:rFonts w:ascii="Times New Roman" w:hAnsi="Times New Roman"/>
          <w:sz w:val="24"/>
        </w:rPr>
        <w:t>nariadenia vlády Slovenskej republiky, ktorým sa ustanovuje výška sadzby na jednu hodinu osobnej asistencie a výška peňažného príspevku na opatrovanie</w:t>
      </w:r>
      <w:r w:rsidRPr="001A3578">
        <w:rPr>
          <w:rFonts w:ascii="Times New Roman" w:hAnsi="Times New Roman"/>
          <w:bCs/>
          <w:sz w:val="24"/>
        </w:rPr>
        <w:t xml:space="preserve"> </w:t>
      </w:r>
      <w:r w:rsidR="0078105B">
        <w:rPr>
          <w:rFonts w:ascii="Times New Roman" w:hAnsi="Times New Roman"/>
          <w:bCs/>
          <w:sz w:val="24"/>
        </w:rPr>
        <w:t>na</w:t>
      </w:r>
      <w:r w:rsidR="0078105B" w:rsidRPr="001A3578">
        <w:rPr>
          <w:rFonts w:ascii="Times New Roman" w:hAnsi="Times New Roman"/>
          <w:bCs/>
          <w:sz w:val="24"/>
        </w:rPr>
        <w:t xml:space="preserve"> </w:t>
      </w:r>
      <w:r w:rsidRPr="001A3578">
        <w:rPr>
          <w:rFonts w:ascii="Times New Roman" w:hAnsi="Times New Roman"/>
          <w:bCs/>
          <w:sz w:val="24"/>
        </w:rPr>
        <w:t>rok 202</w:t>
      </w:r>
      <w:r w:rsidR="009043E9"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 xml:space="preserve"> sú</w:t>
      </w:r>
      <w:r w:rsidRPr="001A3578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zabezpečené</w:t>
      </w:r>
      <w:r w:rsidR="00781EBD">
        <w:rPr>
          <w:rFonts w:ascii="Times New Roman" w:hAnsi="Times New Roman"/>
          <w:bCs/>
          <w:sz w:val="24"/>
        </w:rPr>
        <w:t xml:space="preserve"> v rozpočte kapitoly MPSVR SR.</w:t>
      </w:r>
      <w:r w:rsidR="00C907F4">
        <w:rPr>
          <w:rFonts w:ascii="Times New Roman" w:hAnsi="Times New Roman"/>
          <w:bCs/>
          <w:sz w:val="24"/>
        </w:rPr>
        <w:t xml:space="preserve"> </w:t>
      </w:r>
      <w:r w:rsidR="006F78AF" w:rsidRPr="006F78AF">
        <w:rPr>
          <w:rFonts w:ascii="Times New Roman" w:hAnsi="Times New Roman"/>
          <w:bCs/>
          <w:sz w:val="24"/>
        </w:rPr>
        <w:t xml:space="preserve">Vplyvy na roky 2026 až 2028 budú zabezpečené v rámci prípravy návrhu rozpočtu verejnej správy za predpokladu prijatia potrebného objemu konsolidačných opatrení realizovaných v </w:t>
      </w:r>
      <w:r w:rsidR="006F78AF">
        <w:rPr>
          <w:rFonts w:ascii="Times New Roman" w:hAnsi="Times New Roman"/>
          <w:bCs/>
          <w:sz w:val="24"/>
        </w:rPr>
        <w:t>rámci rozpočtu verejnej správy.</w:t>
      </w:r>
      <w:bookmarkStart w:id="1" w:name="_GoBack"/>
      <w:bookmarkEnd w:id="1"/>
    </w:p>
    <w:p w14:paraId="7B42F52F" w14:textId="77777777" w:rsidR="00DA0F9A" w:rsidRDefault="00DA0F9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C0C9172" w14:textId="03374AF3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2934814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5069D7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4DF95045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08947DF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5D9729ED" w14:textId="77777777" w:rsidR="00BB2D48" w:rsidRPr="00BB2D48" w:rsidRDefault="00BB2D48" w:rsidP="0014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3042F1" w14:textId="77777777" w:rsidR="00BB2D48" w:rsidRDefault="00BB2D48" w:rsidP="0014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373990" w:rsidRP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účinnosťou od 1. júla 2024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peňažný príspevok na opatrovanie poskytuje</w:t>
      </w:r>
      <w:r w:rsidR="00373990" w:rsidRP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len v dvoch výškach v závislosti od toho, či opatrovateľ opatruje jednu fyzickú osobu s ťažkým zdravotným postihnutím alebo ich opatruje dve alebo viac. 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Návrhom nariadenia vlády Slovenskej republiky sa zvyšujú 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obidve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výšky peňažného príspevku na opatrovanie. 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 opatrovaní jednej 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fyzickej osoby s ťažkým zdravotným postihnutím </w:t>
      </w:r>
      <w:r w:rsidR="009E6C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>sa peňažný príspevok na opatrovanie navrhuje zvýšiť na sumu čistej minimálnej mzdy pre rok 202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Návrhom nariadenia vlády Slovenskej republiky sa súčasne zvyšuje aj sadzba na jednu hodinu osobnej asistencie, ktorá slúži na výpočet výšky peňažného príspevku na osobnú asistenciu.  </w:t>
      </w:r>
    </w:p>
    <w:p w14:paraId="5584C2DC" w14:textId="77777777" w:rsidR="00BB2D48" w:rsidRDefault="00BB2D48" w:rsidP="0014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344B4F" w14:textId="3AF81A78" w:rsidR="00BB2D48" w:rsidRPr="00BB2D48" w:rsidRDefault="00BB2D48" w:rsidP="00146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§ 42 ods. 7 zákona splnomocňuje vládu Slovenskej republiky ustanoviť nariadením vlády výšku sadzby na jednu hodinu osobnej asistencie podľa § 22 ods. 9 a výšku peňažného príspevku na opatrovanie podľa § 40 ods.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>8 zákona vždy k 1. júlu. Predmetom návrhu nariadenia vlády je k 1. júlu 202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zvýšiť sadzbu na jednu hodinu osobnej asistencie podľa § 22 ods. 9 zo sumy 5,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83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eura na sumu 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6,</w:t>
      </w:r>
      <w:r w:rsidR="0091533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eura, ako aj výšku peňažného príspevku na opatrovanie podľa § 40 ods.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2E3A0A4A" w14:textId="77777777" w:rsidR="00BB2D48" w:rsidRDefault="00BB2D48" w:rsidP="00BB2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3565D2" w14:textId="77777777" w:rsidR="00C90E4B" w:rsidRDefault="00C90E4B" w:rsidP="00334F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03A984A4" w14:textId="2AF10ABB" w:rsidR="00BB2D48" w:rsidRPr="00146D16" w:rsidRDefault="00BB2D48" w:rsidP="00334F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146D1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lastRenderedPageBreak/>
        <w:t>Navrhované výšky peňažného príspevku na opatrovanie</w:t>
      </w:r>
      <w:r w:rsidR="00146D1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(od 1. júla 202</w:t>
      </w:r>
      <w:r w:rsidR="0037399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5</w:t>
      </w:r>
      <w:r w:rsidR="00146D1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)</w:t>
      </w:r>
      <w:r w:rsidRPr="00146D1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</w:p>
    <w:p w14:paraId="19522D32" w14:textId="77777777" w:rsidR="00BB2D48" w:rsidRPr="00BB2D48" w:rsidRDefault="00BB2D48" w:rsidP="00BB2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>- pri o</w:t>
      </w:r>
      <w:r w:rsidR="009E6C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patrovaní jednej FO s ŤZP 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zvýšenie zo sumy 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615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>0 eura na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73990" w:rsidRP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663,50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eura,  </w:t>
      </w:r>
    </w:p>
    <w:p w14:paraId="009C91B0" w14:textId="77777777" w:rsidR="009E6CF6" w:rsidRDefault="00BB2D48" w:rsidP="0014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>- pri opatrovaní dvoch alebo viacerých FO s ŤZP zvýšenie z</w:t>
      </w:r>
      <w:r w:rsid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 818,60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eura na </w:t>
      </w:r>
      <w:r w:rsidR="00373990" w:rsidRPr="00373990">
        <w:rPr>
          <w:rFonts w:ascii="Times New Roman" w:eastAsia="Times New Roman" w:hAnsi="Times New Roman" w:cs="Times New Roman"/>
          <w:sz w:val="24"/>
          <w:szCs w:val="24"/>
          <w:lang w:eastAsia="sk-SK"/>
        </w:rPr>
        <w:t>882,50</w:t>
      </w:r>
      <w:r w:rsidRPr="00BB2D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eura. </w:t>
      </w:r>
    </w:p>
    <w:p w14:paraId="118DBB19" w14:textId="77777777" w:rsidR="009E6CF6" w:rsidRDefault="009E6CF6" w:rsidP="0014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4F5D5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50BD8F5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31CB6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7855CE4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D7E7D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BE5FFC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1192DCA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4A2888B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9E6CF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1012240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22FD264B" w14:textId="77777777" w:rsidR="00334FE6" w:rsidRPr="007B7470" w:rsidRDefault="00334FE6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B2C77D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9BE1C0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C30465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0724F0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420E0E8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111EF197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0C60F65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7ED6CA6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09E4A5EE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6B26D53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BCDA080" w14:textId="77777777" w:rsidR="007D5748" w:rsidRPr="007B7470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03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A933754" w14:textId="77777777" w:rsidR="007D5748" w:rsidRPr="007B7470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03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CBE4969" w14:textId="77777777" w:rsidR="007D5748" w:rsidRPr="007B7470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03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B132E50" w14:textId="77777777" w:rsidR="007D5748" w:rsidRPr="007B7470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03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7D5748" w:rsidRPr="007B7470" w14:paraId="32B62E65" w14:textId="77777777" w:rsidTr="002B63FD">
        <w:trPr>
          <w:trHeight w:val="70"/>
        </w:trPr>
        <w:tc>
          <w:tcPr>
            <w:tcW w:w="4530" w:type="dxa"/>
          </w:tcPr>
          <w:p w14:paraId="23BE606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5984E0B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9AE17D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6D5458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ED9559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6D724EF6" w14:textId="77777777" w:rsidTr="002B63FD">
        <w:trPr>
          <w:trHeight w:val="70"/>
        </w:trPr>
        <w:tc>
          <w:tcPr>
            <w:tcW w:w="4530" w:type="dxa"/>
          </w:tcPr>
          <w:p w14:paraId="121EA1A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3C2D1A2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952104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C467AA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6DB7DB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2DD5809F" w14:textId="77777777" w:rsidTr="002B63FD">
        <w:trPr>
          <w:trHeight w:val="70"/>
        </w:trPr>
        <w:tc>
          <w:tcPr>
            <w:tcW w:w="4530" w:type="dxa"/>
          </w:tcPr>
          <w:p w14:paraId="554C14C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62C5CED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99DD37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6C58A1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350623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2B4320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EFD6F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17746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67D9CB7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5E8C16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2B310042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E3BCC5" w14:textId="77777777" w:rsidR="009E6CF6" w:rsidRPr="009017E3" w:rsidRDefault="009E6CF6" w:rsidP="009E6C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sk-SK"/>
        </w:rPr>
      </w:pPr>
      <w:r w:rsidRPr="009017E3">
        <w:rPr>
          <w:rFonts w:ascii="Times New Roman" w:eastAsia="Calibri" w:hAnsi="Times New Roman" w:cs="Times New Roman"/>
          <w:b/>
          <w:sz w:val="24"/>
          <w:szCs w:val="24"/>
          <w:u w:val="single"/>
          <w:lang w:eastAsia="sk-SK"/>
        </w:rPr>
        <w:t>Peňažný príspevok na osobnú asistenciu</w:t>
      </w:r>
    </w:p>
    <w:p w14:paraId="68CD8E68" w14:textId="77777777" w:rsidR="009E6CF6" w:rsidRPr="00C06169" w:rsidRDefault="009E6CF6" w:rsidP="009E6CF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sk-SK"/>
        </w:rPr>
      </w:pPr>
    </w:p>
    <w:p w14:paraId="30DD1881" w14:textId="6806F252" w:rsidR="009E6CF6" w:rsidRPr="009E6CF6" w:rsidRDefault="009E6CF6" w:rsidP="009E6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E6CF6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Navrhované zvýšenie sadzby na jednu hodinu osobnej asistencie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zo sumy </w:t>
      </w:r>
      <w:r w:rsidRPr="00146D16">
        <w:rPr>
          <w:rFonts w:ascii="Times New Roman" w:hAnsi="Times New Roman" w:cs="Times New Roman"/>
          <w:sz w:val="24"/>
        </w:rPr>
        <w:t>5,</w:t>
      </w:r>
      <w:r w:rsidR="00E03AFA">
        <w:rPr>
          <w:rFonts w:ascii="Times New Roman" w:hAnsi="Times New Roman" w:cs="Times New Roman"/>
          <w:sz w:val="24"/>
        </w:rPr>
        <w:t>83</w:t>
      </w:r>
      <w:r w:rsidRPr="00146D16">
        <w:rPr>
          <w:rFonts w:ascii="Times New Roman" w:hAnsi="Times New Roman" w:cs="Times New Roman"/>
          <w:sz w:val="24"/>
        </w:rPr>
        <w:t xml:space="preserve"> eura na sumu </w:t>
      </w:r>
      <w:r w:rsidR="00E03AFA">
        <w:rPr>
          <w:rFonts w:ascii="Times New Roman" w:hAnsi="Times New Roman" w:cs="Times New Roman"/>
          <w:sz w:val="24"/>
        </w:rPr>
        <w:t>6,</w:t>
      </w:r>
      <w:r w:rsidR="00915337">
        <w:rPr>
          <w:rFonts w:ascii="Times New Roman" w:hAnsi="Times New Roman" w:cs="Times New Roman"/>
          <w:sz w:val="24"/>
        </w:rPr>
        <w:t>2</w:t>
      </w:r>
      <w:r w:rsidR="00E03AFA">
        <w:rPr>
          <w:rFonts w:ascii="Times New Roman" w:hAnsi="Times New Roman" w:cs="Times New Roman"/>
          <w:sz w:val="24"/>
        </w:rPr>
        <w:t>2</w:t>
      </w:r>
      <w:r w:rsidRPr="00146D16">
        <w:rPr>
          <w:rFonts w:ascii="Times New Roman" w:hAnsi="Times New Roman" w:cs="Times New Roman"/>
          <w:sz w:val="24"/>
        </w:rPr>
        <w:t xml:space="preserve"> eura, </w:t>
      </w:r>
      <w:r w:rsidRPr="009E6CF6">
        <w:rPr>
          <w:rFonts w:ascii="Times New Roman" w:eastAsia="Calibri" w:hAnsi="Times New Roman" w:cs="Times New Roman"/>
          <w:sz w:val="24"/>
          <w:szCs w:val="24"/>
          <w:lang w:eastAsia="sk-SK"/>
        </w:rPr>
        <w:t>t. j. o 0,</w:t>
      </w:r>
      <w:r w:rsidR="00915337">
        <w:rPr>
          <w:rFonts w:ascii="Times New Roman" w:eastAsia="Calibri" w:hAnsi="Times New Roman" w:cs="Times New Roman"/>
          <w:sz w:val="24"/>
          <w:szCs w:val="24"/>
          <w:lang w:eastAsia="sk-SK"/>
        </w:rPr>
        <w:t>3</w:t>
      </w:r>
      <w:r w:rsidR="00E03AFA">
        <w:rPr>
          <w:rFonts w:ascii="Times New Roman" w:eastAsia="Calibri" w:hAnsi="Times New Roman" w:cs="Times New Roman"/>
          <w:sz w:val="24"/>
          <w:szCs w:val="24"/>
          <w:lang w:eastAsia="sk-SK"/>
        </w:rPr>
        <w:t>9</w:t>
      </w:r>
      <w:r w:rsidRPr="009E6CF6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eura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(</w:t>
      </w:r>
      <w:r w:rsidRPr="009E6CF6">
        <w:rPr>
          <w:rFonts w:ascii="Times New Roman" w:eastAsia="Calibri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účinnosťou</w:t>
      </w:r>
      <w:r w:rsidRPr="009E6CF6">
        <w:rPr>
          <w:rFonts w:ascii="Times New Roman" w:eastAsia="Calibri" w:hAnsi="Times New Roman" w:cs="Times New Roman"/>
          <w:sz w:val="24"/>
          <w:szCs w:val="24"/>
          <w:lang w:eastAsia="sk-SK"/>
        </w:rPr>
        <w:t> od 1. júla 202</w:t>
      </w:r>
      <w:r w:rsidR="00E03AFA">
        <w:rPr>
          <w:rFonts w:ascii="Times New Roman" w:eastAsia="Calibri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)</w:t>
      </w:r>
      <w:r w:rsidRPr="009E6CF6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14:paraId="2D01D5D8" w14:textId="77777777" w:rsidR="009E6CF6" w:rsidRPr="007D5748" w:rsidRDefault="009E6CF6" w:rsidP="009E6CF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3681"/>
        <w:gridCol w:w="1276"/>
        <w:gridCol w:w="1275"/>
        <w:gridCol w:w="1276"/>
        <w:gridCol w:w="1418"/>
      </w:tblGrid>
      <w:tr w:rsidR="009E6CF6" w:rsidRPr="00B700E4" w14:paraId="3ABBED12" w14:textId="77777777" w:rsidTr="00146D16">
        <w:trPr>
          <w:trHeight w:val="446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A759629" w14:textId="77777777" w:rsidR="009E6CF6" w:rsidRPr="00B700E4" w:rsidRDefault="009E6CF6" w:rsidP="00146D16">
            <w:pPr>
              <w:rPr>
                <w:rFonts w:ascii="Times New Roman" w:hAnsi="Times New Roman" w:cs="Times New Roman"/>
                <w:b/>
              </w:rPr>
            </w:pPr>
            <w:r w:rsidRPr="00B700E4">
              <w:rPr>
                <w:rFonts w:ascii="Times New Roman" w:hAnsi="Times New Roman" w:cs="Times New Roman"/>
                <w:b/>
              </w:rPr>
              <w:t>Peňažný príspevok na osobnú asistenciu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E82CD" w14:textId="77777777" w:rsidR="009E6CF6" w:rsidRPr="00B700E4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E03A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BCDF7E" w14:textId="77777777" w:rsidR="009E6CF6" w:rsidRPr="00B700E4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E03A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D6C9A0" w14:textId="77777777" w:rsidR="009E6CF6" w:rsidRPr="00B700E4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E03AF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01EBB2" w14:textId="77777777" w:rsidR="009E6CF6" w:rsidRPr="00B700E4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E03AF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E6CF6" w:rsidRPr="00B700E4" w14:paraId="18207B56" w14:textId="77777777" w:rsidTr="00146D16">
        <w:trPr>
          <w:trHeight w:val="336"/>
        </w:trPr>
        <w:tc>
          <w:tcPr>
            <w:tcW w:w="3681" w:type="dxa"/>
            <w:shd w:val="clear" w:color="auto" w:fill="auto"/>
            <w:vAlign w:val="center"/>
            <w:hideMark/>
          </w:tcPr>
          <w:p w14:paraId="5682AA79" w14:textId="77777777" w:rsidR="009E6CF6" w:rsidRPr="00B700E4" w:rsidRDefault="009E6CF6" w:rsidP="00146D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00E4">
              <w:rPr>
                <w:rFonts w:ascii="Times New Roman" w:hAnsi="Times New Roman" w:cs="Times New Roman"/>
              </w:rPr>
              <w:t>Priemerný mesačný počet poberateľov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D2C31D" w14:textId="633EDAEA" w:rsidR="009E6CF6" w:rsidRPr="00B700E4" w:rsidRDefault="00E03AFA" w:rsidP="00146D16">
            <w:pPr>
              <w:jc w:val="center"/>
              <w:rPr>
                <w:rFonts w:ascii="Times New Roman" w:hAnsi="Times New Roman" w:cs="Times New Roman"/>
              </w:rPr>
            </w:pPr>
            <w:r w:rsidRPr="00E03AFA">
              <w:rPr>
                <w:rFonts w:ascii="Times New Roman" w:hAnsi="Times New Roman" w:cs="Times New Roman"/>
              </w:rPr>
              <w:t>14 550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942399" w14:textId="77777777" w:rsidR="009E6CF6" w:rsidRPr="00B700E4" w:rsidRDefault="00E03AFA" w:rsidP="00146D16">
            <w:pPr>
              <w:jc w:val="center"/>
              <w:rPr>
                <w:rFonts w:ascii="Times New Roman" w:hAnsi="Times New Roman" w:cs="Times New Roman"/>
              </w:rPr>
            </w:pPr>
            <w:r w:rsidRPr="00E03AFA">
              <w:rPr>
                <w:rFonts w:ascii="Times New Roman" w:hAnsi="Times New Roman" w:cs="Times New Roman"/>
              </w:rPr>
              <w:t>14 945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268C5B" w14:textId="77777777" w:rsidR="009E6CF6" w:rsidRPr="00B700E4" w:rsidRDefault="00E03AFA" w:rsidP="00146D16">
            <w:pPr>
              <w:jc w:val="center"/>
              <w:rPr>
                <w:rFonts w:ascii="Times New Roman" w:hAnsi="Times New Roman" w:cs="Times New Roman"/>
              </w:rPr>
            </w:pPr>
            <w:r w:rsidRPr="00E03AFA">
              <w:rPr>
                <w:rFonts w:ascii="Times New Roman" w:hAnsi="Times New Roman" w:cs="Times New Roman"/>
              </w:rPr>
              <w:t>15 428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36EDB" w14:textId="77777777" w:rsidR="009E6CF6" w:rsidRPr="00B700E4" w:rsidRDefault="00E03AFA" w:rsidP="00146D16">
            <w:pPr>
              <w:jc w:val="center"/>
              <w:rPr>
                <w:rFonts w:ascii="Times New Roman" w:hAnsi="Times New Roman" w:cs="Times New Roman"/>
              </w:rPr>
            </w:pPr>
            <w:r w:rsidRPr="00E03AFA">
              <w:rPr>
                <w:rFonts w:ascii="Times New Roman" w:hAnsi="Times New Roman" w:cs="Times New Roman"/>
              </w:rPr>
              <w:t>15 886</w:t>
            </w:r>
          </w:p>
        </w:tc>
      </w:tr>
      <w:tr w:rsidR="009E6CF6" w:rsidRPr="00B700E4" w14:paraId="6EF65CBD" w14:textId="77777777" w:rsidTr="00146D16">
        <w:trPr>
          <w:trHeight w:val="336"/>
        </w:trPr>
        <w:tc>
          <w:tcPr>
            <w:tcW w:w="3681" w:type="dxa"/>
            <w:shd w:val="clear" w:color="auto" w:fill="auto"/>
            <w:vAlign w:val="center"/>
          </w:tcPr>
          <w:p w14:paraId="3128596D" w14:textId="77777777" w:rsidR="009E6CF6" w:rsidRPr="00B700E4" w:rsidRDefault="009E6CF6" w:rsidP="00146D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00E4">
              <w:rPr>
                <w:rFonts w:ascii="Times New Roman" w:hAnsi="Times New Roman" w:cs="Times New Roman"/>
                <w:b/>
              </w:rPr>
              <w:t>Nárast finančných prostriedkov v 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B7380" w14:textId="6D8B1F4F" w:rsidR="009E6CF6" w:rsidRPr="00B700E4" w:rsidRDefault="00915337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337">
              <w:rPr>
                <w:rFonts w:ascii="Times New Roman" w:hAnsi="Times New Roman" w:cs="Times New Roman"/>
                <w:b/>
              </w:rPr>
              <w:t>3 972 150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8AEB97" w14:textId="0D3D0CA5" w:rsidR="009E6CF6" w:rsidRPr="00B700E4" w:rsidRDefault="00915337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337">
              <w:rPr>
                <w:rFonts w:ascii="Times New Roman" w:hAnsi="Times New Roman" w:cs="Times New Roman"/>
                <w:b/>
              </w:rPr>
              <w:t>9 791 964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7CBD86" w14:textId="7A1ABBA1" w:rsidR="009E6CF6" w:rsidRPr="00190970" w:rsidRDefault="00915337" w:rsidP="00146D1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5337">
              <w:rPr>
                <w:rFonts w:ascii="Times New Roman" w:hAnsi="Times New Roman" w:cs="Times New Roman"/>
                <w:b/>
              </w:rPr>
              <w:t>10 108 426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F83F7" w14:textId="6E9CF756" w:rsidR="009E6CF6" w:rsidRPr="00B700E4" w:rsidRDefault="00915337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337">
              <w:rPr>
                <w:rFonts w:ascii="Times New Roman" w:hAnsi="Times New Roman" w:cs="Times New Roman"/>
                <w:b/>
              </w:rPr>
              <w:t>10 408 507</w:t>
            </w:r>
          </w:p>
        </w:tc>
      </w:tr>
    </w:tbl>
    <w:p w14:paraId="7C50BFD5" w14:textId="77777777" w:rsidR="009E6CF6" w:rsidRPr="007D5748" w:rsidRDefault="009E6CF6" w:rsidP="009E6CF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0DC5447" w14:textId="77777777" w:rsidR="00E03AFA" w:rsidRDefault="00E03AFA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5F99F20C" w14:textId="77777777" w:rsidR="00E03AFA" w:rsidRDefault="00E03AFA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2FE7906D" w14:textId="59C3F28B" w:rsidR="00E03AFA" w:rsidRDefault="00E03AFA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4D3CB615" w14:textId="307C287E" w:rsidR="00F0190A" w:rsidRDefault="00F0190A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262A44BD" w14:textId="76CDAB94" w:rsidR="00F0190A" w:rsidRDefault="00F0190A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4B3C3F7B" w14:textId="77777777" w:rsidR="00F0190A" w:rsidRDefault="00F0190A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619C65CF" w14:textId="77777777" w:rsidR="00E03AFA" w:rsidRDefault="00E03AFA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47FAA997" w14:textId="77777777" w:rsidR="009E6CF6" w:rsidRPr="009017E3" w:rsidRDefault="009E6CF6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9017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lastRenderedPageBreak/>
        <w:t>Peňažný príspevok na opatrovanie</w:t>
      </w:r>
    </w:p>
    <w:p w14:paraId="7648D534" w14:textId="77777777" w:rsidR="009E6CF6" w:rsidRDefault="009E6CF6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63281371" w14:textId="77777777" w:rsidR="009E6CF6" w:rsidRDefault="009E6CF6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87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Navrhované výšky </w:t>
      </w:r>
      <w:r w:rsidRPr="00B70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peňažného príspevku na opatrovanie pre </w:t>
      </w:r>
      <w:r w:rsidRPr="00B700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opatrovateľov v produktívnom veku</w:t>
      </w:r>
      <w:r w:rsidR="00E03A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ako aj pre opatrovateľov poberajúcich niektorú zo zákonom ustanovených dôchodkových dávok </w:t>
      </w:r>
      <w:r w:rsidRPr="00B70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júla </w:t>
      </w:r>
      <w:r w:rsidRPr="00B700E4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E03AFA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B70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valorizovan</w:t>
      </w:r>
      <w:r w:rsidR="00146D16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čistej minimálnej mzdy na rok 202</w:t>
      </w:r>
      <w:r w:rsidR="00E03AFA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46D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37EB117" w14:textId="77777777" w:rsidR="00E03AFA" w:rsidRDefault="00E03AFA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pPr w:leftFromText="141" w:rightFromText="141" w:vertAnchor="page" w:horzAnchor="margin" w:tblpY="3138"/>
        <w:tblW w:w="9288" w:type="dxa"/>
        <w:tblLook w:val="04A0" w:firstRow="1" w:lastRow="0" w:firstColumn="1" w:lastColumn="0" w:noHBand="0" w:noVBand="1"/>
      </w:tblPr>
      <w:tblGrid>
        <w:gridCol w:w="5079"/>
        <w:gridCol w:w="1161"/>
        <w:gridCol w:w="1016"/>
        <w:gridCol w:w="1016"/>
        <w:gridCol w:w="1016"/>
      </w:tblGrid>
      <w:tr w:rsidR="00E03AFA" w:rsidRPr="00291AAE" w14:paraId="4827C82F" w14:textId="77777777" w:rsidTr="000B14E4">
        <w:trPr>
          <w:trHeight w:val="317"/>
        </w:trPr>
        <w:tc>
          <w:tcPr>
            <w:tcW w:w="5079" w:type="dxa"/>
            <w:shd w:val="clear" w:color="auto" w:fill="auto"/>
            <w:noWrap/>
            <w:vAlign w:val="center"/>
            <w:hideMark/>
          </w:tcPr>
          <w:p w14:paraId="7E5C8D6D" w14:textId="77777777" w:rsidR="00E03AFA" w:rsidRPr="00130808" w:rsidRDefault="00E03AFA" w:rsidP="00E03AFA">
            <w:pPr>
              <w:rPr>
                <w:rFonts w:ascii="Times New Roman" w:hAnsi="Times New Roman" w:cs="Times New Roman"/>
                <w:b/>
                <w:bCs/>
              </w:rPr>
            </w:pPr>
            <w:r w:rsidRPr="00130808">
              <w:rPr>
                <w:rFonts w:ascii="Times New Roman" w:hAnsi="Times New Roman" w:cs="Times New Roman"/>
                <w:b/>
                <w:bCs/>
              </w:rPr>
              <w:t xml:space="preserve">Celkový priemerný mesačný počet poberateľov peňažného príspevku   na opatrovanie 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3FAA9924" w14:textId="77777777" w:rsidR="00E03AFA" w:rsidRPr="00130808" w:rsidRDefault="00E03AFA" w:rsidP="00E03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EC1CE60" w14:textId="77777777" w:rsidR="00E03AFA" w:rsidRPr="00130808" w:rsidRDefault="00E03AFA" w:rsidP="00E03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C16F99D" w14:textId="77777777" w:rsidR="00E03AFA" w:rsidRPr="00130808" w:rsidRDefault="00E03AFA" w:rsidP="00E03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872D37A" w14:textId="77777777" w:rsidR="00E03AFA" w:rsidRPr="00130808" w:rsidRDefault="00E03AFA" w:rsidP="00E03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03AFA" w:rsidRPr="00291AAE" w14:paraId="79663B3D" w14:textId="77777777" w:rsidTr="000B14E4">
        <w:trPr>
          <w:trHeight w:val="416"/>
        </w:trPr>
        <w:tc>
          <w:tcPr>
            <w:tcW w:w="5079" w:type="dxa"/>
            <w:shd w:val="clear" w:color="auto" w:fill="auto"/>
            <w:vAlign w:val="center"/>
          </w:tcPr>
          <w:p w14:paraId="39379D40" w14:textId="77777777" w:rsidR="00E03AFA" w:rsidRPr="00130808" w:rsidRDefault="008B3EDF" w:rsidP="00E03A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Opatrovanie jednej FO s ŤZP*</w:t>
            </w:r>
            <w:r w:rsidRPr="008B3EDF" w:rsidDel="008B3E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2598627D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B3EDF">
              <w:rPr>
                <w:rFonts w:ascii="Times New Roman" w:hAnsi="Times New Roman" w:cs="Times New Roman"/>
              </w:rPr>
              <w:t>72 950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62071EC3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B3EDF">
              <w:rPr>
                <w:rFonts w:ascii="Times New Roman" w:hAnsi="Times New Roman" w:cs="Times New Roman"/>
              </w:rPr>
              <w:t>76 850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46341860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B3EDF">
              <w:rPr>
                <w:rFonts w:ascii="Times New Roman" w:hAnsi="Times New Roman" w:cs="Times New Roman"/>
              </w:rPr>
              <w:t>78 348</w:t>
            </w:r>
          </w:p>
        </w:tc>
        <w:tc>
          <w:tcPr>
            <w:tcW w:w="1016" w:type="dxa"/>
            <w:shd w:val="clear" w:color="auto" w:fill="auto"/>
            <w:vAlign w:val="bottom"/>
          </w:tcPr>
          <w:p w14:paraId="5797E62D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B3EDF">
              <w:rPr>
                <w:rFonts w:ascii="Times New Roman" w:hAnsi="Times New Roman" w:cs="Times New Roman"/>
              </w:rPr>
              <w:t>79 990</w:t>
            </w:r>
          </w:p>
        </w:tc>
      </w:tr>
      <w:tr w:rsidR="00E03AFA" w:rsidRPr="00291AAE" w14:paraId="3D2B85B4" w14:textId="77777777" w:rsidTr="000B14E4">
        <w:trPr>
          <w:trHeight w:val="455"/>
        </w:trPr>
        <w:tc>
          <w:tcPr>
            <w:tcW w:w="5079" w:type="dxa"/>
            <w:shd w:val="clear" w:color="auto" w:fill="auto"/>
            <w:noWrap/>
            <w:vAlign w:val="center"/>
            <w:hideMark/>
          </w:tcPr>
          <w:p w14:paraId="61FB8CC4" w14:textId="77777777" w:rsidR="00E03AFA" w:rsidRPr="00130808" w:rsidRDefault="008B3EDF" w:rsidP="00E03A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Opatrovanie dvoch a viac FO s ŤZP*</w:t>
            </w:r>
          </w:p>
        </w:tc>
        <w:tc>
          <w:tcPr>
            <w:tcW w:w="1161" w:type="dxa"/>
            <w:noWrap/>
            <w:vAlign w:val="bottom"/>
          </w:tcPr>
          <w:p w14:paraId="0A5433EB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B3EDF">
              <w:rPr>
                <w:rFonts w:ascii="Times New Roman" w:hAnsi="Times New Roman" w:cs="Times New Roman"/>
              </w:rPr>
              <w:t>2 192</w:t>
            </w:r>
          </w:p>
        </w:tc>
        <w:tc>
          <w:tcPr>
            <w:tcW w:w="1016" w:type="dxa"/>
            <w:noWrap/>
            <w:vAlign w:val="bottom"/>
          </w:tcPr>
          <w:p w14:paraId="5B586362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B3EDF">
              <w:rPr>
                <w:rFonts w:ascii="Times New Roman" w:hAnsi="Times New Roman" w:cs="Times New Roman"/>
              </w:rPr>
              <w:t>2 324</w:t>
            </w:r>
          </w:p>
        </w:tc>
        <w:tc>
          <w:tcPr>
            <w:tcW w:w="1016" w:type="dxa"/>
            <w:noWrap/>
            <w:vAlign w:val="bottom"/>
          </w:tcPr>
          <w:p w14:paraId="68E99C76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B3EDF">
              <w:rPr>
                <w:rFonts w:ascii="Times New Roman" w:hAnsi="Times New Roman" w:cs="Times New Roman"/>
              </w:rPr>
              <w:t>2 456</w:t>
            </w:r>
          </w:p>
        </w:tc>
        <w:tc>
          <w:tcPr>
            <w:tcW w:w="1016" w:type="dxa"/>
            <w:vAlign w:val="bottom"/>
          </w:tcPr>
          <w:p w14:paraId="6524505A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B3EDF">
              <w:rPr>
                <w:rFonts w:ascii="Times New Roman" w:hAnsi="Times New Roman" w:cs="Times New Roman"/>
              </w:rPr>
              <w:t>2 536</w:t>
            </w:r>
          </w:p>
        </w:tc>
      </w:tr>
      <w:tr w:rsidR="00E03AFA" w:rsidRPr="00291AAE" w14:paraId="5B449BE1" w14:textId="77777777" w:rsidTr="000B14E4">
        <w:trPr>
          <w:trHeight w:val="461"/>
        </w:trPr>
        <w:tc>
          <w:tcPr>
            <w:tcW w:w="5079" w:type="dxa"/>
            <w:shd w:val="clear" w:color="auto" w:fill="auto"/>
            <w:noWrap/>
            <w:vAlign w:val="center"/>
          </w:tcPr>
          <w:p w14:paraId="49B531A4" w14:textId="77777777" w:rsidR="00E03AFA" w:rsidRPr="00130808" w:rsidRDefault="00E03AFA" w:rsidP="00E03AFA">
            <w:pPr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hAnsi="Times New Roman" w:cs="Times New Roman"/>
                <w:b/>
              </w:rPr>
              <w:t>SPOLU</w:t>
            </w:r>
          </w:p>
        </w:tc>
        <w:tc>
          <w:tcPr>
            <w:tcW w:w="1161" w:type="dxa"/>
            <w:noWrap/>
            <w:vAlign w:val="bottom"/>
          </w:tcPr>
          <w:p w14:paraId="473E45F5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B3EDF">
              <w:rPr>
                <w:rFonts w:ascii="Times New Roman" w:hAnsi="Times New Roman" w:cs="Times New Roman"/>
                <w:b/>
              </w:rPr>
              <w:t>75 142</w:t>
            </w:r>
          </w:p>
        </w:tc>
        <w:tc>
          <w:tcPr>
            <w:tcW w:w="1016" w:type="dxa"/>
            <w:noWrap/>
            <w:vAlign w:val="bottom"/>
          </w:tcPr>
          <w:p w14:paraId="3B0E98A1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B3EDF">
              <w:rPr>
                <w:rFonts w:ascii="Times New Roman" w:hAnsi="Times New Roman" w:cs="Times New Roman"/>
                <w:b/>
              </w:rPr>
              <w:t>79 174</w:t>
            </w:r>
          </w:p>
        </w:tc>
        <w:tc>
          <w:tcPr>
            <w:tcW w:w="1016" w:type="dxa"/>
            <w:noWrap/>
            <w:vAlign w:val="bottom"/>
          </w:tcPr>
          <w:p w14:paraId="3A021D0C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B3EDF">
              <w:rPr>
                <w:rFonts w:ascii="Times New Roman" w:hAnsi="Times New Roman" w:cs="Times New Roman"/>
                <w:b/>
              </w:rPr>
              <w:t>80 804</w:t>
            </w:r>
          </w:p>
        </w:tc>
        <w:tc>
          <w:tcPr>
            <w:tcW w:w="1016" w:type="dxa"/>
            <w:vAlign w:val="bottom"/>
          </w:tcPr>
          <w:p w14:paraId="7E2136EA" w14:textId="77777777" w:rsidR="00E03AFA" w:rsidRPr="00130808" w:rsidRDefault="008B3EDF" w:rsidP="00E03AFA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B3EDF">
              <w:rPr>
                <w:rFonts w:ascii="Times New Roman" w:hAnsi="Times New Roman" w:cs="Times New Roman"/>
                <w:b/>
              </w:rPr>
              <w:t>82 526</w:t>
            </w:r>
          </w:p>
        </w:tc>
      </w:tr>
    </w:tbl>
    <w:p w14:paraId="721CDDBA" w14:textId="77777777" w:rsidR="00E03AFA" w:rsidRPr="003871BF" w:rsidRDefault="008B3EDF" w:rsidP="009E6C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871BF">
        <w:rPr>
          <w:rFonts w:ascii="Times New Roman" w:eastAsia="Times New Roman" w:hAnsi="Times New Roman" w:cs="Times New Roman"/>
          <w:lang w:eastAsia="sk-SK"/>
        </w:rPr>
        <w:t>*fyzická osoba s ťažkým zdravotným postihnutím</w:t>
      </w:r>
    </w:p>
    <w:p w14:paraId="5873245A" w14:textId="77777777" w:rsidR="00E03AFA" w:rsidRDefault="00E03AFA" w:rsidP="00146D16">
      <w:pPr>
        <w:spacing w:after="0" w:line="240" w:lineRule="auto"/>
        <w:jc w:val="both"/>
      </w:pPr>
    </w:p>
    <w:p w14:paraId="619B7FED" w14:textId="77777777" w:rsidR="008B3EDF" w:rsidRPr="000B14E4" w:rsidRDefault="008B3EDF" w:rsidP="008B3EDF">
      <w:pPr>
        <w:rPr>
          <w:rFonts w:ascii="Times New Roman" w:hAnsi="Times New Roman" w:cs="Times New Roman"/>
        </w:rPr>
      </w:pPr>
      <w:r w:rsidRPr="000B14E4">
        <w:rPr>
          <w:rFonts w:ascii="Times New Roman" w:hAnsi="Times New Roman" w:cs="Times New Roman"/>
        </w:rPr>
        <w:t>*fyzická osoba s ťažkým zdravotným postihnutím</w:t>
      </w:r>
    </w:p>
    <w:p w14:paraId="25878A15" w14:textId="0D68B019" w:rsidR="008B3EDF" w:rsidRDefault="008B3EDF" w:rsidP="009E6CF6">
      <w:pPr>
        <w:pStyle w:val="Bezriadkovania"/>
        <w:spacing w:after="0" w:line="240" w:lineRule="auto"/>
        <w:rPr>
          <w:rFonts w:ascii="Times New Roman" w:hAnsi="Times New Roman" w:cs="Times New Roman"/>
          <w:b/>
          <w:strike w:val="0"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939"/>
        <w:gridCol w:w="2152"/>
        <w:gridCol w:w="1701"/>
        <w:gridCol w:w="1559"/>
      </w:tblGrid>
      <w:tr w:rsidR="00F0190A" w:rsidRPr="00D43F50" w14:paraId="2A6A7B6F" w14:textId="77777777" w:rsidTr="00F0190A">
        <w:trPr>
          <w:trHeight w:val="587"/>
        </w:trPr>
        <w:tc>
          <w:tcPr>
            <w:tcW w:w="3939" w:type="dxa"/>
            <w:vMerge w:val="restart"/>
            <w:vAlign w:val="center"/>
          </w:tcPr>
          <w:p w14:paraId="4C18986B" w14:textId="77777777" w:rsidR="00F0190A" w:rsidRPr="003871BF" w:rsidRDefault="00F0190A" w:rsidP="00F01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Peňažný príspevok na opatrovanie </w:t>
            </w:r>
          </w:p>
        </w:tc>
        <w:tc>
          <w:tcPr>
            <w:tcW w:w="2152" w:type="dxa"/>
            <w:noWrap/>
            <w:vAlign w:val="center"/>
          </w:tcPr>
          <w:p w14:paraId="669C129E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</w:rPr>
            </w:pPr>
            <w:r w:rsidRPr="00130808">
              <w:rPr>
                <w:rFonts w:ascii="Times New Roman" w:hAnsi="Times New Roman" w:cs="Times New Roman"/>
              </w:rPr>
              <w:t>Výška</w:t>
            </w:r>
          </w:p>
          <w:p w14:paraId="0C8317C2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30.6.2025</w:t>
            </w:r>
          </w:p>
        </w:tc>
        <w:tc>
          <w:tcPr>
            <w:tcW w:w="3260" w:type="dxa"/>
            <w:gridSpan w:val="2"/>
            <w:noWrap/>
            <w:vAlign w:val="center"/>
          </w:tcPr>
          <w:p w14:paraId="1C333795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</w:rPr>
            </w:pPr>
            <w:r w:rsidRPr="00130808">
              <w:rPr>
                <w:rFonts w:ascii="Times New Roman" w:hAnsi="Times New Roman" w:cs="Times New Roman"/>
              </w:rPr>
              <w:t>Navrhovaná výška</w:t>
            </w:r>
          </w:p>
          <w:p w14:paraId="73E81B41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 1.7.2025</w:t>
            </w:r>
            <w:r w:rsidRPr="0013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190A" w:rsidRPr="00D43F50" w14:paraId="126C1A93" w14:textId="77777777" w:rsidTr="00F0190A">
        <w:trPr>
          <w:trHeight w:val="356"/>
        </w:trPr>
        <w:tc>
          <w:tcPr>
            <w:tcW w:w="3939" w:type="dxa"/>
            <w:vMerge/>
            <w:hideMark/>
          </w:tcPr>
          <w:p w14:paraId="520E1DAD" w14:textId="77777777" w:rsidR="00F0190A" w:rsidRPr="00130808" w:rsidRDefault="00F0190A" w:rsidP="00F019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noWrap/>
            <w:vAlign w:val="center"/>
            <w:hideMark/>
          </w:tcPr>
          <w:p w14:paraId="02955336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</w:rPr>
            </w:pPr>
            <w:r w:rsidRPr="00130808">
              <w:rPr>
                <w:rFonts w:ascii="Times New Roman" w:hAnsi="Times New Roman" w:cs="Times New Roman"/>
              </w:rPr>
              <w:t xml:space="preserve">v </w:t>
            </w:r>
            <w:r w:rsidRPr="0049667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01" w:type="dxa"/>
            <w:noWrap/>
            <w:vAlign w:val="center"/>
            <w:hideMark/>
          </w:tcPr>
          <w:p w14:paraId="35A5FE88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</w:rPr>
            </w:pPr>
            <w:r w:rsidRPr="00130808">
              <w:rPr>
                <w:rFonts w:ascii="Times New Roman" w:hAnsi="Times New Roman" w:cs="Times New Roman"/>
              </w:rPr>
              <w:t xml:space="preserve">v </w:t>
            </w:r>
            <w:r w:rsidRPr="0049667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14:paraId="3C227EED" w14:textId="77777777" w:rsidR="00F0190A" w:rsidRPr="00496676" w:rsidRDefault="00F0190A" w:rsidP="00F0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676">
              <w:rPr>
                <w:rFonts w:ascii="Times New Roman" w:hAnsi="Times New Roman" w:cs="Times New Roman"/>
                <w:b/>
              </w:rPr>
              <w:t xml:space="preserve">nárast v </w:t>
            </w:r>
            <w:r w:rsidRPr="00130808"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F0190A" w:rsidRPr="00D43F50" w14:paraId="590ECF09" w14:textId="77777777" w:rsidTr="00F0190A">
        <w:trPr>
          <w:trHeight w:val="397"/>
        </w:trPr>
        <w:tc>
          <w:tcPr>
            <w:tcW w:w="3939" w:type="dxa"/>
            <w:vAlign w:val="center"/>
            <w:hideMark/>
          </w:tcPr>
          <w:p w14:paraId="58443006" w14:textId="77777777" w:rsidR="00F0190A" w:rsidRPr="00130808" w:rsidRDefault="00F0190A" w:rsidP="00F019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Opatrovanie jednej</w:t>
            </w:r>
            <w:r w:rsidRPr="00130808">
              <w:rPr>
                <w:rFonts w:ascii="Times New Roman" w:hAnsi="Times New Roman" w:cs="Times New Roman"/>
              </w:rPr>
              <w:t xml:space="preserve"> FO s ŤZP*</w:t>
            </w:r>
          </w:p>
        </w:tc>
        <w:tc>
          <w:tcPr>
            <w:tcW w:w="2152" w:type="dxa"/>
            <w:vAlign w:val="center"/>
          </w:tcPr>
          <w:p w14:paraId="4AF33FFA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615,50</w:t>
            </w:r>
          </w:p>
        </w:tc>
        <w:tc>
          <w:tcPr>
            <w:tcW w:w="1701" w:type="dxa"/>
            <w:vAlign w:val="center"/>
          </w:tcPr>
          <w:p w14:paraId="70EA45F0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EDF">
              <w:rPr>
                <w:rFonts w:ascii="Times New Roman" w:hAnsi="Times New Roman" w:cs="Times New Roman"/>
                <w:b/>
              </w:rPr>
              <w:t>663,50</w:t>
            </w:r>
          </w:p>
        </w:tc>
        <w:tc>
          <w:tcPr>
            <w:tcW w:w="1559" w:type="dxa"/>
            <w:vAlign w:val="center"/>
          </w:tcPr>
          <w:p w14:paraId="668A0C82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+ </w:t>
            </w:r>
            <w:r w:rsidRPr="008B3EDF">
              <w:rPr>
                <w:rFonts w:ascii="Times New Roman" w:hAnsi="Times New Roman" w:cs="Times New Roman"/>
                <w:bCs/>
              </w:rPr>
              <w:t>48,00</w:t>
            </w:r>
          </w:p>
        </w:tc>
      </w:tr>
      <w:tr w:rsidR="00F0190A" w:rsidRPr="00D43F50" w14:paraId="6454E864" w14:textId="77777777" w:rsidTr="00F0190A">
        <w:trPr>
          <w:trHeight w:val="397"/>
        </w:trPr>
        <w:tc>
          <w:tcPr>
            <w:tcW w:w="3939" w:type="dxa"/>
            <w:vAlign w:val="center"/>
            <w:hideMark/>
          </w:tcPr>
          <w:p w14:paraId="2829771E" w14:textId="77777777" w:rsidR="00F0190A" w:rsidRPr="00130808" w:rsidRDefault="00F0190A" w:rsidP="00F019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Opatrovanie dvoch a </w:t>
            </w:r>
            <w:r w:rsidRPr="00130808">
              <w:rPr>
                <w:rFonts w:ascii="Times New Roman" w:hAnsi="Times New Roman" w:cs="Times New Roman"/>
              </w:rPr>
              <w:t>viac FO s</w:t>
            </w:r>
            <w:r>
              <w:rPr>
                <w:rFonts w:ascii="Times New Roman" w:hAnsi="Times New Roman" w:cs="Times New Roman"/>
              </w:rPr>
              <w:t> </w:t>
            </w:r>
            <w:r w:rsidRPr="00130808">
              <w:rPr>
                <w:rFonts w:ascii="Times New Roman" w:hAnsi="Times New Roman" w:cs="Times New Roman"/>
              </w:rPr>
              <w:t>ŤZP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52" w:type="dxa"/>
            <w:vAlign w:val="center"/>
          </w:tcPr>
          <w:p w14:paraId="59CB947C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818,60</w:t>
            </w:r>
          </w:p>
        </w:tc>
        <w:tc>
          <w:tcPr>
            <w:tcW w:w="1701" w:type="dxa"/>
            <w:vAlign w:val="center"/>
          </w:tcPr>
          <w:p w14:paraId="720C4A09" w14:textId="77777777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EDF">
              <w:rPr>
                <w:rFonts w:ascii="Times New Roman" w:hAnsi="Times New Roman" w:cs="Times New Roman"/>
                <w:b/>
              </w:rPr>
              <w:t>882,50</w:t>
            </w:r>
          </w:p>
        </w:tc>
        <w:tc>
          <w:tcPr>
            <w:tcW w:w="1559" w:type="dxa"/>
            <w:vAlign w:val="center"/>
          </w:tcPr>
          <w:p w14:paraId="5C81382C" w14:textId="26AE1751" w:rsidR="00F0190A" w:rsidRPr="00130808" w:rsidRDefault="00F0190A" w:rsidP="00F019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+ </w:t>
            </w:r>
            <w:r w:rsidR="00E669AC">
              <w:rPr>
                <w:rFonts w:ascii="Times New Roman" w:hAnsi="Times New Roman" w:cs="Times New Roman"/>
                <w:bCs/>
              </w:rPr>
              <w:t>63</w:t>
            </w:r>
            <w:r w:rsidRPr="008B3EDF">
              <w:rPr>
                <w:rFonts w:ascii="Times New Roman" w:hAnsi="Times New Roman" w:cs="Times New Roman"/>
                <w:bCs/>
              </w:rPr>
              <w:t>,90</w:t>
            </w:r>
          </w:p>
        </w:tc>
      </w:tr>
    </w:tbl>
    <w:p w14:paraId="55124ED6" w14:textId="77777777" w:rsidR="00F0190A" w:rsidRPr="000B14E4" w:rsidRDefault="00F0190A" w:rsidP="00F0190A">
      <w:pPr>
        <w:rPr>
          <w:rFonts w:ascii="Times New Roman" w:hAnsi="Times New Roman" w:cs="Times New Roman"/>
        </w:rPr>
      </w:pPr>
      <w:r w:rsidRPr="000B14E4">
        <w:rPr>
          <w:rFonts w:ascii="Times New Roman" w:hAnsi="Times New Roman" w:cs="Times New Roman"/>
        </w:rPr>
        <w:t>*fyzická osoba s ťažkým zdravotným postihnutím</w:t>
      </w:r>
    </w:p>
    <w:p w14:paraId="3AFE9472" w14:textId="7E894E4B" w:rsidR="00F0190A" w:rsidRDefault="00F0190A" w:rsidP="009E6CF6">
      <w:pPr>
        <w:pStyle w:val="Bezriadkovania"/>
        <w:spacing w:after="0" w:line="240" w:lineRule="auto"/>
        <w:rPr>
          <w:rFonts w:ascii="Times New Roman" w:hAnsi="Times New Roman" w:cs="Times New Roman"/>
          <w:b/>
          <w:strike w:val="0"/>
          <w:sz w:val="24"/>
          <w:szCs w:val="24"/>
        </w:rPr>
      </w:pPr>
    </w:p>
    <w:p w14:paraId="5BC91015" w14:textId="77777777" w:rsidR="009E6CF6" w:rsidRPr="00A53EC3" w:rsidRDefault="009E6CF6" w:rsidP="009E6CF6">
      <w:pPr>
        <w:pStyle w:val="Bezriadkovania"/>
        <w:spacing w:after="0" w:line="240" w:lineRule="auto"/>
        <w:rPr>
          <w:rFonts w:ascii="Times New Roman" w:hAnsi="Times New Roman" w:cs="Times New Roman"/>
          <w:b/>
          <w:strike w:val="0"/>
          <w:sz w:val="24"/>
          <w:szCs w:val="24"/>
        </w:rPr>
      </w:pPr>
      <w:r w:rsidRPr="00A53EC3">
        <w:rPr>
          <w:rFonts w:ascii="Times New Roman" w:hAnsi="Times New Roman" w:cs="Times New Roman"/>
          <w:b/>
          <w:strike w:val="0"/>
          <w:sz w:val="24"/>
          <w:szCs w:val="24"/>
        </w:rPr>
        <w:t xml:space="preserve">Finančný dopad valorizácie výšky peňažného príspevku na opatrovanie </w:t>
      </w:r>
    </w:p>
    <w:p w14:paraId="4B7AE845" w14:textId="77777777" w:rsidR="009E6CF6" w:rsidRDefault="009E6CF6" w:rsidP="009E6CF6">
      <w:pPr>
        <w:pStyle w:val="Bezriadkovania"/>
        <w:spacing w:after="0" w:line="240" w:lineRule="auto"/>
        <w:rPr>
          <w:rFonts w:ascii="Times New Roman" w:hAnsi="Times New Roman" w:cs="Times New Roman"/>
          <w:b/>
          <w:strike w:val="0"/>
        </w:rPr>
      </w:pPr>
    </w:p>
    <w:tbl>
      <w:tblPr>
        <w:tblStyle w:val="Mriekatabuky"/>
        <w:tblW w:w="9240" w:type="dxa"/>
        <w:tblLayout w:type="fixed"/>
        <w:tblLook w:val="04A0" w:firstRow="1" w:lastRow="0" w:firstColumn="1" w:lastColumn="0" w:noHBand="0" w:noVBand="1"/>
      </w:tblPr>
      <w:tblGrid>
        <w:gridCol w:w="3539"/>
        <w:gridCol w:w="1425"/>
        <w:gridCol w:w="1425"/>
        <w:gridCol w:w="1425"/>
        <w:gridCol w:w="1426"/>
      </w:tblGrid>
      <w:tr w:rsidR="00130808" w:rsidRPr="00A53EC3" w14:paraId="4ED5A7FB" w14:textId="77777777" w:rsidTr="003871BF">
        <w:trPr>
          <w:trHeight w:val="403"/>
        </w:trPr>
        <w:tc>
          <w:tcPr>
            <w:tcW w:w="3539" w:type="dxa"/>
            <w:vMerge w:val="restart"/>
            <w:shd w:val="clear" w:color="auto" w:fill="auto"/>
            <w:noWrap/>
            <w:vAlign w:val="center"/>
            <w:hideMark/>
          </w:tcPr>
          <w:p w14:paraId="452D7575" w14:textId="77777777" w:rsidR="00130808" w:rsidRPr="00130808" w:rsidRDefault="00130808" w:rsidP="00146D16">
            <w:pPr>
              <w:rPr>
                <w:rFonts w:ascii="Times New Roman" w:eastAsia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Peňažný príspevok na opatrovanie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7BFFF3E6" w14:textId="77777777" w:rsidR="00130808" w:rsidRPr="00130808" w:rsidRDefault="0013080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3EDF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308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253CBC10" w14:textId="77777777" w:rsidR="00130808" w:rsidRPr="00130808" w:rsidRDefault="0013080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3EDF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308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26076EE2" w14:textId="77777777" w:rsidR="00130808" w:rsidRPr="00130808" w:rsidRDefault="0013080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3EDF">
              <w:rPr>
                <w:rFonts w:ascii="Times New Roman" w:eastAsia="Times New Roman" w:hAnsi="Times New Roman" w:cs="Times New Roman"/>
                <w:b/>
              </w:rPr>
              <w:t>7</w:t>
            </w:r>
            <w:r w:rsidRPr="001308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6358901" w14:textId="77777777" w:rsidR="00130808" w:rsidRPr="00130808" w:rsidRDefault="0013080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3EDF">
              <w:rPr>
                <w:rFonts w:ascii="Times New Roman" w:eastAsia="Times New Roman" w:hAnsi="Times New Roman" w:cs="Times New Roman"/>
                <w:b/>
              </w:rPr>
              <w:t>8</w:t>
            </w:r>
            <w:r w:rsidRPr="001308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30808" w:rsidRPr="00A53EC3" w14:paraId="74A11E49" w14:textId="77777777" w:rsidTr="003871BF">
        <w:trPr>
          <w:trHeight w:val="318"/>
        </w:trPr>
        <w:tc>
          <w:tcPr>
            <w:tcW w:w="3539" w:type="dxa"/>
            <w:vMerge/>
            <w:shd w:val="clear" w:color="auto" w:fill="auto"/>
            <w:vAlign w:val="bottom"/>
          </w:tcPr>
          <w:p w14:paraId="759A1FFF" w14:textId="77777777" w:rsidR="00130808" w:rsidRPr="00130808" w:rsidRDefault="00130808" w:rsidP="001308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4CA7558" w14:textId="77777777" w:rsidR="00130808" w:rsidRPr="00146D16" w:rsidRDefault="00130808" w:rsidP="00146D16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46D16">
              <w:rPr>
                <w:rFonts w:ascii="Times New Roman" w:eastAsia="Times New Roman" w:hAnsi="Times New Roman" w:cs="Times New Roman"/>
              </w:rPr>
              <w:t>v €</w:t>
            </w:r>
          </w:p>
        </w:tc>
        <w:tc>
          <w:tcPr>
            <w:tcW w:w="1425" w:type="dxa"/>
            <w:shd w:val="clear" w:color="auto" w:fill="auto"/>
            <w:noWrap/>
          </w:tcPr>
          <w:p w14:paraId="5604869C" w14:textId="77777777" w:rsidR="00130808" w:rsidRPr="00146D16" w:rsidRDefault="00130808" w:rsidP="00146D16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46D16">
              <w:rPr>
                <w:rFonts w:ascii="Times New Roman" w:eastAsia="Times New Roman" w:hAnsi="Times New Roman" w:cs="Times New Roman"/>
              </w:rPr>
              <w:t>v €</w:t>
            </w:r>
          </w:p>
        </w:tc>
        <w:tc>
          <w:tcPr>
            <w:tcW w:w="1425" w:type="dxa"/>
            <w:shd w:val="clear" w:color="auto" w:fill="auto"/>
            <w:noWrap/>
          </w:tcPr>
          <w:p w14:paraId="06AD001E" w14:textId="77777777" w:rsidR="00130808" w:rsidRPr="00146D16" w:rsidRDefault="00130808" w:rsidP="00146D16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46D16">
              <w:rPr>
                <w:rFonts w:ascii="Times New Roman" w:eastAsia="Times New Roman" w:hAnsi="Times New Roman" w:cs="Times New Roman"/>
              </w:rPr>
              <w:t>v €</w:t>
            </w:r>
          </w:p>
        </w:tc>
        <w:tc>
          <w:tcPr>
            <w:tcW w:w="1426" w:type="dxa"/>
            <w:shd w:val="clear" w:color="auto" w:fill="auto"/>
          </w:tcPr>
          <w:p w14:paraId="35EA3286" w14:textId="77777777" w:rsidR="00130808" w:rsidRPr="00146D16" w:rsidRDefault="00130808" w:rsidP="00146D16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46D16">
              <w:rPr>
                <w:rFonts w:ascii="Times New Roman" w:eastAsia="Times New Roman" w:hAnsi="Times New Roman" w:cs="Times New Roman"/>
              </w:rPr>
              <w:t>v €</w:t>
            </w:r>
          </w:p>
        </w:tc>
      </w:tr>
      <w:tr w:rsidR="009E6CF6" w:rsidRPr="00A53EC3" w14:paraId="3872207F" w14:textId="77777777" w:rsidTr="003871BF">
        <w:trPr>
          <w:trHeight w:val="318"/>
        </w:trPr>
        <w:tc>
          <w:tcPr>
            <w:tcW w:w="3539" w:type="dxa"/>
            <w:shd w:val="clear" w:color="auto" w:fill="auto"/>
            <w:vAlign w:val="bottom"/>
            <w:hideMark/>
          </w:tcPr>
          <w:p w14:paraId="6413CE07" w14:textId="77777777" w:rsidR="009E6CF6" w:rsidRPr="00130808" w:rsidRDefault="009E6CF6">
            <w:pPr>
              <w:rPr>
                <w:rFonts w:ascii="Times New Roman" w:eastAsia="Times New Roman" w:hAnsi="Times New Roman" w:cs="Times New Roman"/>
              </w:rPr>
            </w:pPr>
            <w:r w:rsidRPr="00130808">
              <w:rPr>
                <w:rFonts w:ascii="Times New Roman" w:eastAsia="Times New Roman" w:hAnsi="Times New Roman" w:cs="Times New Roman"/>
              </w:rPr>
              <w:t>Op</w:t>
            </w:r>
            <w:r w:rsidR="008B3EDF">
              <w:rPr>
                <w:rFonts w:ascii="Times New Roman" w:eastAsia="Times New Roman" w:hAnsi="Times New Roman" w:cs="Times New Roman"/>
              </w:rPr>
              <w:t>atrovanie jednej FO s</w:t>
            </w:r>
            <w:r w:rsidR="00596AB3">
              <w:rPr>
                <w:rFonts w:ascii="Times New Roman" w:eastAsia="Times New Roman" w:hAnsi="Times New Roman" w:cs="Times New Roman"/>
              </w:rPr>
              <w:t> </w:t>
            </w:r>
            <w:r w:rsidR="008B3EDF">
              <w:rPr>
                <w:rFonts w:ascii="Times New Roman" w:eastAsia="Times New Roman" w:hAnsi="Times New Roman" w:cs="Times New Roman"/>
              </w:rPr>
              <w:t>ŤZP</w:t>
            </w:r>
            <w:r w:rsidR="00596AB3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6D3D7F4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lang w:eastAsia="sk-SK"/>
              </w:rPr>
              <w:t>17 508 000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8109DAE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lang w:eastAsia="sk-SK"/>
              </w:rPr>
              <w:t>44 265 600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07E0795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lang w:eastAsia="sk-SK"/>
              </w:rPr>
              <w:t>45 128 448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DF5C421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lang w:eastAsia="sk-SK"/>
              </w:rPr>
              <w:t>46 074 240</w:t>
            </w:r>
          </w:p>
        </w:tc>
      </w:tr>
      <w:tr w:rsidR="009E6CF6" w:rsidRPr="00A53EC3" w14:paraId="474C874B" w14:textId="77777777" w:rsidTr="003871BF">
        <w:trPr>
          <w:trHeight w:val="40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D55814E" w14:textId="77777777" w:rsidR="009E6CF6" w:rsidRPr="00130808" w:rsidRDefault="009E6CF6">
            <w:pPr>
              <w:rPr>
                <w:rFonts w:ascii="Times New Roman" w:eastAsia="Times New Roman" w:hAnsi="Times New Roman" w:cs="Times New Roman"/>
              </w:rPr>
            </w:pPr>
            <w:r w:rsidRPr="00130808">
              <w:rPr>
                <w:rFonts w:ascii="Times New Roman" w:eastAsia="Times New Roman" w:hAnsi="Times New Roman" w:cs="Times New Roman"/>
              </w:rPr>
              <w:t>Opatrova</w:t>
            </w:r>
            <w:r w:rsidR="008B3EDF">
              <w:rPr>
                <w:rFonts w:ascii="Times New Roman" w:eastAsia="Times New Roman" w:hAnsi="Times New Roman" w:cs="Times New Roman"/>
              </w:rPr>
              <w:t>nie dvoch a viac FO s</w:t>
            </w:r>
            <w:r w:rsidR="00596AB3">
              <w:rPr>
                <w:rFonts w:ascii="Times New Roman" w:eastAsia="Times New Roman" w:hAnsi="Times New Roman" w:cs="Times New Roman"/>
              </w:rPr>
              <w:t> </w:t>
            </w:r>
            <w:r w:rsidR="008B3EDF">
              <w:rPr>
                <w:rFonts w:ascii="Times New Roman" w:eastAsia="Times New Roman" w:hAnsi="Times New Roman" w:cs="Times New Roman"/>
              </w:rPr>
              <w:t>ŤZP</w:t>
            </w:r>
            <w:r w:rsidR="00596AB3">
              <w:rPr>
                <w:rFonts w:ascii="Times New Roman" w:eastAsia="Times New Roman" w:hAnsi="Times New Roman" w:cs="Times New Roman"/>
              </w:rPr>
              <w:t>*</w:t>
            </w:r>
            <w:r w:rsidRPr="001308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44E46A8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lang w:eastAsia="sk-SK"/>
              </w:rPr>
              <w:t>722 264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9F97325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lang w:eastAsia="sk-SK"/>
              </w:rPr>
              <w:t>1 837 819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1C343A9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lang w:eastAsia="sk-SK"/>
              </w:rPr>
              <w:t>1 942 205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B076F7A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lang w:eastAsia="sk-SK"/>
              </w:rPr>
              <w:t>2 005 469</w:t>
            </w:r>
          </w:p>
        </w:tc>
      </w:tr>
      <w:tr w:rsidR="009E6CF6" w:rsidRPr="00A53EC3" w14:paraId="25666EA1" w14:textId="77777777" w:rsidTr="003871BF">
        <w:trPr>
          <w:trHeight w:val="548"/>
        </w:trPr>
        <w:tc>
          <w:tcPr>
            <w:tcW w:w="3539" w:type="dxa"/>
            <w:shd w:val="clear" w:color="auto" w:fill="auto"/>
            <w:noWrap/>
            <w:vAlign w:val="bottom"/>
          </w:tcPr>
          <w:p w14:paraId="5DEF1845" w14:textId="77777777" w:rsidR="009E6CF6" w:rsidRPr="00130808" w:rsidRDefault="009E6CF6" w:rsidP="00146D16">
            <w:pPr>
              <w:rPr>
                <w:rFonts w:ascii="Times New Roman" w:eastAsia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Nárast finančných prostriedkov spolu v €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882E89B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96AB3">
              <w:rPr>
                <w:rFonts w:ascii="Times New Roman" w:hAnsi="Times New Roman" w:cs="Times New Roman"/>
                <w:b/>
                <w:bCs/>
              </w:rPr>
              <w:t>18 230 264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1225E79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46 103 419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E8F0B77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47 070 653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0B7C753" w14:textId="77777777" w:rsidR="009E6CF6" w:rsidRPr="00130808" w:rsidRDefault="00596AB3" w:rsidP="00146D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96AB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48 079 709</w:t>
            </w:r>
          </w:p>
        </w:tc>
      </w:tr>
    </w:tbl>
    <w:p w14:paraId="65AEE829" w14:textId="77777777" w:rsidR="009E6CF6" w:rsidRPr="003871BF" w:rsidRDefault="00596AB3" w:rsidP="009E6CF6">
      <w:pPr>
        <w:rPr>
          <w:rFonts w:ascii="Times New Roman" w:eastAsia="Times New Roman" w:hAnsi="Times New Roman" w:cs="Times New Roman"/>
          <w:lang w:eastAsia="sk-SK"/>
        </w:rPr>
      </w:pPr>
      <w:r w:rsidRPr="003871BF">
        <w:rPr>
          <w:rFonts w:ascii="Times New Roman" w:eastAsia="Times New Roman" w:hAnsi="Times New Roman" w:cs="Times New Roman"/>
          <w:lang w:eastAsia="sk-SK"/>
        </w:rPr>
        <w:t>*fyzická osoba s ťažkým zdravotným postihnutím</w:t>
      </w:r>
    </w:p>
    <w:p w14:paraId="020D51CA" w14:textId="77777777" w:rsidR="009E6CF6" w:rsidRPr="009F1621" w:rsidRDefault="009E6CF6" w:rsidP="009E6CF6">
      <w:pPr>
        <w:pStyle w:val="Bezriadkovania"/>
        <w:spacing w:after="0" w:line="240" w:lineRule="auto"/>
        <w:rPr>
          <w:rFonts w:ascii="Times New Roman" w:hAnsi="Times New Roman" w:cs="Times New Roman"/>
          <w:b/>
          <w:strike w:val="0"/>
          <w:sz w:val="24"/>
          <w:szCs w:val="24"/>
        </w:rPr>
      </w:pPr>
      <w:r w:rsidRPr="009F1621">
        <w:rPr>
          <w:rFonts w:ascii="Times New Roman" w:hAnsi="Times New Roman" w:cs="Times New Roman"/>
          <w:b/>
          <w:strike w:val="0"/>
          <w:sz w:val="24"/>
          <w:szCs w:val="24"/>
        </w:rPr>
        <w:t>Celkové finančné dopady v prípade valorizácie peňažného príspevku na opatrovanie ako aj valorizácie sadzby na jednu hodinu osobnej asistencie</w:t>
      </w:r>
      <w:r>
        <w:rPr>
          <w:rFonts w:ascii="Times New Roman" w:hAnsi="Times New Roman" w:cs="Times New Roman"/>
          <w:b/>
          <w:strike w:val="0"/>
          <w:sz w:val="24"/>
          <w:szCs w:val="24"/>
        </w:rPr>
        <w:t xml:space="preserve"> </w:t>
      </w:r>
    </w:p>
    <w:p w14:paraId="540768EE" w14:textId="77777777" w:rsidR="009E6CF6" w:rsidRPr="009F1621" w:rsidRDefault="009E6CF6" w:rsidP="009E6CF6">
      <w:pPr>
        <w:pStyle w:val="Bezriadkovania"/>
        <w:spacing w:after="0" w:line="240" w:lineRule="auto"/>
        <w:rPr>
          <w:rFonts w:ascii="Times New Roman" w:hAnsi="Times New Roman" w:cs="Times New Roman"/>
          <w:b/>
          <w:strike w:val="0"/>
          <w:sz w:val="24"/>
          <w:szCs w:val="24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130808" w:rsidRPr="009E7546" w14:paraId="47CFC758" w14:textId="77777777" w:rsidTr="00146D16">
        <w:trPr>
          <w:trHeight w:val="446"/>
        </w:trPr>
        <w:tc>
          <w:tcPr>
            <w:tcW w:w="3539" w:type="dxa"/>
            <w:vMerge w:val="restart"/>
            <w:shd w:val="clear" w:color="auto" w:fill="auto"/>
            <w:noWrap/>
            <w:vAlign w:val="center"/>
            <w:hideMark/>
          </w:tcPr>
          <w:p w14:paraId="3B51554B" w14:textId="77777777" w:rsidR="00130808" w:rsidRPr="00130808" w:rsidRDefault="00130808" w:rsidP="00146D16">
            <w:pPr>
              <w:rPr>
                <w:rFonts w:ascii="Times New Roman" w:hAnsi="Times New Roman" w:cs="Times New Roman"/>
                <w:b/>
                <w:bCs/>
              </w:rPr>
            </w:pPr>
            <w:r w:rsidRPr="00130808">
              <w:rPr>
                <w:rFonts w:ascii="Times New Roman" w:hAnsi="Times New Roman" w:cs="Times New Roman"/>
                <w:b/>
                <w:bCs/>
              </w:rPr>
              <w:t xml:space="preserve">Nárast finančných prostriedkov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41FF21" w14:textId="77777777" w:rsidR="00130808" w:rsidRPr="00130808" w:rsidRDefault="00130808" w:rsidP="001308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6AB3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308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E56983" w14:textId="77777777" w:rsidR="00130808" w:rsidRPr="00130808" w:rsidRDefault="00130808" w:rsidP="001308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6AB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0D75DF" w14:textId="77777777" w:rsidR="00130808" w:rsidRPr="00130808" w:rsidRDefault="00130808" w:rsidP="001308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6AB3">
              <w:rPr>
                <w:rFonts w:ascii="Times New Roman" w:eastAsia="Times New Roman" w:hAnsi="Times New Roman" w:cs="Times New Roman"/>
                <w:b/>
              </w:rPr>
              <w:t>7</w:t>
            </w:r>
            <w:r w:rsidRPr="001308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FB717" w14:textId="77777777" w:rsidR="00130808" w:rsidRPr="00130808" w:rsidRDefault="00130808" w:rsidP="001308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6AB3">
              <w:rPr>
                <w:rFonts w:ascii="Times New Roman" w:eastAsia="Times New Roman" w:hAnsi="Times New Roman" w:cs="Times New Roman"/>
                <w:b/>
              </w:rPr>
              <w:t>8</w:t>
            </w:r>
            <w:r w:rsidRPr="001308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30808" w:rsidRPr="009E7546" w14:paraId="4C199C70" w14:textId="77777777" w:rsidTr="00146D16">
        <w:trPr>
          <w:trHeight w:val="336"/>
        </w:trPr>
        <w:tc>
          <w:tcPr>
            <w:tcW w:w="3539" w:type="dxa"/>
            <w:vMerge/>
            <w:shd w:val="clear" w:color="auto" w:fill="auto"/>
            <w:vAlign w:val="center"/>
          </w:tcPr>
          <w:p w14:paraId="091F5A95" w14:textId="77777777" w:rsidR="00130808" w:rsidRPr="00130808" w:rsidRDefault="00130808" w:rsidP="0013080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2E2B0EB" w14:textId="77777777" w:rsidR="00130808" w:rsidRPr="00130808" w:rsidRDefault="00130808" w:rsidP="00130808">
            <w:pPr>
              <w:jc w:val="center"/>
            </w:pPr>
            <w:r w:rsidRPr="00130808">
              <w:rPr>
                <w:rFonts w:ascii="Times New Roman" w:eastAsia="Times New Roman" w:hAnsi="Times New Roman" w:cs="Times New Roman"/>
              </w:rPr>
              <w:t>v €</w:t>
            </w:r>
          </w:p>
        </w:tc>
        <w:tc>
          <w:tcPr>
            <w:tcW w:w="1417" w:type="dxa"/>
            <w:shd w:val="clear" w:color="auto" w:fill="auto"/>
            <w:noWrap/>
          </w:tcPr>
          <w:p w14:paraId="1DA9CFFC" w14:textId="77777777" w:rsidR="00130808" w:rsidRPr="00130808" w:rsidRDefault="00130808" w:rsidP="00130808">
            <w:pPr>
              <w:jc w:val="center"/>
            </w:pPr>
            <w:r w:rsidRPr="00130808">
              <w:rPr>
                <w:rFonts w:ascii="Times New Roman" w:eastAsia="Times New Roman" w:hAnsi="Times New Roman" w:cs="Times New Roman"/>
              </w:rPr>
              <w:t>v €</w:t>
            </w:r>
          </w:p>
        </w:tc>
        <w:tc>
          <w:tcPr>
            <w:tcW w:w="1418" w:type="dxa"/>
            <w:shd w:val="clear" w:color="auto" w:fill="auto"/>
            <w:noWrap/>
          </w:tcPr>
          <w:p w14:paraId="169CBB42" w14:textId="77777777" w:rsidR="00130808" w:rsidRPr="00130808" w:rsidRDefault="00130808" w:rsidP="00130808">
            <w:pPr>
              <w:jc w:val="center"/>
            </w:pPr>
            <w:r w:rsidRPr="00130808">
              <w:rPr>
                <w:rFonts w:ascii="Times New Roman" w:eastAsia="Times New Roman" w:hAnsi="Times New Roman" w:cs="Times New Roman"/>
              </w:rPr>
              <w:t>v €</w:t>
            </w:r>
          </w:p>
        </w:tc>
        <w:tc>
          <w:tcPr>
            <w:tcW w:w="1417" w:type="dxa"/>
            <w:shd w:val="clear" w:color="auto" w:fill="auto"/>
          </w:tcPr>
          <w:p w14:paraId="15C89C1C" w14:textId="77777777" w:rsidR="00130808" w:rsidRPr="00130808" w:rsidRDefault="00130808" w:rsidP="00130808">
            <w:pPr>
              <w:jc w:val="center"/>
            </w:pPr>
            <w:r w:rsidRPr="00130808">
              <w:rPr>
                <w:rFonts w:ascii="Times New Roman" w:eastAsia="Times New Roman" w:hAnsi="Times New Roman" w:cs="Times New Roman"/>
              </w:rPr>
              <w:t>v €</w:t>
            </w:r>
          </w:p>
        </w:tc>
      </w:tr>
      <w:tr w:rsidR="009E6CF6" w:rsidRPr="009E7546" w14:paraId="0F961793" w14:textId="77777777" w:rsidTr="00146D16">
        <w:trPr>
          <w:trHeight w:val="336"/>
        </w:trPr>
        <w:tc>
          <w:tcPr>
            <w:tcW w:w="3539" w:type="dxa"/>
            <w:shd w:val="clear" w:color="auto" w:fill="auto"/>
            <w:vAlign w:val="center"/>
          </w:tcPr>
          <w:p w14:paraId="0D934C5B" w14:textId="77777777" w:rsidR="009E6CF6" w:rsidRPr="00130808" w:rsidRDefault="009E6CF6" w:rsidP="00146D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0808">
              <w:rPr>
                <w:rFonts w:ascii="Times New Roman" w:hAnsi="Times New Roman" w:cs="Times New Roman"/>
                <w:bCs/>
              </w:rPr>
              <w:t>Peňažný príspevok na opatrovanie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E50677" w14:textId="77777777" w:rsidR="009E6CF6" w:rsidRPr="00130808" w:rsidRDefault="00596AB3" w:rsidP="00146D1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96AB3">
              <w:rPr>
                <w:rFonts w:ascii="Times New Roman" w:hAnsi="Times New Roman" w:cs="Times New Roman"/>
                <w:bCs/>
              </w:rPr>
              <w:t>18 230 264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35E10A" w14:textId="77777777" w:rsidR="009E6CF6" w:rsidRPr="00130808" w:rsidRDefault="00596AB3" w:rsidP="00146D1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96AB3">
              <w:rPr>
                <w:rFonts w:ascii="Times New Roman" w:eastAsia="Times New Roman" w:hAnsi="Times New Roman" w:cs="Times New Roman"/>
                <w:bCs/>
                <w:lang w:eastAsia="sk-SK"/>
              </w:rPr>
              <w:t>46 103 419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07265B" w14:textId="77777777" w:rsidR="009E6CF6" w:rsidRPr="00130808" w:rsidRDefault="00596AB3" w:rsidP="00146D1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96AB3">
              <w:rPr>
                <w:rFonts w:ascii="Times New Roman" w:eastAsia="Times New Roman" w:hAnsi="Times New Roman" w:cs="Times New Roman"/>
                <w:bCs/>
                <w:lang w:eastAsia="sk-SK"/>
              </w:rPr>
              <w:t>47 070 653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575649" w14:textId="77777777" w:rsidR="009E6CF6" w:rsidRPr="00130808" w:rsidRDefault="00596AB3" w:rsidP="00146D1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96AB3">
              <w:rPr>
                <w:rFonts w:ascii="Times New Roman" w:eastAsia="Times New Roman" w:hAnsi="Times New Roman" w:cs="Times New Roman"/>
                <w:bCs/>
                <w:lang w:eastAsia="sk-SK"/>
              </w:rPr>
              <w:t>48 079 709</w:t>
            </w:r>
          </w:p>
        </w:tc>
      </w:tr>
      <w:tr w:rsidR="009E6CF6" w:rsidRPr="009E7546" w14:paraId="6A517E65" w14:textId="77777777" w:rsidTr="00146D16">
        <w:trPr>
          <w:trHeight w:val="336"/>
        </w:trPr>
        <w:tc>
          <w:tcPr>
            <w:tcW w:w="3539" w:type="dxa"/>
            <w:shd w:val="clear" w:color="auto" w:fill="auto"/>
            <w:vAlign w:val="center"/>
          </w:tcPr>
          <w:p w14:paraId="0C1308FE" w14:textId="77777777" w:rsidR="009E6CF6" w:rsidRPr="00130808" w:rsidRDefault="009E6CF6" w:rsidP="00146D16">
            <w:pPr>
              <w:rPr>
                <w:rFonts w:ascii="Times New Roman" w:hAnsi="Times New Roman" w:cs="Times New Roman"/>
                <w:bCs/>
              </w:rPr>
            </w:pPr>
            <w:r w:rsidRPr="00130808">
              <w:rPr>
                <w:rFonts w:ascii="Times New Roman" w:hAnsi="Times New Roman" w:cs="Times New Roman"/>
                <w:bCs/>
              </w:rPr>
              <w:t>Peňažný príspevok na osobnú asistenciu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14CC0A7" w14:textId="16C99528" w:rsidR="009E6CF6" w:rsidRPr="00130808" w:rsidRDefault="006D73D3" w:rsidP="00146D1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D73D3">
              <w:rPr>
                <w:rFonts w:ascii="Times New Roman" w:hAnsi="Times New Roman" w:cs="Times New Roman"/>
                <w:bCs/>
              </w:rPr>
              <w:t>3 972 150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87B258" w14:textId="4E6BDD32" w:rsidR="009E6CF6" w:rsidRPr="00130808" w:rsidRDefault="006D73D3" w:rsidP="00146D1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D73D3">
              <w:rPr>
                <w:rFonts w:ascii="Times New Roman" w:hAnsi="Times New Roman" w:cs="Times New Roman"/>
                <w:bCs/>
              </w:rPr>
              <w:t>9 791 964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D18E1E" w14:textId="1B11B3D0" w:rsidR="009E6CF6" w:rsidRPr="00130808" w:rsidRDefault="006D73D3" w:rsidP="00146D1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D73D3">
              <w:rPr>
                <w:rFonts w:ascii="Times New Roman" w:hAnsi="Times New Roman" w:cs="Times New Roman"/>
                <w:bCs/>
              </w:rPr>
              <w:t>10 108 426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45FEEB" w14:textId="112BF494" w:rsidR="009E6CF6" w:rsidRPr="00130808" w:rsidRDefault="006D73D3" w:rsidP="00146D1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D73D3">
              <w:rPr>
                <w:rFonts w:ascii="Times New Roman" w:hAnsi="Times New Roman" w:cs="Times New Roman"/>
                <w:bCs/>
              </w:rPr>
              <w:t>10 408 507</w:t>
            </w:r>
          </w:p>
        </w:tc>
      </w:tr>
      <w:tr w:rsidR="009E6CF6" w:rsidRPr="009E7546" w14:paraId="7FDF831C" w14:textId="77777777" w:rsidTr="00146D16">
        <w:trPr>
          <w:trHeight w:val="336"/>
        </w:trPr>
        <w:tc>
          <w:tcPr>
            <w:tcW w:w="3539" w:type="dxa"/>
            <w:shd w:val="clear" w:color="auto" w:fill="auto"/>
            <w:vAlign w:val="center"/>
          </w:tcPr>
          <w:p w14:paraId="536AE0CD" w14:textId="77777777" w:rsidR="009E6CF6" w:rsidRPr="00130808" w:rsidRDefault="009E6CF6" w:rsidP="00146D16">
            <w:pPr>
              <w:rPr>
                <w:rFonts w:ascii="Times New Roman" w:hAnsi="Times New Roman" w:cs="Times New Roman"/>
                <w:b/>
              </w:rPr>
            </w:pPr>
            <w:r w:rsidRPr="00130808">
              <w:rPr>
                <w:rFonts w:ascii="Times New Roman" w:hAnsi="Times New Roman" w:cs="Times New Roman"/>
                <w:b/>
              </w:rPr>
              <w:t xml:space="preserve">Celkový nárast finančných prostriedkov  v </w:t>
            </w:r>
            <w:r w:rsidRPr="00130808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63EF8D5" w14:textId="5E528637" w:rsidR="009E6CF6" w:rsidRPr="00130808" w:rsidRDefault="006D73D3" w:rsidP="00146D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73D3">
              <w:rPr>
                <w:rFonts w:ascii="Times New Roman" w:eastAsia="Times New Roman" w:hAnsi="Times New Roman" w:cs="Times New Roman"/>
                <w:b/>
                <w:lang w:eastAsia="sk-SK"/>
              </w:rPr>
              <w:t>22 202 414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DCCD7B" w14:textId="1EF3CB84" w:rsidR="009E6CF6" w:rsidRPr="00130808" w:rsidRDefault="006D73D3" w:rsidP="00146D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73D3">
              <w:rPr>
                <w:rFonts w:ascii="Times New Roman" w:eastAsia="Times New Roman" w:hAnsi="Times New Roman" w:cs="Times New Roman"/>
                <w:b/>
                <w:lang w:eastAsia="sk-SK"/>
              </w:rPr>
              <w:t>55 895 383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C3DA2C" w14:textId="0ADC5873" w:rsidR="009E6CF6" w:rsidRPr="00130808" w:rsidRDefault="006D73D3" w:rsidP="00146D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73D3">
              <w:rPr>
                <w:rFonts w:ascii="Times New Roman" w:eastAsia="Times New Roman" w:hAnsi="Times New Roman" w:cs="Times New Roman"/>
                <w:b/>
                <w:lang w:eastAsia="sk-SK"/>
              </w:rPr>
              <w:t>57 179 079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95B8CD" w14:textId="4239F81D" w:rsidR="009E6CF6" w:rsidRPr="00130808" w:rsidRDefault="006D73D3" w:rsidP="00146D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73D3">
              <w:rPr>
                <w:rFonts w:ascii="Times New Roman" w:eastAsia="Times New Roman" w:hAnsi="Times New Roman" w:cs="Times New Roman"/>
                <w:b/>
                <w:lang w:eastAsia="sk-SK"/>
              </w:rPr>
              <w:t>58 488 216</w:t>
            </w:r>
          </w:p>
        </w:tc>
      </w:tr>
    </w:tbl>
    <w:p w14:paraId="3CB5C614" w14:textId="1AB49219" w:rsidR="007D5748" w:rsidRDefault="007D5748" w:rsidP="0078105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7CBF50" w14:textId="77777777" w:rsidR="00334FE6" w:rsidRDefault="00334FE6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C435EE" w14:textId="77777777" w:rsidR="00596AB3" w:rsidRDefault="00596AB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255CB71" w14:textId="77777777" w:rsidR="00596AB3" w:rsidRDefault="00596AB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6AA20B" w14:textId="77777777" w:rsidR="00130808" w:rsidRPr="00B73935" w:rsidRDefault="00130808" w:rsidP="00130808">
      <w:pPr>
        <w:pStyle w:val="Bezriadkovania"/>
        <w:spacing w:after="0" w:line="240" w:lineRule="auto"/>
        <w:jc w:val="both"/>
        <w:rPr>
          <w:rFonts w:ascii="Times New Roman" w:hAnsi="Times New Roman" w:cs="Times New Roman"/>
          <w:strike w:val="0"/>
          <w:sz w:val="24"/>
          <w:szCs w:val="24"/>
        </w:rPr>
      </w:pPr>
      <w:r w:rsidRPr="00B73935">
        <w:rPr>
          <w:rFonts w:ascii="Times New Roman" w:hAnsi="Times New Roman" w:cs="Times New Roman"/>
          <w:strike w:val="0"/>
          <w:sz w:val="24"/>
          <w:szCs w:val="24"/>
        </w:rPr>
        <w:t>Pri odhade vplyvu na rozpočet verejnej správy boli zohľadnené nasledovné ukazovatele:</w:t>
      </w:r>
    </w:p>
    <w:p w14:paraId="65D73A5D" w14:textId="77777777" w:rsidR="00130808" w:rsidRDefault="00130808" w:rsidP="00130808">
      <w:pPr>
        <w:pStyle w:val="xxmsonormal"/>
        <w:spacing w:before="0" w:beforeAutospacing="0" w:after="0" w:afterAutospacing="0"/>
        <w:jc w:val="both"/>
      </w:pPr>
      <w:r w:rsidRPr="00411250">
        <w:t xml:space="preserve">     </w:t>
      </w:r>
    </w:p>
    <w:p w14:paraId="0CE6EEBC" w14:textId="77777777" w:rsidR="00130808" w:rsidRPr="00411250" w:rsidRDefault="00130808" w:rsidP="00130808">
      <w:pPr>
        <w:pStyle w:val="xxmsonormal"/>
        <w:spacing w:before="0" w:beforeAutospacing="0" w:after="0" w:afterAutospacing="0"/>
        <w:ind w:firstLine="708"/>
        <w:jc w:val="both"/>
      </w:pPr>
      <w:r w:rsidRPr="00411250">
        <w:rPr>
          <w:iCs/>
        </w:rPr>
        <w:t xml:space="preserve">Pri odhade počtu poberateľov, ktorých sa navrhované zmeny dotknú boli zohľadnené údaje o vývoji počtu poberateľov peňažných príspevkov na kompenzáciu čerpané z IS RSD MIS.                                                                                                                                                                          </w:t>
      </w:r>
      <w:r w:rsidRPr="00411250">
        <w:t xml:space="preserve">       </w:t>
      </w:r>
    </w:p>
    <w:p w14:paraId="126159D2" w14:textId="77777777" w:rsidR="00130808" w:rsidRDefault="00130808" w:rsidP="00130808">
      <w:pPr>
        <w:pStyle w:val="xxmsonormal"/>
        <w:spacing w:before="0" w:beforeAutospacing="0" w:after="0" w:afterAutospacing="0"/>
        <w:jc w:val="both"/>
      </w:pPr>
      <w:r w:rsidRPr="00411250">
        <w:t xml:space="preserve">     </w:t>
      </w:r>
      <w:r>
        <w:tab/>
      </w:r>
      <w:r w:rsidRPr="00411250">
        <w:t>Významný vplyv na nárast počtu poberateľov peňažného príspevku na opatrovanie mali legislatívne zmeny, ktoré s účinnosťou od 1.7.2018 priniesli nielen zvýšenie hranice ochrany príjmu opatrovanej fyzickej osoby s ťažkým zdravotným postihnutím, ale aj výraznejšie zvýšenie peňažného príspevku na opatrovanie. Od roku 2018 až do súčasného obdobia pretrváva rast počtu poberateľov tohto peňažného príspevku, aj keď sa v roku 2020 a najmä v roku 2021 zmiernil v dôsledku pandémie Covid-19. V roku 2020 v porovnaní s rokom 2019 predstavoval medz</w:t>
      </w:r>
      <w:r w:rsidR="00876F3F">
        <w:t xml:space="preserve">iročný nárast </w:t>
      </w:r>
      <w:r w:rsidR="00876F3F" w:rsidRPr="00B17A70">
        <w:t xml:space="preserve">priemerného mesačného počtu poberateľov </w:t>
      </w:r>
      <w:r w:rsidR="00876F3F">
        <w:t>o  4 686 poberateľov</w:t>
      </w:r>
      <w:r w:rsidRPr="00411250">
        <w:t xml:space="preserve">. </w:t>
      </w:r>
      <w:r w:rsidRPr="00B17A70">
        <w:t>V roku 2022 v porovnaní s rokom 2021</w:t>
      </w:r>
      <w:r w:rsidR="00876F3F">
        <w:t xml:space="preserve"> predstavoval</w:t>
      </w:r>
      <w:r w:rsidRPr="00B17A70">
        <w:t xml:space="preserve"> medziročný nárast priemerného mesačného počtu poberateľov o</w:t>
      </w:r>
      <w:r w:rsidR="00876F3F">
        <w:t> </w:t>
      </w:r>
      <w:r w:rsidRPr="00B17A70">
        <w:t>632</w:t>
      </w:r>
      <w:r w:rsidR="00876F3F">
        <w:t xml:space="preserve"> poberateľov</w:t>
      </w:r>
      <w:r w:rsidRPr="00B17A70">
        <w:t xml:space="preserve">. </w:t>
      </w:r>
      <w:r>
        <w:t xml:space="preserve">V roku 2023 v porovnaní s rokom </w:t>
      </w:r>
      <w:r w:rsidR="00876F3F">
        <w:t>2022 predstavoval</w:t>
      </w:r>
      <w:r>
        <w:t xml:space="preserve"> medziročný nárast priemerného mesačného počtu poberateľov o</w:t>
      </w:r>
      <w:r w:rsidR="00876F3F">
        <w:t> 2 734 poberateľov.</w:t>
      </w:r>
      <w:r w:rsidR="00596AB3">
        <w:t xml:space="preserve"> V roku 2024 v porovnaní s rokom 2023 predstavoval medziročný nárast priemerného mesačného počtu poberateľov o</w:t>
      </w:r>
      <w:r w:rsidR="003E1356">
        <w:t> 4 353 poberateľov.</w:t>
      </w:r>
      <w:r w:rsidR="00876F3F">
        <w:t xml:space="preserve"> </w:t>
      </w:r>
      <w:r w:rsidRPr="00B17A70">
        <w:t>V predloženom odhad</w:t>
      </w:r>
      <w:r>
        <w:t>e počtu poberateľov na roky 202</w:t>
      </w:r>
      <w:r w:rsidR="00596AB3">
        <w:t>5</w:t>
      </w:r>
      <w:r w:rsidRPr="00B17A70">
        <w:t xml:space="preserve"> až 202</w:t>
      </w:r>
      <w:r w:rsidR="00596AB3">
        <w:t>8</w:t>
      </w:r>
      <w:r w:rsidRPr="00B17A70">
        <w:t>, na ktorých bude mať vplyv navrhovaná zmena je zohľadnený predpokladaný n</w:t>
      </w:r>
      <w:r>
        <w:t xml:space="preserve">árast  počtu nových poberateľov. </w:t>
      </w:r>
      <w:r w:rsidRPr="00B17A70">
        <w:t> </w:t>
      </w:r>
      <w:r w:rsidRPr="008B227B">
        <w:t xml:space="preserve">     </w:t>
      </w:r>
      <w:r>
        <w:t xml:space="preserve">    </w:t>
      </w:r>
    </w:p>
    <w:p w14:paraId="3BBF979E" w14:textId="77777777" w:rsidR="00596AB3" w:rsidRDefault="00596AB3" w:rsidP="00130808">
      <w:pPr>
        <w:pStyle w:val="xxmsonormal"/>
        <w:spacing w:before="0" w:beforeAutospacing="0" w:after="0" w:afterAutospacing="0"/>
        <w:jc w:val="both"/>
      </w:pPr>
    </w:p>
    <w:p w14:paraId="4028696E" w14:textId="77777777" w:rsidR="00130808" w:rsidRDefault="00130808" w:rsidP="00130808">
      <w:pPr>
        <w:pStyle w:val="xxmsonormal"/>
        <w:spacing w:before="0" w:beforeAutospacing="0" w:after="0" w:afterAutospacing="0"/>
        <w:jc w:val="both"/>
      </w:pPr>
      <w:r>
        <w:t xml:space="preserve">     </w:t>
      </w:r>
      <w:r>
        <w:tab/>
      </w:r>
      <w:r w:rsidRPr="00411250">
        <w:t>U poberateľov peňažného príspevku na osobnú asistenciu pretrváva za obdobie niekoľkých rokov nárast počtu poberateľov. Predpokladáme jeho zotrvanie aj v</w:t>
      </w:r>
      <w:r>
        <w:t xml:space="preserve"> nasledujúcom období </w:t>
      </w:r>
      <w:r w:rsidRPr="00411250">
        <w:t>v dôsledku pozitívnych legislatívnych zmien. Súčasne predpokladáme vstup nových poberateľov</w:t>
      </w:r>
      <w:r w:rsidR="00876F3F">
        <w:t>, ktorí splnia zákonom stanovené</w:t>
      </w:r>
      <w:r w:rsidRPr="00411250">
        <w:t xml:space="preserve"> podmienky</w:t>
      </w:r>
      <w:r w:rsidR="00876F3F">
        <w:t xml:space="preserve"> pre poskytnutie peňažného príspevku na osobnú asistenciu</w:t>
      </w:r>
      <w:r w:rsidRPr="00411250">
        <w:t xml:space="preserve"> a ešte nevyužili možnosť požiadať o peňažný príspevok.</w:t>
      </w:r>
      <w:r>
        <w:t xml:space="preserve"> Pri peňažnom príspevku na osobnú asistenciu sme vychádzali z predpokladu, že bude naďalej pretrvávať priemerný mesačný rozsah osobnej asistencie poskytnutej poberateľovi tohto peňažného príspevku v rozsahu cca 140 hodín mesačne.</w:t>
      </w:r>
    </w:p>
    <w:p w14:paraId="6961836A" w14:textId="77777777" w:rsidR="00876F3F" w:rsidRDefault="00876F3F" w:rsidP="00130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FB6D45" w14:textId="77777777" w:rsidR="00130808" w:rsidRPr="00411250" w:rsidRDefault="00876F3F" w:rsidP="00130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30808" w:rsidRPr="00411250">
        <w:rPr>
          <w:rFonts w:ascii="Times New Roman" w:eastAsia="Times New Roman" w:hAnsi="Times New Roman" w:cs="Times New Roman"/>
          <w:sz w:val="24"/>
          <w:szCs w:val="24"/>
          <w:lang w:eastAsia="sk-SK"/>
        </w:rPr>
        <w:t>Vplyvy na roky 202</w:t>
      </w:r>
      <w:r w:rsidR="003E135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30808" w:rsidRPr="004112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202</w:t>
      </w:r>
      <w:r w:rsidR="003E1356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130808" w:rsidRPr="004112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odhadované za obdobie zodpovedajúce navrhovanej účinnosti legislatívnych zmien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 účinnosťou </w:t>
      </w:r>
      <w:r w:rsidR="00130808" w:rsidRPr="00411250">
        <w:rPr>
          <w:rFonts w:ascii="Times New Roman" w:eastAsia="Times New Roman" w:hAnsi="Times New Roman" w:cs="Times New Roman"/>
          <w:sz w:val="24"/>
          <w:szCs w:val="24"/>
          <w:lang w:eastAsia="sk-SK"/>
        </w:rPr>
        <w:t>od 1. 7. 202</w:t>
      </w:r>
      <w:r w:rsidR="003E135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30808" w:rsidRPr="0041125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49BE242" w14:textId="77777777" w:rsidR="00130808" w:rsidRPr="0018068D" w:rsidRDefault="00130808" w:rsidP="00130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5B43D0EC" w14:textId="77777777" w:rsidR="00130808" w:rsidRPr="007B7470" w:rsidRDefault="0013080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B2CA7F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D0F3F0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CF1E80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075F3162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27144178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6321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ECDD7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F83BA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6AD0CC3E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51F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F635FF" w14:textId="77777777" w:rsidR="003408F5" w:rsidRPr="007B7470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823E5E" w14:textId="77777777" w:rsidR="003408F5" w:rsidRPr="007B7470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9F87F9" w14:textId="77777777" w:rsidR="003408F5" w:rsidRPr="007B7470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01D9D" w14:textId="77777777" w:rsidR="003408F5" w:rsidRPr="007B7470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F2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347411F2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5D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40D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0701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34D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FA1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22F7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A98B6E9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45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2267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0E1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BCCB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A71E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1C0A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204C6E14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63B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63A4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9AC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F322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2A6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AC32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95D6B02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CBB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B64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7AF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460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652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EC23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77E50B89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9F4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D16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DBA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100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CAE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E15B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0E5C4F0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88E17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6FE3F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A66B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93FD8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713B8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005283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9C1130A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1F04370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FC003EC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046362A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73CC8C7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9367FD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D3FCD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198208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255D2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874314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947E36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BAC7A3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89B93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94514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FEA46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4F6B3B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758CC8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4AAD2C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64C23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C7B41A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F92415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8E17DC0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23BDC07D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A1EBB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DDAC5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28868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13C40A90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E2DF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870DB1" w14:textId="77777777" w:rsidR="007D5748" w:rsidRPr="007B7470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24FD6C" w14:textId="77777777" w:rsidR="007D5748" w:rsidRPr="007B7470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ABB9A" w14:textId="77777777" w:rsidR="007D5748" w:rsidRPr="007B7470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9BD299" w14:textId="77777777" w:rsidR="007D5748" w:rsidRPr="007B7470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EE4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876F3F" w:rsidRPr="007B7470" w14:paraId="6CEEDA29" w14:textId="77777777" w:rsidTr="00146D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7F3" w14:textId="77777777" w:rsidR="00876F3F" w:rsidRPr="007B7470" w:rsidRDefault="00876F3F" w:rsidP="00876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039D" w14:textId="4F682D4F" w:rsidR="00876F3F" w:rsidRPr="00876F3F" w:rsidRDefault="006D73D3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D73D3">
              <w:rPr>
                <w:rFonts w:ascii="Times New Roman" w:hAnsi="Times New Roman" w:cs="Times New Roman"/>
                <w:b/>
              </w:rPr>
              <w:t>22 202 414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56BD0" w14:textId="6A9F057D" w:rsidR="00876F3F" w:rsidRPr="00876F3F" w:rsidRDefault="006D73D3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D73D3">
              <w:rPr>
                <w:rFonts w:ascii="Times New Roman" w:hAnsi="Times New Roman" w:cs="Times New Roman"/>
                <w:b/>
              </w:rPr>
              <w:t>55 895 383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D2DD" w14:textId="71A28BC9" w:rsidR="00876F3F" w:rsidRPr="00876F3F" w:rsidRDefault="006D73D3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D73D3">
              <w:rPr>
                <w:rFonts w:ascii="Times New Roman" w:eastAsia="Times New Roman" w:hAnsi="Times New Roman" w:cs="Times New Roman"/>
                <w:b/>
                <w:lang w:eastAsia="sk-SK"/>
              </w:rPr>
              <w:t>57 179 079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735A" w14:textId="03D99622" w:rsidR="00876F3F" w:rsidRPr="00876F3F" w:rsidRDefault="006D73D3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D73D3">
              <w:rPr>
                <w:rFonts w:ascii="Times New Roman" w:hAnsi="Times New Roman" w:cs="Times New Roman"/>
                <w:b/>
              </w:rPr>
              <w:t>58 488 216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12255" w14:textId="77777777" w:rsidR="00876F3F" w:rsidRPr="007B7470" w:rsidRDefault="00876F3F" w:rsidP="008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76F3F" w:rsidRPr="007B7470" w14:paraId="60CAA58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B72" w14:textId="77777777" w:rsidR="00876F3F" w:rsidRPr="007B7470" w:rsidRDefault="00876F3F" w:rsidP="008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4E454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84208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A0CBE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94B6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0F317" w14:textId="77777777" w:rsidR="00876F3F" w:rsidRPr="007B7470" w:rsidRDefault="00876F3F" w:rsidP="008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76F3F" w:rsidRPr="007B7470" w14:paraId="3EFB2CA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726" w14:textId="77777777" w:rsidR="00876F3F" w:rsidRPr="007B7470" w:rsidRDefault="00876F3F" w:rsidP="008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6058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ED41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B5EC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8FA5F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9EDF8" w14:textId="77777777" w:rsidR="00876F3F" w:rsidRPr="007B7470" w:rsidRDefault="00876F3F" w:rsidP="008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76F3F" w:rsidRPr="007B7470" w14:paraId="558C4D0C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7356" w14:textId="77777777" w:rsidR="00876F3F" w:rsidRPr="007B7470" w:rsidRDefault="00876F3F" w:rsidP="008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9490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64EDA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C250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249F" w14:textId="77777777" w:rsidR="00876F3F" w:rsidRPr="007B7470" w:rsidRDefault="00876F3F" w:rsidP="008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BB785" w14:textId="77777777" w:rsidR="00876F3F" w:rsidRPr="007B7470" w:rsidRDefault="00876F3F" w:rsidP="008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1356" w:rsidRPr="007B7470" w14:paraId="4BC45FC9" w14:textId="77777777" w:rsidTr="00146D1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623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</w:t>
            </w:r>
            <w:r w:rsidRPr="00F019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640)</w:t>
            </w:r>
            <w:r w:rsidRPr="00F019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237CEF" w:rsidRPr="00F019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="00237CEF" w:rsidRPr="00F019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642027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068D9" w14:textId="4D61506C" w:rsidR="003E1356" w:rsidRPr="00876F3F" w:rsidRDefault="006D73D3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D73D3">
              <w:rPr>
                <w:rFonts w:ascii="Times New Roman" w:hAnsi="Times New Roman" w:cs="Times New Roman"/>
                <w:b/>
              </w:rPr>
              <w:t>22 202 414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2627" w14:textId="2957104F" w:rsidR="003E1356" w:rsidRPr="00876F3F" w:rsidRDefault="006D73D3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D73D3">
              <w:rPr>
                <w:rFonts w:ascii="Times New Roman" w:hAnsi="Times New Roman" w:cs="Times New Roman"/>
                <w:b/>
              </w:rPr>
              <w:t>55 895 383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5E11" w14:textId="0C196EB5" w:rsidR="003E1356" w:rsidRPr="00876F3F" w:rsidRDefault="006D73D3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D73D3">
              <w:rPr>
                <w:rFonts w:ascii="Times New Roman" w:eastAsia="Times New Roman" w:hAnsi="Times New Roman" w:cs="Times New Roman"/>
                <w:b/>
                <w:lang w:eastAsia="sk-SK"/>
              </w:rPr>
              <w:t>57 179 079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78FC" w14:textId="46B8DE96" w:rsidR="003E1356" w:rsidRPr="00876F3F" w:rsidRDefault="006D73D3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D73D3">
              <w:rPr>
                <w:rFonts w:ascii="Times New Roman" w:hAnsi="Times New Roman" w:cs="Times New Roman"/>
                <w:b/>
              </w:rPr>
              <w:t>58 488 216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227F9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1356" w:rsidRPr="007B7470" w14:paraId="0104F20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8440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D6A1C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8C5D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9D9C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82AA3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87533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1356" w:rsidRPr="007B7470" w14:paraId="7C619D4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1D7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5D325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1EFCE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A8F9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42AF3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0ABF4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1356" w:rsidRPr="007B7470" w14:paraId="7F1AACE5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337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80BC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7845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0F651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62FA9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F1CA4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1356" w:rsidRPr="007B7470" w14:paraId="5ED9030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988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1187D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54456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B5150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B3B23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875BA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1356" w:rsidRPr="007B7470" w14:paraId="739AEAF0" w14:textId="77777777" w:rsidTr="000B14E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F63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411D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E1CE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87CF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E04D" w14:textId="77777777" w:rsidR="003E1356" w:rsidRPr="007B7470" w:rsidRDefault="003E1356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EA41F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1356" w:rsidRPr="007B7470" w14:paraId="5620DBF9" w14:textId="77777777" w:rsidTr="000B14E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3E370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9090A" w14:textId="3D3FE940" w:rsidR="003E1356" w:rsidRPr="00876F3F" w:rsidRDefault="00AF05DE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F05DE">
              <w:rPr>
                <w:rFonts w:ascii="Times New Roman" w:hAnsi="Times New Roman" w:cs="Times New Roman"/>
                <w:b/>
              </w:rPr>
              <w:t>22 202 414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CBE2A" w14:textId="57E3FE09" w:rsidR="003E1356" w:rsidRPr="00876F3F" w:rsidRDefault="00AF05DE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F05DE">
              <w:rPr>
                <w:rFonts w:ascii="Times New Roman" w:hAnsi="Times New Roman" w:cs="Times New Roman"/>
                <w:b/>
              </w:rPr>
              <w:t>55 895 383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84313" w14:textId="60958B8A" w:rsidR="003E1356" w:rsidRPr="00876F3F" w:rsidRDefault="00AF05DE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F05DE">
              <w:rPr>
                <w:rFonts w:ascii="Times New Roman" w:eastAsia="Times New Roman" w:hAnsi="Times New Roman" w:cs="Times New Roman"/>
                <w:b/>
                <w:lang w:eastAsia="sk-SK"/>
              </w:rPr>
              <w:t>57 179 079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22065F" w14:textId="64171907" w:rsidR="003E1356" w:rsidRPr="00876F3F" w:rsidRDefault="00AF05DE" w:rsidP="003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F05DE">
              <w:rPr>
                <w:rFonts w:ascii="Times New Roman" w:hAnsi="Times New Roman" w:cs="Times New Roman"/>
                <w:b/>
              </w:rPr>
              <w:t>58 488 216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05B3584" w14:textId="77777777" w:rsidR="003E1356" w:rsidRPr="007B7470" w:rsidRDefault="003E1356" w:rsidP="003E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5A3C330" w14:textId="77777777" w:rsidR="007D5748" w:rsidRPr="00891D0E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891D0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3683D93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B30BF1C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182094DA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4FB367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464D00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8CF50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A1FE7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DACEA8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DAE5D8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4753D1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C676D36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6D5AD3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E63403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0A470DF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F8B200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757D673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FCADF0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4DA126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D01394F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3006C94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751D1F3F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5264BA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EE9D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8CE43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14:paraId="78B665B2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4B655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13E439" w14:textId="77777777" w:rsidR="00440A16" w:rsidRPr="007B7470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27369A" w14:textId="77777777" w:rsidR="00440A16" w:rsidRPr="007B7470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6667E5" w14:textId="77777777" w:rsidR="00440A16" w:rsidRPr="007B7470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AC8DA4" w14:textId="77777777" w:rsidR="00440A16" w:rsidRPr="00876F3F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876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A810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6F74B82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F7C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DF83A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9B0B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0C3E5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80C4D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C8CDD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6949EB" w:rsidRPr="007B7470" w14:paraId="1E52D306" w14:textId="77777777" w:rsidTr="00F019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D09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AD0B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52B0" w14:textId="1AF1C895" w:rsidR="006949EB" w:rsidRPr="007B7470" w:rsidRDefault="00AF05DE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AF05DE">
              <w:rPr>
                <w:rFonts w:ascii="Times New Roman" w:hAnsi="Times New Roman" w:cs="Times New Roman"/>
                <w:b/>
              </w:rPr>
              <w:t>55 895 383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2604" w14:textId="40807413" w:rsidR="006949EB" w:rsidRPr="007B7470" w:rsidRDefault="00AF05DE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AF05DE">
              <w:rPr>
                <w:rFonts w:ascii="Times New Roman" w:eastAsia="Times New Roman" w:hAnsi="Times New Roman" w:cs="Times New Roman"/>
                <w:b/>
                <w:lang w:eastAsia="sk-SK"/>
              </w:rPr>
              <w:t>57 179 079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5FDD" w14:textId="29691CBE" w:rsidR="006949EB" w:rsidRPr="007B7470" w:rsidRDefault="00AF05DE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AF05DE">
              <w:rPr>
                <w:rFonts w:ascii="Times New Roman" w:hAnsi="Times New Roman" w:cs="Times New Roman"/>
                <w:b/>
              </w:rPr>
              <w:t>58 488 216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8773A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949EB" w:rsidRPr="007B7470" w14:paraId="7704860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6AF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58AE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F4A2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DA7F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A0656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20709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949EB" w:rsidRPr="007B7470" w14:paraId="63964D70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A95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F16CA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A3A38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8537B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7670E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967F8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949EB" w:rsidRPr="007B7470" w14:paraId="22F0679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24F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3466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513A2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EFAF5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38F6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BF26F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949EB" w:rsidRPr="007B7470" w14:paraId="4BA5AA98" w14:textId="77777777" w:rsidTr="00F019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878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</w:t>
            </w:r>
            <w:r w:rsidRPr="00F019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(640)</w:t>
            </w:r>
            <w:r w:rsidRPr="00F019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167EFC" w:rsidRPr="00F019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="00167EFC" w:rsidRPr="00F019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642027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A1C5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FE46" w14:textId="43EDA6FD" w:rsidR="006949EB" w:rsidRPr="007B7470" w:rsidRDefault="00AF05DE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F05DE">
              <w:rPr>
                <w:rFonts w:ascii="Times New Roman" w:hAnsi="Times New Roman" w:cs="Times New Roman"/>
                <w:b/>
              </w:rPr>
              <w:t>55 895 383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29913" w14:textId="0D0640B9" w:rsidR="006949EB" w:rsidRPr="007B7470" w:rsidRDefault="00AF05DE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F05DE">
              <w:rPr>
                <w:rFonts w:ascii="Times New Roman" w:eastAsia="Times New Roman" w:hAnsi="Times New Roman" w:cs="Times New Roman"/>
                <w:b/>
                <w:lang w:eastAsia="sk-SK"/>
              </w:rPr>
              <w:t>57 179 079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38FB" w14:textId="48A8C123" w:rsidR="006949EB" w:rsidRPr="007B7470" w:rsidRDefault="00AF05DE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F05DE">
              <w:rPr>
                <w:rFonts w:ascii="Times New Roman" w:hAnsi="Times New Roman" w:cs="Times New Roman"/>
                <w:b/>
              </w:rPr>
              <w:t>58 488 216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1CF2D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949EB" w:rsidRPr="007B7470" w14:paraId="749AD2F1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A5E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971F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B6B55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18B5F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CA023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85CBE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6949EB" w:rsidRPr="007B7470" w14:paraId="5D8FCA3A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5F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A4C09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3DE19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1CFA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08FFE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0CFC7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949EB" w:rsidRPr="007B7470" w14:paraId="2057EC7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11A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7112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9BED7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B2F52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484F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9F1A5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949EB" w:rsidRPr="007B7470" w14:paraId="7D23B9E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498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3A38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71FA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5292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88135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1A3C0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949EB" w:rsidRPr="007B7470" w14:paraId="238BEE3A" w14:textId="77777777" w:rsidTr="00F0190A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9F420F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61863" w14:textId="77777777" w:rsidR="006949EB" w:rsidRPr="007B7470" w:rsidRDefault="006949EB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D246C3" w14:textId="664F839B" w:rsidR="006949EB" w:rsidRPr="007B7470" w:rsidRDefault="00AF05DE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AF05DE">
              <w:rPr>
                <w:rFonts w:ascii="Times New Roman" w:hAnsi="Times New Roman" w:cs="Times New Roman"/>
                <w:b/>
              </w:rPr>
              <w:t>55 895 383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17489" w14:textId="2897E596" w:rsidR="006949EB" w:rsidRPr="007B7470" w:rsidRDefault="00AF05DE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AF05DE">
              <w:rPr>
                <w:rFonts w:ascii="Times New Roman" w:eastAsia="Times New Roman" w:hAnsi="Times New Roman" w:cs="Times New Roman"/>
                <w:b/>
                <w:lang w:eastAsia="sk-SK"/>
              </w:rPr>
              <w:t>57 179 079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10B9D5" w14:textId="0F2C1114" w:rsidR="006949EB" w:rsidRPr="007B7470" w:rsidRDefault="00AF05DE" w:rsidP="0069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AF05DE">
              <w:rPr>
                <w:rFonts w:ascii="Times New Roman" w:hAnsi="Times New Roman" w:cs="Times New Roman"/>
                <w:b/>
              </w:rPr>
              <w:t>58 488 216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5B60934" w14:textId="77777777" w:rsidR="006949EB" w:rsidRPr="007B7470" w:rsidRDefault="006949EB" w:rsidP="0069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4A3EF4D8" w14:textId="77777777" w:rsidR="003408F5" w:rsidRPr="00891D0E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891D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891D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891D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891D0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0586B06C" w14:textId="77777777" w:rsidR="00167EFC" w:rsidRDefault="00167EFC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B2AD782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559A5983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1D68D4C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B7962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30766E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03698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3F3860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06A9B3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4D1FF9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747704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AAAB8D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2811B2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DFB1F8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5F543A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D312DC4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2B598B6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BB0562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6E626C8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66A8FD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11DD685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</w:t>
      </w:r>
    </w:p>
    <w:p w14:paraId="10BB7FDD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28A0425C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5091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D9AB7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93C95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4A8A6A5F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E93E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C952D" w14:textId="77777777" w:rsidR="007D5748" w:rsidRPr="007B7470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93C925" w14:textId="77777777" w:rsidR="007D5748" w:rsidRPr="007B7470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987C91" w14:textId="77777777" w:rsidR="007D5748" w:rsidRPr="007B7470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EF7E59" w14:textId="77777777" w:rsidR="007D5748" w:rsidRPr="007B7470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E1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EF49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1595DC5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1B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D63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551D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AEB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50F4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8C3A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546B47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08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2E8F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FD09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2765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3C67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2C18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0AC001D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55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F043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BB7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1F6B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2713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E47A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A5044D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6F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E91D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78A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321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D3C4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D8BF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7EA914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6E0DE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172A6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C3B8E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99EBF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EE98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050D43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803D4F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E2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035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D14A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DA5B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BBC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031D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AC3303D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6B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DDB0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8768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205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452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AC98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953744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45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612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2E4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ABE0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8D0A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9AD1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BFC68A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E7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1722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105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04A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E1E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7FCD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6F3FD4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6A0C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21C2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DD5C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04C6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FDBF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676A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5CC3223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9476CBE" w14:textId="77777777"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3B5D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342C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5D86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C013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8A44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45C7CE81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50388F1" w14:textId="77777777"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3A968E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A609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4E0BA5D8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A024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7433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9E5B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DECA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E622A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CBB8E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4807EA1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086E019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4FF15B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EAF478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B17336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9DD3BC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5D0832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B4531D0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894B19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B6D83BD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 </w:t>
      </w:r>
    </w:p>
    <w:p w14:paraId="03639EA3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1FC996CD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AB0A2C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23B1E957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5180A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0C15C8A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364DACDE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1507D3E8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6859207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3E3FF2A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04A99B6D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CED883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1F8F1EA4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09734B2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3CD7691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C4A73B8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F46018F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5BB688C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2A48F136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79BC5E5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4A7D17B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C0379C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C62DCB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7BB59F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978073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CB9ADA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76840312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4B5A67F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6653C6F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705208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ABE1F0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ABA3C8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5B08B6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0E0435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39347EE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4176B8A8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0296ED4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318C9D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90497F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60470BE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09FFAE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46937E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43B3E38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CEAC21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66AE5A4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528B174D" w14:textId="00DBE301" w:rsidR="002B63FD" w:rsidRPr="00F0190A" w:rsidRDefault="002B63FD" w:rsidP="00F0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F0190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14:paraId="19A721DA" w14:textId="77777777" w:rsidR="00CB3623" w:rsidRPr="00A738C0" w:rsidRDefault="00CB3623" w:rsidP="00C907F4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9769B" w14:textId="77777777" w:rsidR="00402E6C" w:rsidRDefault="00402E6C">
      <w:pPr>
        <w:spacing w:after="0" w:line="240" w:lineRule="auto"/>
      </w:pPr>
      <w:r>
        <w:separator/>
      </w:r>
    </w:p>
  </w:endnote>
  <w:endnote w:type="continuationSeparator" w:id="0">
    <w:p w14:paraId="766EEF07" w14:textId="77777777" w:rsidR="00402E6C" w:rsidRDefault="0040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B6EB2" w14:textId="77777777" w:rsidR="005F6E52" w:rsidRDefault="005F6E5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9D28053" w14:textId="77777777" w:rsidR="005F6E52" w:rsidRDefault="005F6E5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A394" w14:textId="543D102F" w:rsidR="005F6E52" w:rsidRDefault="005F6E5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F78AF">
      <w:rPr>
        <w:noProof/>
      </w:rPr>
      <w:t>1</w:t>
    </w:r>
    <w:r>
      <w:fldChar w:fldCharType="end"/>
    </w:r>
  </w:p>
  <w:p w14:paraId="6B156C75" w14:textId="77777777" w:rsidR="005F6E52" w:rsidRDefault="005F6E5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26050" w14:textId="77777777" w:rsidR="005F6E52" w:rsidRDefault="005F6E5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20C5988F" w14:textId="77777777" w:rsidR="005F6E52" w:rsidRDefault="005F6E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BA706" w14:textId="77777777" w:rsidR="00402E6C" w:rsidRDefault="00402E6C">
      <w:pPr>
        <w:spacing w:after="0" w:line="240" w:lineRule="auto"/>
      </w:pPr>
      <w:r>
        <w:separator/>
      </w:r>
    </w:p>
  </w:footnote>
  <w:footnote w:type="continuationSeparator" w:id="0">
    <w:p w14:paraId="042DC783" w14:textId="77777777" w:rsidR="00402E6C" w:rsidRDefault="0040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26FB" w14:textId="77777777" w:rsidR="005F6E52" w:rsidRDefault="005F6E5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C8B2387" w14:textId="77777777" w:rsidR="005F6E52" w:rsidRPr="00EB59C8" w:rsidRDefault="005F6E52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A4788" w14:textId="77777777" w:rsidR="005F6E52" w:rsidRPr="0024067A" w:rsidRDefault="005F6E52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289A" w14:textId="77777777" w:rsidR="005F6E52" w:rsidRPr="000A15AE" w:rsidRDefault="005F6E5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57135"/>
    <w:rsid w:val="00057CF2"/>
    <w:rsid w:val="00087A66"/>
    <w:rsid w:val="000B14E4"/>
    <w:rsid w:val="000B509B"/>
    <w:rsid w:val="000B5F9C"/>
    <w:rsid w:val="000F00DA"/>
    <w:rsid w:val="00100111"/>
    <w:rsid w:val="001127A8"/>
    <w:rsid w:val="00116F99"/>
    <w:rsid w:val="00130808"/>
    <w:rsid w:val="00146D16"/>
    <w:rsid w:val="00167EFC"/>
    <w:rsid w:val="00170D2B"/>
    <w:rsid w:val="001743F1"/>
    <w:rsid w:val="001923A4"/>
    <w:rsid w:val="001C721D"/>
    <w:rsid w:val="001F5D86"/>
    <w:rsid w:val="001F624A"/>
    <w:rsid w:val="00200898"/>
    <w:rsid w:val="00212894"/>
    <w:rsid w:val="002135D4"/>
    <w:rsid w:val="002177DB"/>
    <w:rsid w:val="00222237"/>
    <w:rsid w:val="002309F4"/>
    <w:rsid w:val="00237CEF"/>
    <w:rsid w:val="002B5AD4"/>
    <w:rsid w:val="002B63FD"/>
    <w:rsid w:val="00302979"/>
    <w:rsid w:val="00304143"/>
    <w:rsid w:val="00313170"/>
    <w:rsid w:val="00317B90"/>
    <w:rsid w:val="00334FE6"/>
    <w:rsid w:val="003408F5"/>
    <w:rsid w:val="00373990"/>
    <w:rsid w:val="003871BF"/>
    <w:rsid w:val="0039347F"/>
    <w:rsid w:val="003B7684"/>
    <w:rsid w:val="003C5D33"/>
    <w:rsid w:val="003D12A6"/>
    <w:rsid w:val="003E1356"/>
    <w:rsid w:val="003E31E0"/>
    <w:rsid w:val="003F35B7"/>
    <w:rsid w:val="00402E6C"/>
    <w:rsid w:val="0042480F"/>
    <w:rsid w:val="00440A16"/>
    <w:rsid w:val="00446310"/>
    <w:rsid w:val="00447C49"/>
    <w:rsid w:val="00473BD3"/>
    <w:rsid w:val="00474F11"/>
    <w:rsid w:val="00487203"/>
    <w:rsid w:val="004A4209"/>
    <w:rsid w:val="004D169C"/>
    <w:rsid w:val="004E5E76"/>
    <w:rsid w:val="005005EC"/>
    <w:rsid w:val="005307FC"/>
    <w:rsid w:val="0053794F"/>
    <w:rsid w:val="00553992"/>
    <w:rsid w:val="005665FF"/>
    <w:rsid w:val="00592E96"/>
    <w:rsid w:val="00596AB3"/>
    <w:rsid w:val="005B051A"/>
    <w:rsid w:val="005C1A2B"/>
    <w:rsid w:val="005E3699"/>
    <w:rsid w:val="005F2ACA"/>
    <w:rsid w:val="005F6E52"/>
    <w:rsid w:val="006605C0"/>
    <w:rsid w:val="006949EB"/>
    <w:rsid w:val="006A2947"/>
    <w:rsid w:val="006A50D6"/>
    <w:rsid w:val="006D73D3"/>
    <w:rsid w:val="006F78AF"/>
    <w:rsid w:val="007149A8"/>
    <w:rsid w:val="00716FC2"/>
    <w:rsid w:val="007246BD"/>
    <w:rsid w:val="00727689"/>
    <w:rsid w:val="0077530D"/>
    <w:rsid w:val="0078105B"/>
    <w:rsid w:val="00781EBD"/>
    <w:rsid w:val="00782B91"/>
    <w:rsid w:val="00785085"/>
    <w:rsid w:val="007B7470"/>
    <w:rsid w:val="007D5748"/>
    <w:rsid w:val="008205B7"/>
    <w:rsid w:val="00832D80"/>
    <w:rsid w:val="00852A9E"/>
    <w:rsid w:val="00876F3F"/>
    <w:rsid w:val="00891D0E"/>
    <w:rsid w:val="00893B20"/>
    <w:rsid w:val="00893B76"/>
    <w:rsid w:val="00897BE7"/>
    <w:rsid w:val="008B3EDF"/>
    <w:rsid w:val="008D339D"/>
    <w:rsid w:val="008E2736"/>
    <w:rsid w:val="008E29B3"/>
    <w:rsid w:val="009043E9"/>
    <w:rsid w:val="00915337"/>
    <w:rsid w:val="00943733"/>
    <w:rsid w:val="00945A2A"/>
    <w:rsid w:val="009706B7"/>
    <w:rsid w:val="00971CD3"/>
    <w:rsid w:val="009B2BE1"/>
    <w:rsid w:val="009B6952"/>
    <w:rsid w:val="009E6CF6"/>
    <w:rsid w:val="00A72E75"/>
    <w:rsid w:val="00A738C0"/>
    <w:rsid w:val="00A82EFF"/>
    <w:rsid w:val="00AB5919"/>
    <w:rsid w:val="00AF05DE"/>
    <w:rsid w:val="00B15B33"/>
    <w:rsid w:val="00B42CAF"/>
    <w:rsid w:val="00B5535C"/>
    <w:rsid w:val="00B801BA"/>
    <w:rsid w:val="00B92F23"/>
    <w:rsid w:val="00BB2D48"/>
    <w:rsid w:val="00C15212"/>
    <w:rsid w:val="00C15D88"/>
    <w:rsid w:val="00C16C1B"/>
    <w:rsid w:val="00C171CA"/>
    <w:rsid w:val="00C171F9"/>
    <w:rsid w:val="00C455E9"/>
    <w:rsid w:val="00C51FD4"/>
    <w:rsid w:val="00C611AD"/>
    <w:rsid w:val="00C64BDB"/>
    <w:rsid w:val="00C653D7"/>
    <w:rsid w:val="00C907F4"/>
    <w:rsid w:val="00C90E4B"/>
    <w:rsid w:val="00C91C41"/>
    <w:rsid w:val="00CA18F2"/>
    <w:rsid w:val="00CA6599"/>
    <w:rsid w:val="00CB04E9"/>
    <w:rsid w:val="00CB3623"/>
    <w:rsid w:val="00CC0E46"/>
    <w:rsid w:val="00CE299A"/>
    <w:rsid w:val="00CE359E"/>
    <w:rsid w:val="00CF2489"/>
    <w:rsid w:val="00CF2C35"/>
    <w:rsid w:val="00D200BE"/>
    <w:rsid w:val="00D638F5"/>
    <w:rsid w:val="00D673C5"/>
    <w:rsid w:val="00D7236A"/>
    <w:rsid w:val="00D85029"/>
    <w:rsid w:val="00D9171A"/>
    <w:rsid w:val="00D922E5"/>
    <w:rsid w:val="00DA0708"/>
    <w:rsid w:val="00DA0F9A"/>
    <w:rsid w:val="00DB45DF"/>
    <w:rsid w:val="00DE04C5"/>
    <w:rsid w:val="00DE5BF1"/>
    <w:rsid w:val="00E03AFA"/>
    <w:rsid w:val="00E07CE9"/>
    <w:rsid w:val="00E4770B"/>
    <w:rsid w:val="00E517D9"/>
    <w:rsid w:val="00E669AC"/>
    <w:rsid w:val="00E9429F"/>
    <w:rsid w:val="00E963A3"/>
    <w:rsid w:val="00EA1E90"/>
    <w:rsid w:val="00EC4A22"/>
    <w:rsid w:val="00ED2B29"/>
    <w:rsid w:val="00EE0CA3"/>
    <w:rsid w:val="00EE28EB"/>
    <w:rsid w:val="00F0190A"/>
    <w:rsid w:val="00F03306"/>
    <w:rsid w:val="00F03AD5"/>
    <w:rsid w:val="00F14B80"/>
    <w:rsid w:val="00F20986"/>
    <w:rsid w:val="00F2530E"/>
    <w:rsid w:val="00F348E6"/>
    <w:rsid w:val="00F40136"/>
    <w:rsid w:val="00FB4A4A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D9D8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basedOn w:val="Normlny"/>
    <w:uiPriority w:val="1"/>
    <w:qFormat/>
    <w:rsid w:val="009E6CF6"/>
    <w:rPr>
      <w:rFonts w:ascii="Calibri" w:eastAsia="Times New Roman" w:hAnsi="Calibri" w:cs="Calibri"/>
      <w:strike/>
    </w:rPr>
  </w:style>
  <w:style w:type="paragraph" w:customStyle="1" w:styleId="xxmsonormal">
    <w:name w:val="x_x_msonormal"/>
    <w:basedOn w:val="Normlny"/>
    <w:rsid w:val="0013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B2B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2B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2B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2B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2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7027DFB-05CE-4FD2-9420-50165922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Minarovýchová Viera</cp:lastModifiedBy>
  <cp:revision>3</cp:revision>
  <cp:lastPrinted>2025-04-14T08:02:00Z</cp:lastPrinted>
  <dcterms:created xsi:type="dcterms:W3CDTF">2025-05-22T06:44:00Z</dcterms:created>
  <dcterms:modified xsi:type="dcterms:W3CDTF">2025-05-22T08:12:00Z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