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4D34" w14:textId="77777777"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C194D35" w14:textId="4622E57D" w:rsidR="001B23B7" w:rsidRPr="006045CB" w:rsidRDefault="00113AE4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14:paraId="7C194D36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7C194D3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C194D3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7C194D3A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C194D39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7C194D3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7C194D3C" w14:textId="5921CDB6" w:rsidR="001B23B7" w:rsidRPr="00B043B4" w:rsidRDefault="00AA488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4472">
              <w:rPr>
                <w:rFonts w:ascii="Times New Roman" w:hAnsi="Times New Roman" w:cs="Times New Roman"/>
              </w:rPr>
              <w:t xml:space="preserve">Návrh nariadenia vlády Slovenskej republiky, ktorým sa ustanovuje výška sadzby na jednu hodinu osobnej asistencie a výška peňažného príspevku na opatrovanie </w:t>
            </w:r>
          </w:p>
        </w:tc>
      </w:tr>
      <w:tr w:rsidR="001B23B7" w:rsidRPr="00B043B4" w14:paraId="7C194D3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C194D3E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F03CDF" w:rsidRPr="00B043B4" w14:paraId="7C194D4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F934D" w14:textId="77777777" w:rsidR="00F03CDF" w:rsidRPr="0056047A" w:rsidRDefault="00F03CDF" w:rsidP="00F03CDF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6047A">
              <w:rPr>
                <w:rFonts w:ascii="Times New Roman" w:eastAsia="Times New Roman" w:hAnsi="Times New Roman" w:cs="Times New Roman"/>
                <w:lang w:eastAsia="sk-SK"/>
              </w:rPr>
              <w:t>Ministerstvo práce, sociálnych vecí a rodiny Slovenskej republiky</w:t>
            </w:r>
          </w:p>
          <w:p w14:paraId="7C194D41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3CDF" w:rsidRPr="00B043B4" w14:paraId="7C194D46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C194D43" w14:textId="77777777" w:rsidR="00F03CDF" w:rsidRPr="00B043B4" w:rsidRDefault="00F03CDF" w:rsidP="00F03CD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C194D44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45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F03CDF" w:rsidRPr="00B043B4" w14:paraId="7C194D4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C194D47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C194D48" w14:textId="68E9C344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C194D49" w14:textId="77777777" w:rsidR="00F03CDF" w:rsidRPr="00B043B4" w:rsidRDefault="00F03CDF" w:rsidP="00F03CDF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F03CDF" w:rsidRPr="00B043B4" w14:paraId="7C194D4E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7C194D4B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C194D4C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C194D4D" w14:textId="1465BC3F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2105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/implementácia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09363E" w:rsidRPr="00B043B4" w14:paraId="7C194D5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3BC8BFBB" w14:textId="77777777" w:rsidR="0009363E" w:rsidRPr="00612E08" w:rsidRDefault="0009363E" w:rsidP="000936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  <w:p w14:paraId="7C194D50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9363E" w:rsidRPr="00B043B4" w14:paraId="7C194D54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2" w14:textId="77777777" w:rsidR="0009363E" w:rsidRPr="00B043B4" w:rsidRDefault="0009363E" w:rsidP="0009363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D53" w14:textId="4ADE379F" w:rsidR="0009363E" w:rsidRPr="00891CFA" w:rsidRDefault="0009363E" w:rsidP="0009363E">
            <w:pPr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sk-SK"/>
              </w:rPr>
            </w:pPr>
          </w:p>
        </w:tc>
      </w:tr>
      <w:tr w:rsidR="0009363E" w:rsidRPr="00B043B4" w14:paraId="7C194D57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5" w14:textId="77777777" w:rsidR="0009363E" w:rsidRPr="00B043B4" w:rsidRDefault="0009363E" w:rsidP="0009363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36B" w14:textId="77777777" w:rsidR="0009363E" w:rsidRPr="00891CFA" w:rsidRDefault="0009363E" w:rsidP="0009363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</w:p>
          <w:p w14:paraId="7C194D56" w14:textId="4CAE9478" w:rsidR="0009363E" w:rsidRPr="00891CFA" w:rsidRDefault="0009363E" w:rsidP="0009363E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Apríl 2025</w:t>
            </w:r>
          </w:p>
        </w:tc>
      </w:tr>
      <w:tr w:rsidR="0009363E" w:rsidRPr="00B043B4" w14:paraId="7C194D5A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8" w14:textId="77777777" w:rsidR="0009363E" w:rsidRPr="00B043B4" w:rsidRDefault="0009363E" w:rsidP="0009363E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D59" w14:textId="767C3790" w:rsidR="0009363E" w:rsidRPr="00891CFA" w:rsidRDefault="0009363E" w:rsidP="0009363E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</w:p>
        </w:tc>
      </w:tr>
      <w:tr w:rsidR="0009363E" w:rsidRPr="00B043B4" w14:paraId="7C194D5D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B" w14:textId="77777777" w:rsidR="0009363E" w:rsidRPr="00B043B4" w:rsidRDefault="0009363E" w:rsidP="0009363E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D5C" w14:textId="60829E4D" w:rsidR="0009363E" w:rsidRPr="00891CFA" w:rsidRDefault="0009363E" w:rsidP="0009363E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Máj 2025</w:t>
            </w:r>
          </w:p>
        </w:tc>
      </w:tr>
      <w:tr w:rsidR="0009363E" w:rsidRPr="00B043B4" w14:paraId="7C194D5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C51540" w14:textId="77777777" w:rsidR="0009363E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C194D5E" w14:textId="5AC5C936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9363E" w:rsidRPr="00B043B4" w14:paraId="7C194D6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60" w14:textId="77777777" w:rsidR="0009363E" w:rsidRPr="00B043B4" w:rsidRDefault="0009363E" w:rsidP="0009363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09363E" w:rsidRPr="00B043B4" w14:paraId="7C194D64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62" w14:textId="1D6A762C" w:rsidR="0009363E" w:rsidRDefault="0009363E" w:rsidP="0009363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2E65B819" w14:textId="483EA61B" w:rsidR="0009363E" w:rsidRPr="00F44316" w:rsidRDefault="0009363E" w:rsidP="0009363E">
            <w:pPr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F44316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   </w:t>
            </w:r>
            <w:r w:rsidRPr="00F44316">
              <w:rPr>
                <w:rFonts w:ascii="Times New Roman" w:hAnsi="Times New Roman" w:cs="Times New Roman"/>
                <w:bCs/>
              </w:rPr>
              <w:t xml:space="preserve">Novelou zákona č. 447/2008 Z. z. o peňažných príspevkoch na kompenzáciu ťažkého zdravotného postihnutia a o zmene a doplnení niektorých zákonov v znení neskorších predpisov </w:t>
            </w:r>
            <w:r w:rsidRPr="00D42267">
              <w:rPr>
                <w:rFonts w:ascii="Times New Roman" w:hAnsi="Times New Roman" w:cs="Times New Roman"/>
                <w:bCs/>
              </w:rPr>
              <w:t>(ďalej „zákon“)</w:t>
            </w:r>
            <w:r w:rsidRPr="00F44316">
              <w:rPr>
                <w:rFonts w:ascii="Times New Roman" w:hAnsi="Times New Roman" w:cs="Times New Roman"/>
                <w:bCs/>
              </w:rPr>
              <w:t xml:space="preserve"> boli s účinnosťou od 1. júla 2018 sadzba na jednu hodinu osobnej asistencie a výšky peňažného príspevku na opatrovanie vyňaté z nastavenia ich valorizácie v závislosti od valorizácie súm životného minima a ustanovil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F44316">
              <w:rPr>
                <w:rFonts w:ascii="Times New Roman" w:hAnsi="Times New Roman" w:cs="Times New Roman"/>
                <w:bCs/>
              </w:rPr>
              <w:t xml:space="preserve"> sa ich výšky pevnou sumou s možnosťou vždy k 1. júlu ich upraviť nariadením vlády Slovenskej republiky. Účelom tejto zmeny bolo umožniť výraznejšie upraviť uvedené výšky s cieľom eliminovať pokles ich reálnej hodnoty v čase z dôvodu pôsobenia inflácie. Ak by dochádzalo k znižovaniu reálnej hodnoty sadzby na jednu hodinu osobnej asistencie a reálnej hodnoty výšky peňažného príspevku na opatrovanie, znižovala by sa motivácia fyzických osôb poskytovať osobnú asistenciu a opatrovanie, čo by mohlo mať negatívny sociálny vplyv na fyzické osoby s ťažkým zdravotným postihnutím. </w:t>
            </w:r>
            <w:r w:rsidRPr="006B04DB">
              <w:rPr>
                <w:rFonts w:ascii="Times New Roman" w:hAnsi="Times New Roman" w:cs="Times New Roman"/>
                <w:bCs/>
              </w:rPr>
              <w:t>Keďže sadzba na jednu hodinu osobnej asistencie</w:t>
            </w:r>
            <w:r w:rsidRPr="00F44316">
              <w:rPr>
                <w:rFonts w:ascii="Times New Roman" w:hAnsi="Times New Roman" w:cs="Times New Roman"/>
                <w:bCs/>
              </w:rPr>
              <w:t xml:space="preserve"> a výšky peňažného príspevku na opatrovanie nie sú predmetom automatického valorizačného mechanizmu, boli od uvedenej legislatívnej zmeny</w:t>
            </w:r>
            <w:r>
              <w:rPr>
                <w:rFonts w:ascii="Times New Roman" w:hAnsi="Times New Roman" w:cs="Times New Roman"/>
                <w:bCs/>
              </w:rPr>
              <w:t xml:space="preserve"> opakovane v rokoch 2019 až 2024</w:t>
            </w:r>
            <w:r w:rsidRPr="00F44316">
              <w:rPr>
                <w:rFonts w:ascii="Times New Roman" w:hAnsi="Times New Roman" w:cs="Times New Roman"/>
                <w:bCs/>
              </w:rPr>
              <w:t xml:space="preserve"> nariadeniami vlády Slovenskej republiky ich výšky zvyšované v nadväznosti na úpravu minimálnej mz</w:t>
            </w:r>
            <w:r>
              <w:rPr>
                <w:rFonts w:ascii="Times New Roman" w:hAnsi="Times New Roman" w:cs="Times New Roman"/>
                <w:bCs/>
              </w:rPr>
              <w:t>dy pre dané roky. Aj v roku 2025</w:t>
            </w:r>
            <w:r w:rsidRPr="00F443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sa výška </w:t>
            </w:r>
            <w:r w:rsidRPr="00F44316">
              <w:rPr>
                <w:rFonts w:ascii="Times New Roman" w:hAnsi="Times New Roman" w:cs="Times New Roman"/>
                <w:bCs/>
              </w:rPr>
              <w:t>peňažn</w:t>
            </w:r>
            <w:r>
              <w:rPr>
                <w:rFonts w:ascii="Times New Roman" w:hAnsi="Times New Roman" w:cs="Times New Roman"/>
                <w:bCs/>
              </w:rPr>
              <w:t>ého</w:t>
            </w:r>
            <w:r w:rsidRPr="00F44316">
              <w:rPr>
                <w:rFonts w:ascii="Times New Roman" w:hAnsi="Times New Roman" w:cs="Times New Roman"/>
                <w:bCs/>
              </w:rPr>
              <w:t xml:space="preserve"> príspev</w:t>
            </w:r>
            <w:r>
              <w:rPr>
                <w:rFonts w:ascii="Times New Roman" w:hAnsi="Times New Roman" w:cs="Times New Roman"/>
                <w:bCs/>
              </w:rPr>
              <w:t>ku</w:t>
            </w:r>
            <w:r w:rsidRPr="00F44316">
              <w:rPr>
                <w:rFonts w:ascii="Times New Roman" w:hAnsi="Times New Roman" w:cs="Times New Roman"/>
                <w:bCs/>
              </w:rPr>
              <w:t xml:space="preserve"> na opatrovanie</w:t>
            </w:r>
            <w:r>
              <w:rPr>
                <w:rFonts w:ascii="Times New Roman" w:hAnsi="Times New Roman" w:cs="Times New Roman"/>
                <w:bCs/>
              </w:rPr>
              <w:t xml:space="preserve"> pri opatrovaní jednej fyzickej osoby s ťažkým zdravotným postihnutím </w:t>
            </w:r>
            <w:r w:rsidRPr="00F44316">
              <w:rPr>
                <w:rFonts w:ascii="Times New Roman" w:hAnsi="Times New Roman" w:cs="Times New Roman"/>
                <w:bCs/>
              </w:rPr>
              <w:t>navrhuje zvýšiť na sumu čistej minimálnej mzdy pre rok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44316">
              <w:rPr>
                <w:rFonts w:ascii="Times New Roman" w:hAnsi="Times New Roman" w:cs="Times New Roman"/>
                <w:bCs/>
              </w:rPr>
              <w:t xml:space="preserve"> a sadzba na jednu hodinu osobnej asistencie</w:t>
            </w:r>
            <w:r>
              <w:rPr>
                <w:rFonts w:ascii="Times New Roman" w:hAnsi="Times New Roman" w:cs="Times New Roman"/>
                <w:bCs/>
              </w:rPr>
              <w:t xml:space="preserve"> sa navrhuje zvýšiť</w:t>
            </w:r>
            <w:r w:rsidRPr="00F44316">
              <w:rPr>
                <w:rFonts w:ascii="Times New Roman" w:hAnsi="Times New Roman" w:cs="Times New Roman"/>
                <w:bCs/>
              </w:rPr>
              <w:t xml:space="preserve"> v nadväznosti na </w:t>
            </w:r>
            <w:r>
              <w:rPr>
                <w:rFonts w:ascii="Times New Roman" w:hAnsi="Times New Roman" w:cs="Times New Roman"/>
                <w:bCs/>
              </w:rPr>
              <w:t xml:space="preserve">hrubú </w:t>
            </w:r>
            <w:r w:rsidRPr="00F44316">
              <w:rPr>
                <w:rFonts w:ascii="Times New Roman" w:hAnsi="Times New Roman" w:cs="Times New Roman"/>
                <w:bCs/>
              </w:rPr>
              <w:t>hodinovú minimálnu mzdu pre uvedený rok.</w:t>
            </w:r>
          </w:p>
          <w:p w14:paraId="7C194D63" w14:textId="5C7BD8BB" w:rsidR="0009363E" w:rsidRPr="00B043B4" w:rsidRDefault="0009363E" w:rsidP="0009363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44316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  </w:t>
            </w:r>
          </w:p>
        </w:tc>
      </w:tr>
      <w:tr w:rsidR="0009363E" w:rsidRPr="00B043B4" w14:paraId="7C194D6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65" w14:textId="77777777" w:rsidR="0009363E" w:rsidRPr="00B043B4" w:rsidRDefault="0009363E" w:rsidP="0009363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09363E" w:rsidRPr="00B043B4" w14:paraId="7C194D69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67" w14:textId="182907CD" w:rsidR="0009363E" w:rsidRDefault="0009363E" w:rsidP="000936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</w:t>
            </w:r>
          </w:p>
          <w:p w14:paraId="1225754A" w14:textId="77777777" w:rsidR="0009363E" w:rsidRDefault="0009363E" w:rsidP="0009363E">
            <w:pPr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   Cieľom z</w:t>
            </w:r>
            <w:r w:rsidRPr="00892D1B">
              <w:rPr>
                <w:rFonts w:ascii="Times New Roman" w:eastAsia="Times New Roman" w:hAnsi="Times New Roman" w:cs="Times New Roman"/>
                <w:iCs/>
                <w:lang w:eastAsia="sk-SK"/>
              </w:rPr>
              <w:t>výšen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ia</w:t>
            </w:r>
            <w:r w:rsidRPr="00892D1B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sadzby na jednu hodinu osobnej asistencie a zvýšen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ia</w:t>
            </w:r>
            <w:r w:rsidRPr="00892D1B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obidvoch</w:t>
            </w:r>
            <w:r w:rsidRPr="00892D1B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výšok peňažného príspevku na opatrovanie je zlepšiť podmienky pre 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fyzické </w:t>
            </w:r>
            <w:r w:rsidRPr="00892D1B">
              <w:rPr>
                <w:rFonts w:ascii="Times New Roman" w:eastAsia="Times New Roman" w:hAnsi="Times New Roman" w:cs="Times New Roman"/>
                <w:iCs/>
                <w:lang w:eastAsia="sk-SK"/>
              </w:rPr>
              <w:t>osoby, ktoré poskytujú osobnú asistenciu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fyzickej osobe s ťažkým zdravotným postihnutím</w:t>
            </w:r>
            <w:r w:rsidRPr="00892D1B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alebo opatrujú fyzickú osobu s ťažkým zdravotným postihnutím, ktorá je odkázaná na pomoc inej fyzickej osoby.  </w:t>
            </w:r>
          </w:p>
          <w:p w14:paraId="6667C2FB" w14:textId="77777777" w:rsidR="0009363E" w:rsidRDefault="0009363E" w:rsidP="0009363E">
            <w:pPr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  <w:p w14:paraId="7C194D68" w14:textId="1F42F2C2" w:rsidR="0009363E" w:rsidRPr="00B043B4" w:rsidRDefault="0009363E" w:rsidP="000936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9363E" w:rsidRPr="00B043B4" w14:paraId="7C194D6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6A" w14:textId="77777777" w:rsidR="0009363E" w:rsidRPr="00B043B4" w:rsidRDefault="0009363E" w:rsidP="0009363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09363E" w:rsidRPr="009C239A" w14:paraId="7C194D6E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97BC" w14:textId="77777777" w:rsidR="0009363E" w:rsidRPr="00612E08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3D84367A" w14:textId="77777777" w:rsidR="0009363E" w:rsidRDefault="0009363E" w:rsidP="0009363E">
            <w:pPr>
              <w:jc w:val="both"/>
              <w:rPr>
                <w:rFonts w:ascii="Times New Roman" w:hAnsi="Times New Roman" w:cs="Times New Roman"/>
              </w:rPr>
            </w:pPr>
            <w:r w:rsidRPr="009C239A">
              <w:rPr>
                <w:rFonts w:ascii="Times New Roman" w:hAnsi="Times New Roman" w:cs="Times New Roman"/>
              </w:rPr>
              <w:t xml:space="preserve">   </w:t>
            </w:r>
          </w:p>
          <w:p w14:paraId="7C194D6D" w14:textId="42C93F0A" w:rsidR="0009363E" w:rsidRPr="009C239A" w:rsidRDefault="0009363E" w:rsidP="0009363E">
            <w:pPr>
              <w:jc w:val="both"/>
              <w:rPr>
                <w:rFonts w:ascii="Times New Roman" w:hAnsi="Times New Roman" w:cs="Times New Roman"/>
              </w:rPr>
            </w:pPr>
            <w:r w:rsidRPr="009C239A">
              <w:rPr>
                <w:rFonts w:ascii="Times New Roman" w:hAnsi="Times New Roman" w:cs="Times New Roman"/>
              </w:rPr>
              <w:t xml:space="preserve">Zákonom vymedzený okruh fyzických osôb s ťažkým zdravotným postihnutím, fyzických osôb poberajúcich peňažný príspevok na opatrovanie a fyzických osôb vykonávajúcich osobnú asistenciu. </w:t>
            </w:r>
          </w:p>
        </w:tc>
      </w:tr>
      <w:tr w:rsidR="0009363E" w:rsidRPr="00B043B4" w14:paraId="7C194D7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6F" w14:textId="77777777" w:rsidR="0009363E" w:rsidRPr="00B043B4" w:rsidRDefault="0009363E" w:rsidP="0009363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09363E" w:rsidRPr="00B043B4" w14:paraId="7C194D74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71" w14:textId="77777777" w:rsidR="0009363E" w:rsidRPr="00B043B4" w:rsidRDefault="0009363E" w:rsidP="0009363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7D4CC9B7" w14:textId="10F9026B" w:rsidR="0009363E" w:rsidRDefault="0009363E" w:rsidP="0009363E">
            <w:pPr>
              <w:jc w:val="both"/>
              <w:rPr>
                <w:rFonts w:ascii="Times New Roman" w:hAnsi="Times New Roman" w:cs="Times New Roman"/>
              </w:rPr>
            </w:pPr>
            <w:r w:rsidRPr="001676DF">
              <w:rPr>
                <w:rFonts w:ascii="Times New Roman" w:hAnsi="Times New Roman" w:cs="Times New Roman"/>
              </w:rPr>
              <w:t>V rámci prípravy predmetného návrhu nariadenia vlády</w:t>
            </w:r>
            <w:r>
              <w:rPr>
                <w:rFonts w:ascii="Times New Roman" w:hAnsi="Times New Roman" w:cs="Times New Roman"/>
              </w:rPr>
              <w:t xml:space="preserve"> SR</w:t>
            </w:r>
            <w:r w:rsidRPr="001676DF">
              <w:rPr>
                <w:rFonts w:ascii="Times New Roman" w:hAnsi="Times New Roman" w:cs="Times New Roman"/>
              </w:rPr>
              <w:t xml:space="preserve"> neboli posudzované žiadne alternatívne riešenia. </w:t>
            </w:r>
          </w:p>
          <w:p w14:paraId="3BDE7440" w14:textId="77777777" w:rsidR="002105F6" w:rsidRDefault="002105F6" w:rsidP="0009363E">
            <w:pPr>
              <w:jc w:val="both"/>
              <w:rPr>
                <w:rFonts w:ascii="Times New Roman" w:hAnsi="Times New Roman" w:cs="Times New Roman"/>
              </w:rPr>
            </w:pPr>
          </w:p>
          <w:p w14:paraId="5AA77C0B" w14:textId="207E26C4" w:rsidR="0009363E" w:rsidRDefault="0009363E" w:rsidP="0009363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7C194D73" w14:textId="562C0925" w:rsidR="0009363E" w:rsidRPr="00B043B4" w:rsidRDefault="0009363E" w:rsidP="0009363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C3B8C">
              <w:rPr>
                <w:rFonts w:ascii="Times New Roman" w:hAnsi="Times New Roman" w:cs="Times New Roman"/>
              </w:rPr>
              <w:t>Ak by sadzba na jednu hodinu osobnej asistencie a</w:t>
            </w:r>
            <w:r>
              <w:rPr>
                <w:rFonts w:ascii="Times New Roman" w:hAnsi="Times New Roman" w:cs="Times New Roman"/>
              </w:rPr>
              <w:t xml:space="preserve"> obidve </w:t>
            </w:r>
            <w:r w:rsidRPr="00EC3B8C">
              <w:rPr>
                <w:rFonts w:ascii="Times New Roman" w:hAnsi="Times New Roman" w:cs="Times New Roman"/>
              </w:rPr>
              <w:t>výšk</w:t>
            </w:r>
            <w:r>
              <w:rPr>
                <w:rFonts w:ascii="Times New Roman" w:hAnsi="Times New Roman" w:cs="Times New Roman"/>
              </w:rPr>
              <w:t>y</w:t>
            </w:r>
            <w:r w:rsidRPr="00EC3B8C">
              <w:rPr>
                <w:rFonts w:ascii="Times New Roman" w:hAnsi="Times New Roman" w:cs="Times New Roman"/>
              </w:rPr>
              <w:t xml:space="preserve"> peňažného príspevku na opatrovanie zostali na súčasnej úrovni, dochádzalo by k poklesu ich reálnej hodnoty z dôvodu inflácie. Pokles reálnej hodnoty týchto peňažných príspevkov</w:t>
            </w:r>
            <w:r>
              <w:rPr>
                <w:rFonts w:ascii="Times New Roman" w:hAnsi="Times New Roman" w:cs="Times New Roman"/>
              </w:rPr>
              <w:t xml:space="preserve"> na kompenzáciu</w:t>
            </w:r>
            <w:r w:rsidRPr="00EC3B8C">
              <w:rPr>
                <w:rFonts w:ascii="Times New Roman" w:hAnsi="Times New Roman" w:cs="Times New Roman"/>
              </w:rPr>
              <w:t xml:space="preserve">, ktorých cieľom je zabezpečenie pomoci </w:t>
            </w:r>
            <w:r>
              <w:rPr>
                <w:rFonts w:ascii="Times New Roman" w:hAnsi="Times New Roman" w:cs="Times New Roman"/>
              </w:rPr>
              <w:t xml:space="preserve">fyzickým </w:t>
            </w:r>
            <w:r w:rsidRPr="00EC3B8C">
              <w:rPr>
                <w:rFonts w:ascii="Times New Roman" w:hAnsi="Times New Roman" w:cs="Times New Roman"/>
              </w:rPr>
              <w:t>osobám s ťažkým zdravotným postihnutím odkázaných na pomoc</w:t>
            </w:r>
            <w:r>
              <w:rPr>
                <w:rFonts w:ascii="Times New Roman" w:hAnsi="Times New Roman" w:cs="Times New Roman"/>
              </w:rPr>
              <w:t xml:space="preserve"> inej osoby</w:t>
            </w:r>
            <w:r w:rsidRPr="00EC3B8C">
              <w:rPr>
                <w:rFonts w:ascii="Times New Roman" w:hAnsi="Times New Roman" w:cs="Times New Roman"/>
              </w:rPr>
              <w:t>, znižuje motiváciu vykonávania osobnej asistencie a</w:t>
            </w:r>
            <w:r>
              <w:rPr>
                <w:rFonts w:ascii="Times New Roman" w:hAnsi="Times New Roman" w:cs="Times New Roman"/>
              </w:rPr>
              <w:t> </w:t>
            </w:r>
            <w:r w:rsidRPr="00EC3B8C">
              <w:rPr>
                <w:rFonts w:ascii="Times New Roman" w:hAnsi="Times New Roman" w:cs="Times New Roman"/>
              </w:rPr>
              <w:t>opatrovania</w:t>
            </w:r>
            <w:r>
              <w:rPr>
                <w:rFonts w:ascii="Times New Roman" w:hAnsi="Times New Roman" w:cs="Times New Roman"/>
              </w:rPr>
              <w:t>. Uvedené</w:t>
            </w:r>
            <w:r w:rsidRPr="00EC3B8C">
              <w:rPr>
                <w:rFonts w:ascii="Times New Roman" w:hAnsi="Times New Roman" w:cs="Times New Roman"/>
              </w:rPr>
              <w:t xml:space="preserve"> by mohlo mať negatívny sociálny vplyv na</w:t>
            </w:r>
            <w:r>
              <w:rPr>
                <w:rFonts w:ascii="Times New Roman" w:hAnsi="Times New Roman" w:cs="Times New Roman"/>
              </w:rPr>
              <w:t xml:space="preserve"> fyzické</w:t>
            </w:r>
            <w:r w:rsidRPr="00EC3B8C">
              <w:rPr>
                <w:rFonts w:ascii="Times New Roman" w:hAnsi="Times New Roman" w:cs="Times New Roman"/>
              </w:rPr>
              <w:t xml:space="preserve"> osoby s ťažkým zdravotným postihnutím</w:t>
            </w:r>
            <w:r w:rsidRPr="00480227">
              <w:rPr>
                <w:rFonts w:ascii="Times New Roman" w:hAnsi="Times New Roman" w:cs="Times New Roman"/>
              </w:rPr>
              <w:t>.</w:t>
            </w:r>
          </w:p>
        </w:tc>
      </w:tr>
      <w:tr w:rsidR="0009363E" w:rsidRPr="00B043B4" w14:paraId="7C194D7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75" w14:textId="77777777" w:rsidR="0009363E" w:rsidRPr="00B043B4" w:rsidRDefault="0009363E" w:rsidP="0009363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09363E" w:rsidRPr="00B043B4" w14:paraId="7C194D7A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194D77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C194D78" w14:textId="77777777" w:rsidR="0009363E" w:rsidRPr="00B043B4" w:rsidRDefault="008A1A0F" w:rsidP="000936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3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09363E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C194D79" w14:textId="06B2B980" w:rsidR="0009363E" w:rsidRPr="00B043B4" w:rsidRDefault="008A1A0F" w:rsidP="000936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3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09363E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09363E" w:rsidRPr="00B043B4" w14:paraId="7C194D7D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7B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C194D7C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9363E" w:rsidRPr="00B043B4" w14:paraId="7C194D7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7E" w14:textId="77777777" w:rsidR="0009363E" w:rsidRPr="00B043B4" w:rsidRDefault="0009363E" w:rsidP="0009363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09363E" w:rsidRPr="00B043B4" w14:paraId="7C194D89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09363E" w14:paraId="7C194D81" w14:textId="77777777">
              <w:trPr>
                <w:trHeight w:val="90"/>
              </w:trPr>
              <w:tc>
                <w:tcPr>
                  <w:tcW w:w="8643" w:type="dxa"/>
                </w:tcPr>
                <w:p w14:paraId="7C194D80" w14:textId="2C614D32" w:rsidR="0009363E" w:rsidRPr="00AB192A" w:rsidRDefault="0009363E" w:rsidP="0009363E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 podľa tabuľky zhody, resp. či ku goldplatingu dochádza pri implementácii práva EÚ.</w:t>
                  </w:r>
                </w:p>
              </w:tc>
            </w:tr>
            <w:tr w:rsidR="0009363E" w14:paraId="7C194D85" w14:textId="77777777">
              <w:trPr>
                <w:trHeight w:val="296"/>
              </w:trPr>
              <w:tc>
                <w:tcPr>
                  <w:tcW w:w="8643" w:type="dxa"/>
                </w:tcPr>
                <w:p w14:paraId="7C194D82" w14:textId="0EE5836D" w:rsidR="0009363E" w:rsidRPr="00AB192A" w:rsidRDefault="0009363E" w:rsidP="0009363E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AB192A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B192A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AB192A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B192A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AB192A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7C194D84" w14:textId="77777777" w:rsidR="0009363E" w:rsidRPr="00AB192A" w:rsidRDefault="0009363E" w:rsidP="0009363E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AB192A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09363E" w14:paraId="7C194D87" w14:textId="77777777">
              <w:trPr>
                <w:trHeight w:val="296"/>
              </w:trPr>
              <w:tc>
                <w:tcPr>
                  <w:tcW w:w="8643" w:type="dxa"/>
                </w:tcPr>
                <w:p w14:paraId="7C194D86" w14:textId="77777777" w:rsidR="0009363E" w:rsidRDefault="0009363E" w:rsidP="0009363E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7C194D88" w14:textId="77777777" w:rsidR="0009363E" w:rsidRPr="00B043B4" w:rsidRDefault="0009363E" w:rsidP="0009363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9363E" w:rsidRPr="00B043B4" w14:paraId="7C194D8B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94D8A" w14:textId="77777777" w:rsidR="0009363E" w:rsidRPr="00B043B4" w:rsidRDefault="0009363E" w:rsidP="00093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9363E" w:rsidRPr="00B043B4" w14:paraId="7C194D8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8C" w14:textId="77777777" w:rsidR="0009363E" w:rsidRPr="00B043B4" w:rsidRDefault="0009363E" w:rsidP="0009363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09363E" w:rsidRPr="00B043B4" w14:paraId="7C194D9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8E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7C194D8F" w14:textId="5173AD4C" w:rsidR="0009363E" w:rsidRDefault="0009363E" w:rsidP="000936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5DCC1912" w14:textId="5DB3B823" w:rsidR="0009363E" w:rsidRPr="00AB192A" w:rsidRDefault="0009363E" w:rsidP="0009363E">
            <w:pPr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3A4D41">
              <w:rPr>
                <w:rFonts w:ascii="Times New Roman" w:eastAsia="Times New Roman" w:hAnsi="Times New Roman" w:cs="Times New Roman"/>
                <w:lang w:eastAsia="sk-SK"/>
              </w:rPr>
              <w:t>Preskúmanie účelnosti navrhovanej právnej úpravy bude vykonávané priebežne po nadobudnutí účinnosti a k 1. júlu, čo je termín ku ktorému na základe splnomocňovacieho ustanovenia § 42 ods. 7</w:t>
            </w:r>
            <w:r w:rsidR="00580BEE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3A4D41">
              <w:rPr>
                <w:rFonts w:ascii="Times New Roman" w:eastAsia="Times New Roman" w:hAnsi="Times New Roman" w:cs="Times New Roman"/>
                <w:lang w:eastAsia="sk-SK"/>
              </w:rPr>
              <w:t>zákona môže vláda Slovenskej republiky ustanoviť nariadením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3A4D41">
              <w:rPr>
                <w:rFonts w:ascii="Times New Roman" w:eastAsia="Times New Roman" w:hAnsi="Times New Roman" w:cs="Times New Roman"/>
                <w:lang w:eastAsia="sk-SK"/>
              </w:rPr>
              <w:t>výšku sadzby na jednu hodinu osobnej asistencie a výšku peňažného príspevku na opatrovanie.</w:t>
            </w:r>
          </w:p>
          <w:p w14:paraId="7C194D90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9363E" w:rsidRPr="00B043B4" w14:paraId="7C194D99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C194D92" w14:textId="77777777" w:rsidR="0009363E" w:rsidRPr="00B043B4" w:rsidRDefault="0009363E" w:rsidP="0009363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194D94" w14:textId="77777777" w:rsidR="0009363E" w:rsidRPr="00B043B4" w:rsidRDefault="0009363E" w:rsidP="0009363E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C194D95" w14:textId="77777777" w:rsidR="0009363E" w:rsidRDefault="0009363E" w:rsidP="000936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C194D96" w14:textId="77777777" w:rsidR="0009363E" w:rsidRPr="00F90DB4" w:rsidRDefault="0009363E" w:rsidP="000936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0D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7C194D97" w14:textId="77777777" w:rsidR="0009363E" w:rsidRDefault="0009363E" w:rsidP="000936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C194D98" w14:textId="77777777" w:rsidR="0009363E" w:rsidRPr="00B043B4" w:rsidRDefault="0009363E" w:rsidP="0009363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9363E" w:rsidRPr="00B043B4" w14:paraId="7C194D9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C194D9A" w14:textId="77777777" w:rsidR="0009363E" w:rsidRPr="00B043B4" w:rsidRDefault="0009363E" w:rsidP="0009363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09363E" w:rsidRPr="00B043B4" w14:paraId="7C194DA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9C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C194D9D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C194D9E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9F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C194DA0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A1" w14:textId="00A475A2" w:rsidR="0009363E" w:rsidRPr="00B043B4" w:rsidRDefault="0009363E" w:rsidP="0009363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194DA2" w14:textId="77777777" w:rsidR="0009363E" w:rsidRPr="00B043B4" w:rsidRDefault="0009363E" w:rsidP="0009363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9363E" w:rsidRPr="00B043B4" w14:paraId="7C194DA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A4" w14:textId="77777777" w:rsidR="0009363E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C194DA5" w14:textId="77777777" w:rsidR="0009363E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7C194DA6" w14:textId="77777777" w:rsidR="0009363E" w:rsidRPr="00A340BB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C194DA7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A8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A9" w14:textId="309FB933" w:rsidR="0009363E" w:rsidRPr="00B043B4" w:rsidRDefault="00F818A2" w:rsidP="0009363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AA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AB" w14:textId="034320F6" w:rsidR="0009363E" w:rsidRPr="00B043B4" w:rsidRDefault="00F818A2" w:rsidP="0009363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194DAC" w14:textId="77777777" w:rsidR="0009363E" w:rsidRPr="00B043B4" w:rsidRDefault="0009363E" w:rsidP="0009363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9363E" w:rsidRPr="00B043B4" w14:paraId="7C194DB5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AE" w14:textId="77777777" w:rsidR="0009363E" w:rsidRPr="003145AE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C194DAF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194DB0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B1" w14:textId="6723869E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194DB2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B3" w14:textId="77777777" w:rsidR="0009363E" w:rsidRPr="00B043B4" w:rsidRDefault="0009363E" w:rsidP="0009363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194DB4" w14:textId="77777777" w:rsidR="0009363E" w:rsidRPr="00B043B4" w:rsidRDefault="0009363E" w:rsidP="0009363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9363E" w:rsidRPr="00B043B4" w14:paraId="7C194DBE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B6" w14:textId="77777777" w:rsidR="0009363E" w:rsidRDefault="0009363E" w:rsidP="0009363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C194DB7" w14:textId="77777777" w:rsidR="0009363E" w:rsidRPr="003145AE" w:rsidRDefault="0009363E" w:rsidP="0009363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DB8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B9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BA" w14:textId="00CA8D72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BB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BC" w14:textId="77777777" w:rsidR="0009363E" w:rsidRPr="00B043B4" w:rsidRDefault="0009363E" w:rsidP="0009363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DBD" w14:textId="77777777" w:rsidR="0009363E" w:rsidRPr="00B043B4" w:rsidRDefault="0009363E" w:rsidP="0009363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9363E" w:rsidRPr="00B043B4" w14:paraId="7C194DC6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BF" w14:textId="77777777" w:rsidR="0009363E" w:rsidRPr="003145AE" w:rsidRDefault="0009363E" w:rsidP="0009363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0D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DC0" w14:textId="77777777" w:rsidR="0009363E" w:rsidRPr="00F90D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90DB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C1" w14:textId="77777777" w:rsidR="0009363E" w:rsidRPr="00F90D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0D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C2" w14:textId="77777777" w:rsidR="0009363E" w:rsidRPr="00F90DB4" w:rsidRDefault="0009363E" w:rsidP="00093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C3" w14:textId="77777777" w:rsidR="0009363E" w:rsidRPr="00F90D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C4" w14:textId="4183CD00" w:rsidR="0009363E" w:rsidRPr="00F90DB4" w:rsidRDefault="0009363E" w:rsidP="0009363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90DB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DC5" w14:textId="77777777" w:rsidR="0009363E" w:rsidRPr="00F90DB4" w:rsidRDefault="0009363E" w:rsidP="0009363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0D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9363E" w:rsidRPr="00612E08" w14:paraId="731516DB" w14:textId="77777777" w:rsidTr="00C315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BB4E052" w14:textId="77777777" w:rsidR="0009363E" w:rsidRPr="00612E08" w:rsidRDefault="0009363E" w:rsidP="00C31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50E75FD" w14:textId="77777777" w:rsidR="0009363E" w:rsidRPr="00612E08" w:rsidRDefault="0009363E" w:rsidP="00C3151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160B3" w14:textId="77777777" w:rsidR="0009363E" w:rsidRPr="00612E08" w:rsidRDefault="0009363E" w:rsidP="00C31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777B2F" w14:textId="0B722D21" w:rsidR="0009363E" w:rsidRPr="00612E08" w:rsidRDefault="00644574" w:rsidP="00C3151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D90D8" w14:textId="77777777" w:rsidR="0009363E" w:rsidRPr="00612E08" w:rsidRDefault="0009363E" w:rsidP="00C31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6A6EFC" w14:textId="2695B1EF" w:rsidR="0009363E" w:rsidRPr="00612E08" w:rsidRDefault="00644574" w:rsidP="00C3151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7C16" w14:textId="77777777" w:rsidR="0009363E" w:rsidRPr="00612E08" w:rsidRDefault="0009363E" w:rsidP="00C3151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9363E" w:rsidRPr="00B043B4" w14:paraId="7C194DC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C7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C194DC8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C9" w14:textId="77777777" w:rsidR="0009363E" w:rsidRPr="00B043B4" w:rsidRDefault="0009363E" w:rsidP="0009363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CA" w14:textId="33F0C795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CB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CC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194DCD" w14:textId="77777777" w:rsidR="0009363E" w:rsidRPr="00B043B4" w:rsidRDefault="0009363E" w:rsidP="0009363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9363E" w:rsidRPr="00B043B4" w14:paraId="7C194DD7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C194DCF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7C194DD0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7C194DD1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D2" w14:textId="77777777" w:rsidR="0009363E" w:rsidRPr="00B043B4" w:rsidRDefault="0009363E" w:rsidP="0009363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D3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D4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D5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194DD6" w14:textId="77777777" w:rsidR="0009363E" w:rsidRPr="00B043B4" w:rsidRDefault="0009363E" w:rsidP="0009363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09363E" w:rsidRPr="00B043B4" w14:paraId="7C194DE0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D8" w14:textId="77777777" w:rsidR="0009363E" w:rsidRDefault="0009363E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7C194DD9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DDA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DB" w14:textId="77777777" w:rsidR="0009363E" w:rsidRPr="00B043B4" w:rsidRDefault="0009363E" w:rsidP="0009363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DC" w14:textId="77777777" w:rsidR="0009363E" w:rsidRPr="00B043B4" w:rsidRDefault="0009363E" w:rsidP="000936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DD" w14:textId="77777777" w:rsidR="0009363E" w:rsidRPr="00B043B4" w:rsidRDefault="0009363E" w:rsidP="000936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DE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DDF" w14:textId="77777777" w:rsidR="0009363E" w:rsidRPr="00B043B4" w:rsidRDefault="0009363E" w:rsidP="0009363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9363E" w:rsidRPr="00B043B4" w14:paraId="7C194DE8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E1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C194DE2" w14:textId="12B3A74C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3" w14:textId="77777777" w:rsidR="0009363E" w:rsidRPr="00B043B4" w:rsidRDefault="0009363E" w:rsidP="0009363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4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5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6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94DE7" w14:textId="77777777" w:rsidR="0009363E" w:rsidRPr="00B043B4" w:rsidRDefault="0009363E" w:rsidP="0009363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9363E" w:rsidRPr="00B043B4" w14:paraId="7C194DF0" w14:textId="77777777" w:rsidTr="00DA5A2D"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6E0A45E8" w14:textId="79E97935" w:rsidR="0009363E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  <w:p w14:paraId="0CDBD860" w14:textId="77777777" w:rsidR="0009363E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194DE9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C194DEA" w14:textId="1C586AB5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B" w14:textId="77777777" w:rsidR="0009363E" w:rsidRPr="00B043B4" w:rsidRDefault="0009363E" w:rsidP="0009363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C" w14:textId="17DB5B4A" w:rsidR="0009363E" w:rsidRPr="00B043B4" w:rsidRDefault="002105F6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D" w14:textId="77777777" w:rsidR="0009363E" w:rsidRPr="00B043B4" w:rsidRDefault="0009363E" w:rsidP="00093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E" w14:textId="77777777" w:rsidR="0009363E" w:rsidRPr="00B043B4" w:rsidRDefault="0009363E" w:rsidP="000936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5E6BE" w14:textId="7D508FBC" w:rsidR="0009363E" w:rsidRDefault="0009363E" w:rsidP="0009363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  <w:p w14:paraId="7C194DEF" w14:textId="1AB5F147" w:rsidR="0009363E" w:rsidRPr="00B043B4" w:rsidRDefault="0009363E" w:rsidP="0009363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105F6" w:rsidRPr="00B043B4" w14:paraId="3A5AA566" w14:textId="77777777" w:rsidTr="002105F6"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313DD1" w14:textId="77777777" w:rsidR="002105F6" w:rsidRPr="00B043B4" w:rsidRDefault="002105F6" w:rsidP="002105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D3F6A" w14:textId="3C43C572" w:rsidR="002105F6" w:rsidRDefault="008A1A0F" w:rsidP="002105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42221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D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679BC" w14:textId="6AE805EE" w:rsidR="002105F6" w:rsidRPr="00B043B4" w:rsidRDefault="002105F6" w:rsidP="002105F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8EBED" w14:textId="77777777" w:rsidR="002105F6" w:rsidRDefault="002105F6" w:rsidP="002105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FD0A5" w14:textId="77777777" w:rsidR="002105F6" w:rsidRPr="00B043B4" w:rsidRDefault="002105F6" w:rsidP="002105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441300" w14:textId="3A5223B5" w:rsidR="002105F6" w:rsidRDefault="00A81056" w:rsidP="002105F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9E4C" w14:textId="299155AA" w:rsidR="002105F6" w:rsidRPr="00B043B4" w:rsidRDefault="002105F6" w:rsidP="002105F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105F6" w:rsidRPr="00B043B4" w14:paraId="7C194DF8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F1" w14:textId="77777777" w:rsidR="002105F6" w:rsidRPr="00B043B4" w:rsidRDefault="002105F6" w:rsidP="002105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C194DF2" w14:textId="77777777" w:rsidR="002105F6" w:rsidRPr="00B043B4" w:rsidRDefault="002105F6" w:rsidP="002105F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F3" w14:textId="77777777" w:rsidR="002105F6" w:rsidRPr="00B043B4" w:rsidRDefault="002105F6" w:rsidP="002105F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F4" w14:textId="06DAE312" w:rsidR="002105F6" w:rsidRPr="00B043B4" w:rsidRDefault="002105F6" w:rsidP="002105F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F5" w14:textId="77777777" w:rsidR="002105F6" w:rsidRPr="00B043B4" w:rsidRDefault="002105F6" w:rsidP="002105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F6" w14:textId="77777777" w:rsidR="002105F6" w:rsidRPr="00B043B4" w:rsidRDefault="002105F6" w:rsidP="002105F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94DF7" w14:textId="77777777" w:rsidR="002105F6" w:rsidRPr="00B043B4" w:rsidRDefault="002105F6" w:rsidP="002105F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7C194E0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F9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194DFA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B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C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D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E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194DFF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7C194E0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E01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C194E02" w14:textId="18E30A11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194E03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C194E04" w14:textId="3FF33D4C" w:rsidR="000F2BE9" w:rsidRPr="00B043B4" w:rsidRDefault="00B21C6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194E05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C194E06" w14:textId="039B5BD1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194E07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7C194E10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E09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94E0A" w14:textId="59C48C22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194E0B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94E0C" w14:textId="2C60643E" w:rsidR="000F2BE9" w:rsidRPr="00B043B4" w:rsidRDefault="00B21C6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194E0D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94E0E" w14:textId="63265203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4E0F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7C194E18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E11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E12" w14:textId="49290101" w:rsidR="00A340BB" w:rsidRPr="0026299A" w:rsidRDefault="0026299A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E13" w14:textId="77777777" w:rsidR="00A340BB" w:rsidRPr="0026299A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62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E14" w14:textId="3952EEA0" w:rsidR="00A340BB" w:rsidRPr="00B043B4" w:rsidRDefault="0026299A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E15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E16" w14:textId="08548686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E17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C194E19" w14:textId="4F8A2850" w:rsidR="001B23B7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2397443" w14:textId="77777777" w:rsidR="00D527A4" w:rsidRPr="00B043B4" w:rsidRDefault="00D527A4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7C194E1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E1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7C194E22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C194E1C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5B4C2407" w14:textId="28E647D8" w:rsidR="00C11312" w:rsidRPr="00D45B60" w:rsidRDefault="00BA1B3F" w:rsidP="000800FC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sk-SK"/>
              </w:rPr>
            </w:pPr>
            <w:r w:rsidRPr="00C11312">
              <w:rPr>
                <w:rFonts w:ascii="Times New Roman" w:eastAsia="Times New Roman" w:hAnsi="Times New Roman" w:cs="Times New Roman"/>
                <w:lang w:eastAsia="sk-SK"/>
              </w:rPr>
              <w:t xml:space="preserve">Vplyv na rozpočet verejnej správy návrhu nariadenia vlády SR plynie len z titulu valorizácie </w:t>
            </w:r>
            <w:r w:rsidR="00C11312">
              <w:rPr>
                <w:rFonts w:ascii="Times New Roman" w:eastAsia="Times New Roman" w:hAnsi="Times New Roman" w:cs="Times New Roman"/>
                <w:lang w:eastAsia="sk-SK"/>
              </w:rPr>
              <w:t xml:space="preserve">hodinovej </w:t>
            </w:r>
            <w:r w:rsidRPr="00C11312">
              <w:rPr>
                <w:rFonts w:ascii="Times New Roman" w:eastAsia="Times New Roman" w:hAnsi="Times New Roman" w:cs="Times New Roman"/>
                <w:lang w:eastAsia="sk-SK"/>
              </w:rPr>
              <w:t xml:space="preserve">sadzby osobnej asistencie a valorizácie výšok peňažného príspevku na opatrovanie. </w:t>
            </w:r>
          </w:p>
          <w:p w14:paraId="7C194E1E" w14:textId="0828927D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2F86448F" w14:textId="77777777" w:rsidR="00AA4E99" w:rsidRDefault="00AA4E99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C194E20" w14:textId="3B5463D2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3699282E" w14:textId="77777777" w:rsidR="001B23B7" w:rsidRDefault="00B21C69" w:rsidP="00B2098D">
            <w:pPr>
              <w:jc w:val="both"/>
              <w:rPr>
                <w:rFonts w:ascii="Times New Roman" w:hAnsi="Times New Roman" w:cs="Times New Roman"/>
              </w:rPr>
            </w:pPr>
            <w:r w:rsidRPr="00816871">
              <w:rPr>
                <w:rFonts w:ascii="Times New Roman" w:hAnsi="Times New Roman" w:cs="Times New Roman"/>
              </w:rPr>
              <w:t xml:space="preserve">Zvýšenie peňažného príspevku na opatrovanie a zvýšenie sadzby na jednu hodinu osobnej asistencie bude mať pozitívny sociálny vplyv na fyzické osoby s ťažkým zdravotným postihnutím, ako aj </w:t>
            </w:r>
            <w:r w:rsidR="00D25562">
              <w:rPr>
                <w:rFonts w:ascii="Times New Roman" w:hAnsi="Times New Roman" w:cs="Times New Roman"/>
              </w:rPr>
              <w:t xml:space="preserve">na </w:t>
            </w:r>
            <w:r w:rsidRPr="00816871">
              <w:rPr>
                <w:rFonts w:ascii="Times New Roman" w:hAnsi="Times New Roman" w:cs="Times New Roman"/>
              </w:rPr>
              <w:t>fyzické osoby, ktoré ich opatrujú alebo im vykonávajú osobnú asistenciu</w:t>
            </w:r>
            <w:r w:rsidR="00D25562">
              <w:rPr>
                <w:rFonts w:ascii="Times New Roman" w:hAnsi="Times New Roman" w:cs="Times New Roman"/>
              </w:rPr>
              <w:t>.</w:t>
            </w:r>
            <w:r w:rsidRPr="00816871">
              <w:rPr>
                <w:rFonts w:ascii="Times New Roman" w:hAnsi="Times New Roman" w:cs="Times New Roman"/>
              </w:rPr>
              <w:t xml:space="preserve"> </w:t>
            </w:r>
            <w:r w:rsidR="00D25562">
              <w:rPr>
                <w:rFonts w:ascii="Times New Roman" w:hAnsi="Times New Roman" w:cs="Times New Roman"/>
              </w:rPr>
              <w:t>S</w:t>
            </w:r>
            <w:r w:rsidRPr="00816871">
              <w:rPr>
                <w:rFonts w:ascii="Times New Roman" w:hAnsi="Times New Roman" w:cs="Times New Roman"/>
              </w:rPr>
              <w:t>účasne bude mať negatívny vplyv  na rozpočet verejnej správy</w:t>
            </w:r>
            <w:r w:rsidRPr="000B2F55">
              <w:rPr>
                <w:rFonts w:ascii="Times New Roman" w:hAnsi="Times New Roman" w:cs="Times New Roman"/>
              </w:rPr>
              <w:t xml:space="preserve">. </w:t>
            </w:r>
            <w:r w:rsidRPr="00816871">
              <w:rPr>
                <w:rFonts w:ascii="Times New Roman" w:hAnsi="Times New Roman" w:cs="Times New Roman"/>
              </w:rPr>
              <w:t>Návrh</w:t>
            </w:r>
            <w:r w:rsidR="00D25562">
              <w:rPr>
                <w:rFonts w:ascii="Times New Roman" w:hAnsi="Times New Roman" w:cs="Times New Roman"/>
              </w:rPr>
              <w:t xml:space="preserve"> nariadenia vlády SR</w:t>
            </w:r>
            <w:r w:rsidRPr="00816871">
              <w:rPr>
                <w:rFonts w:ascii="Times New Roman" w:hAnsi="Times New Roman" w:cs="Times New Roman"/>
              </w:rPr>
              <w:t xml:space="preserve"> nebude mať vplyv na podnikateľské prostredie, na životné prostredie, na informatizáciu</w:t>
            </w:r>
            <w:r w:rsidR="00B2098D">
              <w:rPr>
                <w:rFonts w:ascii="Times New Roman" w:hAnsi="Times New Roman" w:cs="Times New Roman"/>
              </w:rPr>
              <w:t xml:space="preserve"> spoločnosti</w:t>
            </w:r>
            <w:r w:rsidRPr="00816871">
              <w:rPr>
                <w:rFonts w:ascii="Times New Roman" w:hAnsi="Times New Roman" w:cs="Times New Roman"/>
              </w:rPr>
              <w:t xml:space="preserve">, na služby verejnej správy pre občana ani na manželstvo, </w:t>
            </w:r>
            <w:r w:rsidRPr="0026299A">
              <w:rPr>
                <w:rFonts w:ascii="Times New Roman" w:hAnsi="Times New Roman" w:cs="Times New Roman"/>
              </w:rPr>
              <w:t>rodičovstvo a rodinu.</w:t>
            </w:r>
          </w:p>
          <w:p w14:paraId="740A3850" w14:textId="77777777" w:rsidR="002105F6" w:rsidRDefault="002105F6" w:rsidP="00B2098D">
            <w:pPr>
              <w:jc w:val="both"/>
              <w:rPr>
                <w:rFonts w:ascii="Times New Roman" w:hAnsi="Times New Roman" w:cs="Times New Roman"/>
              </w:rPr>
            </w:pPr>
          </w:p>
          <w:p w14:paraId="1BF03593" w14:textId="77777777" w:rsidR="002105F6" w:rsidRPr="00612E08" w:rsidRDefault="002105F6" w:rsidP="002105F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7C194E21" w14:textId="0A8D9142" w:rsidR="002105F6" w:rsidRPr="00B043B4" w:rsidRDefault="002105F6" w:rsidP="00B2098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7C194E2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E2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7C194E26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ED275" w14:textId="6BCAEEFA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181CBE74" w14:textId="77777777" w:rsidR="00D85C5F" w:rsidRPr="002105F6" w:rsidRDefault="00D85C5F" w:rsidP="00D85C5F">
            <w:pPr>
              <w:rPr>
                <w:rFonts w:ascii="Times New Roman" w:hAnsi="Times New Roman" w:cs="Times New Roman"/>
              </w:rPr>
            </w:pPr>
            <w:r w:rsidRPr="002105F6">
              <w:rPr>
                <w:rFonts w:ascii="Times New Roman" w:hAnsi="Times New Roman" w:cs="Times New Roman"/>
              </w:rPr>
              <w:t>JUDr. Martin Trnovec, Odbor integrácie osôb so zdravotným postihnutím</w:t>
            </w:r>
          </w:p>
          <w:p w14:paraId="21C32AC1" w14:textId="255EF0BA" w:rsidR="00D85C5F" w:rsidRPr="002105F6" w:rsidRDefault="008A1A0F" w:rsidP="00D85C5F">
            <w:pPr>
              <w:rPr>
                <w:rStyle w:val="Hypertextovprepojenie"/>
                <w:rFonts w:ascii="Times New Roman" w:hAnsi="Times New Roman"/>
                <w:bCs/>
                <w:color w:val="FF0000"/>
                <w:u w:val="none"/>
              </w:rPr>
            </w:pPr>
            <w:hyperlink r:id="rId9" w:history="1">
              <w:r w:rsidR="00D85C5F" w:rsidRPr="002105F6">
                <w:rPr>
                  <w:rStyle w:val="Hypertextovprepojenie"/>
                  <w:rFonts w:ascii="Times New Roman" w:hAnsi="Times New Roman"/>
                </w:rPr>
                <w:t>martin.trnovec</w:t>
              </w:r>
              <w:r w:rsidR="00D85C5F" w:rsidRPr="002105F6">
                <w:rPr>
                  <w:rStyle w:val="Hypertextovprepojenie"/>
                  <w:rFonts w:ascii="Times New Roman" w:hAnsi="Times New Roman"/>
                  <w:bCs/>
                </w:rPr>
                <w:t>@employment.gov.sk</w:t>
              </w:r>
            </w:hyperlink>
            <w:r w:rsidR="00D85C5F" w:rsidRPr="002105F6">
              <w:rPr>
                <w:rStyle w:val="Hypertextovprepojenie"/>
                <w:rFonts w:ascii="Times New Roman" w:hAnsi="Times New Roman"/>
                <w:bCs/>
                <w:u w:val="none"/>
              </w:rPr>
              <w:t xml:space="preserve">, </w:t>
            </w:r>
            <w:r w:rsidR="00D85C5F" w:rsidRPr="002105F6">
              <w:rPr>
                <w:rFonts w:ascii="Times New Roman" w:eastAsia="Times New Roman" w:hAnsi="Times New Roman" w:cs="Times New Roman"/>
                <w:lang w:eastAsia="sk-SK"/>
              </w:rPr>
              <w:t>t.</w:t>
            </w:r>
            <w:r w:rsidR="0026299A" w:rsidRPr="002105F6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D85C5F" w:rsidRPr="002105F6">
              <w:rPr>
                <w:rFonts w:ascii="Times New Roman" w:eastAsia="Times New Roman" w:hAnsi="Times New Roman" w:cs="Times New Roman"/>
                <w:lang w:eastAsia="sk-SK"/>
              </w:rPr>
              <w:t>č</w:t>
            </w:r>
            <w:r w:rsidR="00D85C5F" w:rsidRPr="002105F6">
              <w:rPr>
                <w:rStyle w:val="Hypertextovprepojenie"/>
                <w:rFonts w:ascii="Times New Roman" w:hAnsi="Times New Roman"/>
                <w:bCs/>
                <w:color w:val="auto"/>
                <w:u w:val="none"/>
              </w:rPr>
              <w:t xml:space="preserve">. 00421 2 2046 </w:t>
            </w:r>
            <w:r w:rsidR="00AF5037" w:rsidRPr="002105F6">
              <w:rPr>
                <w:rStyle w:val="Hypertextovprepojenie"/>
                <w:rFonts w:ascii="Times New Roman" w:hAnsi="Times New Roman"/>
                <w:bCs/>
                <w:color w:val="auto"/>
                <w:u w:val="none"/>
              </w:rPr>
              <w:t>1022</w:t>
            </w:r>
          </w:p>
          <w:p w14:paraId="574BF3F2" w14:textId="76677FF8" w:rsidR="00D85C5F" w:rsidRPr="002105F6" w:rsidRDefault="00D25562" w:rsidP="00D85C5F">
            <w:pPr>
              <w:rPr>
                <w:rFonts w:ascii="Times New Roman" w:hAnsi="Times New Roman" w:cs="Times New Roman"/>
              </w:rPr>
            </w:pPr>
            <w:r w:rsidRPr="002105F6">
              <w:rPr>
                <w:rFonts w:ascii="Times New Roman" w:hAnsi="Times New Roman" w:cs="Times New Roman"/>
              </w:rPr>
              <w:t>PhDr. Viera Minarovýchová</w:t>
            </w:r>
            <w:r w:rsidR="00D85C5F" w:rsidRPr="002105F6">
              <w:rPr>
                <w:rFonts w:ascii="Times New Roman" w:hAnsi="Times New Roman" w:cs="Times New Roman"/>
              </w:rPr>
              <w:t>, Odbor integrácie osôb so zdravotným postihnutím</w:t>
            </w:r>
          </w:p>
          <w:p w14:paraId="17DA6FD8" w14:textId="4645DF72" w:rsidR="00D85C5F" w:rsidRPr="002105F6" w:rsidRDefault="008A1A0F" w:rsidP="00D85C5F">
            <w:pPr>
              <w:rPr>
                <w:rStyle w:val="Hypertextovprepojenie"/>
                <w:rFonts w:ascii="Times New Roman" w:hAnsi="Times New Roman"/>
                <w:bCs/>
                <w:color w:val="FF0000"/>
                <w:u w:val="none"/>
              </w:rPr>
            </w:pPr>
            <w:hyperlink r:id="rId10" w:history="1">
              <w:r w:rsidR="00D45B60" w:rsidRPr="002105F6">
                <w:rPr>
                  <w:rStyle w:val="Hypertextovprepojenie"/>
                  <w:rFonts w:ascii="Times New Roman" w:hAnsi="Times New Roman"/>
                </w:rPr>
                <w:t>viera.minarovychova</w:t>
              </w:r>
              <w:r w:rsidR="00D45B60" w:rsidRPr="002105F6">
                <w:rPr>
                  <w:rStyle w:val="Hypertextovprepojenie"/>
                  <w:rFonts w:ascii="Times New Roman" w:hAnsi="Times New Roman"/>
                  <w:bCs/>
                </w:rPr>
                <w:t>@employment.gov.sk</w:t>
              </w:r>
            </w:hyperlink>
            <w:r w:rsidR="00D85C5F" w:rsidRPr="002105F6">
              <w:rPr>
                <w:rStyle w:val="Hypertextovprepojenie"/>
                <w:rFonts w:ascii="Times New Roman" w:hAnsi="Times New Roman"/>
                <w:bCs/>
                <w:u w:val="none"/>
              </w:rPr>
              <w:t xml:space="preserve">, </w:t>
            </w:r>
            <w:r w:rsidR="00D85C5F" w:rsidRPr="002105F6">
              <w:rPr>
                <w:rFonts w:ascii="Times New Roman" w:eastAsia="Times New Roman" w:hAnsi="Times New Roman" w:cs="Times New Roman"/>
                <w:lang w:eastAsia="sk-SK"/>
              </w:rPr>
              <w:t>t.</w:t>
            </w:r>
            <w:r w:rsidR="0026299A" w:rsidRPr="002105F6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D85C5F" w:rsidRPr="002105F6">
              <w:rPr>
                <w:rFonts w:ascii="Times New Roman" w:eastAsia="Times New Roman" w:hAnsi="Times New Roman" w:cs="Times New Roman"/>
                <w:lang w:eastAsia="sk-SK"/>
              </w:rPr>
              <w:t>č.</w:t>
            </w:r>
            <w:r w:rsidR="00D45B60" w:rsidRPr="002105F6">
              <w:rPr>
                <w:rStyle w:val="Hypertextovprepojenie"/>
                <w:rFonts w:ascii="Times New Roman" w:hAnsi="Times New Roman"/>
                <w:bCs/>
                <w:color w:val="auto"/>
                <w:u w:val="none"/>
              </w:rPr>
              <w:t xml:space="preserve"> 00421 2 2046 </w:t>
            </w:r>
            <w:r w:rsidR="00AF5037" w:rsidRPr="002105F6">
              <w:rPr>
                <w:rStyle w:val="Hypertextovprepojenie"/>
                <w:rFonts w:ascii="Times New Roman" w:hAnsi="Times New Roman"/>
                <w:bCs/>
                <w:color w:val="auto"/>
                <w:u w:val="none"/>
              </w:rPr>
              <w:t>1052</w:t>
            </w:r>
          </w:p>
          <w:p w14:paraId="713B3A96" w14:textId="77777777" w:rsidR="00D527A4" w:rsidRDefault="00D527A4" w:rsidP="000800FC">
            <w:pPr>
              <w:rPr>
                <w:rFonts w:ascii="Times New Roman" w:eastAsia="Times New Roman" w:hAnsi="Times New Roman" w:cs="Times New Roman"/>
                <w:i/>
                <w:color w:val="FF0000"/>
                <w:lang w:eastAsia="sk-SK"/>
              </w:rPr>
            </w:pPr>
          </w:p>
          <w:p w14:paraId="0DC94E94" w14:textId="77777777" w:rsidR="00A6756D" w:rsidRDefault="00A6756D" w:rsidP="000800FC">
            <w:pPr>
              <w:rPr>
                <w:rFonts w:ascii="Times New Roman" w:eastAsia="Times New Roman" w:hAnsi="Times New Roman" w:cs="Times New Roman"/>
                <w:i/>
                <w:color w:val="FF0000"/>
                <w:lang w:eastAsia="sk-SK"/>
              </w:rPr>
            </w:pPr>
          </w:p>
          <w:p w14:paraId="7C194E25" w14:textId="596188C8" w:rsidR="00A6756D" w:rsidRPr="00B21C69" w:rsidRDefault="00A6756D" w:rsidP="000800FC">
            <w:pPr>
              <w:rPr>
                <w:rFonts w:ascii="Times New Roman" w:eastAsia="Times New Roman" w:hAnsi="Times New Roman" w:cs="Times New Roman"/>
                <w:i/>
                <w:color w:val="FF0000"/>
                <w:lang w:eastAsia="sk-SK"/>
              </w:rPr>
            </w:pPr>
          </w:p>
        </w:tc>
      </w:tr>
      <w:tr w:rsidR="001B23B7" w:rsidRPr="00B043B4" w14:paraId="7C194E2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E2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Zdroje</w:t>
            </w:r>
          </w:p>
        </w:tc>
      </w:tr>
      <w:tr w:rsidR="001B23B7" w:rsidRPr="00B043B4" w14:paraId="7C194E2C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E29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3B9A3D3" w14:textId="77777777" w:rsidR="001601E4" w:rsidRPr="00B21C69" w:rsidRDefault="001601E4" w:rsidP="00527B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21C69">
              <w:rPr>
                <w:rFonts w:ascii="Times New Roman" w:hAnsi="Times New Roman" w:cs="Times New Roman"/>
              </w:rPr>
              <w:t>Informačný systé</w:t>
            </w:r>
            <w:r>
              <w:rPr>
                <w:rFonts w:ascii="Times New Roman" w:hAnsi="Times New Roman" w:cs="Times New Roman"/>
              </w:rPr>
              <w:t>m Ministerstva práce sociálnych vecí a rodiny Slovenskej republiky (</w:t>
            </w:r>
            <w:r w:rsidRPr="00B21C6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iadenie sociálnych dávok - </w:t>
            </w:r>
            <w:r w:rsidRPr="00B21C69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anažérsky informačný systém)</w:t>
            </w:r>
          </w:p>
          <w:p w14:paraId="7C194E2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C194E2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E2D" w14:textId="6D5A2763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</w:t>
            </w:r>
            <w:r w:rsidR="00A067F4">
              <w:rPr>
                <w:rFonts w:ascii="Times New Roman" w:eastAsia="Calibri" w:hAnsi="Times New Roman" w:cs="Times New Roman"/>
                <w:b/>
              </w:rPr>
              <w:t xml:space="preserve">ných vplyvov z PPK č. 46/2025 </w:t>
            </w:r>
          </w:p>
          <w:p w14:paraId="7C194E2E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7C194E38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E3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7C194E34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C194E31" w14:textId="1CAACACE" w:rsidR="001B23B7" w:rsidRPr="00B043B4" w:rsidRDefault="008A1A0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425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C194E32" w14:textId="2CB83AE6" w:rsidR="001B23B7" w:rsidRPr="00B043B4" w:rsidRDefault="008A1A0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C194E33" w14:textId="77456DC3" w:rsidR="001B23B7" w:rsidRPr="00B043B4" w:rsidRDefault="008A1A0F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C194E35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C194E36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78C1E95" w14:textId="6812C310" w:rsidR="000F4251" w:rsidRPr="000F4251" w:rsidRDefault="000F4251" w:rsidP="000F4251">
            <w:pPr>
              <w:keepNext/>
              <w:suppressAutoHyphens/>
              <w:spacing w:line="100" w:lineRule="atLeast"/>
              <w:ind w:left="2124" w:right="-2" w:firstLine="708"/>
              <w:outlineLvl w:val="3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pacing w:val="20"/>
                <w:lang w:eastAsia="ar-SA"/>
              </w:rPr>
              <w:t xml:space="preserve">       </w:t>
            </w:r>
            <w:r w:rsidRPr="000F4251">
              <w:rPr>
                <w:rFonts w:ascii="Times New Roman" w:eastAsia="Times New Roman" w:hAnsi="Times New Roman" w:cs="Times New Roman"/>
                <w:b/>
                <w:smallCaps/>
                <w:spacing w:val="20"/>
                <w:lang w:eastAsia="ar-SA"/>
              </w:rPr>
              <w:t>stanovisko komisie</w:t>
            </w:r>
            <w:r w:rsidRPr="000F4251"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  <w:t xml:space="preserve"> </w:t>
            </w:r>
          </w:p>
          <w:p w14:paraId="357E1D09" w14:textId="77777777" w:rsidR="000F4251" w:rsidRPr="000F4251" w:rsidRDefault="000F4251" w:rsidP="000F4251">
            <w:pPr>
              <w:suppressAutoHyphens/>
              <w:spacing w:line="10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</w:p>
          <w:p w14:paraId="422CB31E" w14:textId="77777777" w:rsidR="000F4251" w:rsidRPr="000F4251" w:rsidRDefault="000F4251" w:rsidP="000F4251">
            <w:pPr>
              <w:suppressAutoHyphens/>
              <w:spacing w:line="10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  <w:r w:rsidRPr="000F4251"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  <w:t>(K udeleniu výnimky z procesu)</w:t>
            </w:r>
          </w:p>
          <w:p w14:paraId="47E05F5D" w14:textId="77777777" w:rsidR="000F4251" w:rsidRPr="000F4251" w:rsidRDefault="000F4251" w:rsidP="000F4251">
            <w:pPr>
              <w:suppressAutoHyphens/>
              <w:spacing w:line="10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</w:p>
          <w:p w14:paraId="05B747FC" w14:textId="77777777" w:rsidR="000F4251" w:rsidRPr="000F4251" w:rsidRDefault="000F4251" w:rsidP="000F4251">
            <w:pPr>
              <w:suppressAutoHyphens/>
              <w:spacing w:line="10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  <w:r w:rsidRPr="000F4251"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  <w:t>k materiálu</w:t>
            </w:r>
          </w:p>
          <w:p w14:paraId="63512FD0" w14:textId="77777777" w:rsidR="000F4251" w:rsidRPr="000F4251" w:rsidRDefault="000F4251" w:rsidP="000F4251">
            <w:pPr>
              <w:suppressAutoHyphens/>
              <w:spacing w:line="10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</w:p>
          <w:p w14:paraId="3CA43147" w14:textId="77777777" w:rsidR="000F4251" w:rsidRPr="000F4251" w:rsidRDefault="000F4251" w:rsidP="000F4251">
            <w:pPr>
              <w:pBdr>
                <w:bottom w:val="single" w:sz="4" w:space="1" w:color="auto"/>
              </w:pBd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  <w:r w:rsidRPr="000F4251"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  <w:t xml:space="preserve">Návrh nariadenia vlády Slovenskej republiky, ktorým sa ustanovuje výška sadzby na jednu hodinu osobnej asistencie a výška peňažného príspevku na opatrovanie  </w:t>
            </w:r>
          </w:p>
          <w:p w14:paraId="02034E28" w14:textId="77777777" w:rsidR="000F4251" w:rsidRPr="000F4251" w:rsidRDefault="000F4251" w:rsidP="000F425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3DA1472" w14:textId="77777777" w:rsidR="000F4251" w:rsidRPr="000F4251" w:rsidRDefault="000F4251" w:rsidP="000F425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F42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I. Úvod: </w:t>
            </w:r>
            <w:r w:rsidRPr="000F42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Ministerstvo práce, sociálnych vecí a rodiny Slovenskej republiky dňa 8. apríla 2025 predložilo Stálej pracovnej komisii na posudzovanie vybraných vplyvov (ďalej len „Komisia“) materiál: </w:t>
            </w:r>
            <w:r w:rsidRPr="000F425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„Návrh nariadenia vlády Slovenskej republiky, ktorým sa ustanovuje výška sadzby na jednu hodinu osobnej asistencie a výška peňažného príspevku na opatrovanie"</w:t>
            </w:r>
            <w:r w:rsidRPr="000F4251">
              <w:rPr>
                <w:rFonts w:ascii="Times New Roman" w:eastAsia="Times New Roman" w:hAnsi="Times New Roman" w:cs="Times New Roman"/>
                <w:bCs/>
                <w:lang w:eastAsia="ar-SA"/>
              </w:rPr>
              <w:t>,</w:t>
            </w:r>
            <w:r w:rsidRPr="000F425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  <w:r w:rsidRPr="000F4251">
              <w:rPr>
                <w:rFonts w:ascii="Times New Roman" w:eastAsia="Times New Roman" w:hAnsi="Times New Roman" w:cs="Times New Roman"/>
                <w:iCs/>
                <w:lang w:eastAsia="ar-SA"/>
              </w:rPr>
              <w:t>spolu so žiadosťou o udelenie výnimky z procesu podľa bodu 2.6. Jednotnej metodiky na posudzovanie vybraných vplyvov. Materiál predpokladá negatívne vplyvy na rozpočet verejnej správy, ktoré sú čiastočne rozpočtovo zabezpečené, a pozitívne sociálne vplyvy.</w:t>
            </w:r>
          </w:p>
          <w:p w14:paraId="704F30EE" w14:textId="77777777" w:rsidR="000F4251" w:rsidRPr="000F4251" w:rsidRDefault="000F4251" w:rsidP="000F425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15114D" w14:textId="77777777" w:rsidR="000F4251" w:rsidRPr="000F4251" w:rsidRDefault="000F4251" w:rsidP="000F425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F42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II. P</w:t>
            </w:r>
            <w:r w:rsidRPr="000F4251">
              <w:rPr>
                <w:rFonts w:ascii="Times New Roman" w:eastAsia="Times New Roman" w:hAnsi="Times New Roman" w:cs="Times New Roman"/>
                <w:b/>
                <w:lang w:eastAsia="ar-SA"/>
              </w:rPr>
              <w:t>r</w:t>
            </w:r>
            <w:r w:rsidRPr="000F42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ipomienky a návrhy zm</w:t>
            </w:r>
            <w:r w:rsidRPr="000F4251">
              <w:rPr>
                <w:rFonts w:ascii="Times New Roman" w:eastAsia="Times New Roman" w:hAnsi="Times New Roman" w:cs="Times New Roman"/>
                <w:b/>
                <w:lang w:eastAsia="ar-SA"/>
              </w:rPr>
              <w:t>ie</w:t>
            </w:r>
            <w:r w:rsidRPr="000F42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n: </w:t>
            </w:r>
            <w:r w:rsidRPr="000F4251">
              <w:rPr>
                <w:rFonts w:ascii="Times New Roman" w:eastAsia="Times New Roman" w:hAnsi="Times New Roman" w:cs="Times New Roman"/>
                <w:bCs/>
                <w:lang w:eastAsia="ar-SA"/>
              </w:rPr>
              <w:t>Komisia neuplatňuje k materiálu žiadne pripomienky ani odporúčania.</w:t>
            </w:r>
          </w:p>
          <w:p w14:paraId="28456DBF" w14:textId="77777777" w:rsidR="000F4251" w:rsidRPr="000F4251" w:rsidRDefault="000F4251" w:rsidP="000F425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0A9009C3" w14:textId="77777777" w:rsidR="000F4251" w:rsidRPr="000F4251" w:rsidRDefault="000F4251" w:rsidP="000F425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2D33B5B" w14:textId="77777777" w:rsidR="000F4251" w:rsidRPr="000F4251" w:rsidRDefault="000F4251" w:rsidP="000F4251">
            <w:pPr>
              <w:rPr>
                <w:rFonts w:ascii="Times New Roman" w:hAnsi="Times New Roman" w:cs="Times New Roman"/>
                <w:lang w:eastAsia="sk-SK"/>
              </w:rPr>
            </w:pPr>
            <w:r w:rsidRPr="000F4251">
              <w:rPr>
                <w:rFonts w:ascii="Times New Roman" w:hAnsi="Times New Roman" w:cs="Times New Roman"/>
                <w:b/>
                <w:bCs/>
                <w:lang w:eastAsia="sk-SK"/>
              </w:rPr>
              <w:t xml:space="preserve">III. Záver: </w:t>
            </w:r>
            <w:r w:rsidRPr="000F4251">
              <w:rPr>
                <w:rFonts w:ascii="Times New Roman" w:hAnsi="Times New Roman" w:cs="Times New Roman"/>
                <w:bCs/>
                <w:lang w:eastAsia="sk-SK"/>
              </w:rPr>
              <w:t xml:space="preserve">Stála pracovná komisia na posudzovanie vybraných vplyvov vyjadruje </w:t>
            </w:r>
          </w:p>
          <w:p w14:paraId="0C98F0C5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2597FD2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F42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súhlasné stanovisko</w:t>
            </w:r>
          </w:p>
          <w:p w14:paraId="1E89755B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A67E446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F4251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k udeleniu výnimky pri uplatňovaní postupu podľa Jednotnej metodiky na posudzovanie vybraných vplyvov predmetnému materiálu</w:t>
            </w:r>
            <w:r w:rsidRPr="000F42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</w:t>
            </w:r>
          </w:p>
          <w:p w14:paraId="1EAD1E75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2763DDA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F42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IV. Poznámka: </w:t>
            </w:r>
            <w:r w:rsidRPr="000F4251">
              <w:rPr>
                <w:rFonts w:ascii="Times New Roman" w:eastAsia="Times New Roman" w:hAnsi="Times New Roman" w:cs="Times New Roman"/>
                <w:bCs/>
                <w:lang w:eastAsia="ar-SA"/>
              </w:rPr>
              <w:t>Komisia si dovoľuje predkladateľovi pripomenúť, že výnimka pri uplatňovaní postupu podľa jednotnej metodiky znamená, že materiál nemusí prejsť štandardným procesom podľa Jednotnej metodiky na posudzovane vybraných vplyvov (nemusí sa uskutočniť: proces konzultácií, predbežného pripomienkového konania a proces záverečného posúdenia). Materiál však musí obsahovať potrebné náležitosti (doložku vybraných vplyvov a analýzy vplyvov).</w:t>
            </w:r>
          </w:p>
          <w:p w14:paraId="3D2FBBBF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6B42696C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F4251">
              <w:rPr>
                <w:rFonts w:ascii="Times New Roman" w:eastAsia="Times New Roman" w:hAnsi="Times New Roman" w:cs="Times New Roman"/>
                <w:bCs/>
                <w:lang w:eastAsia="ar-SA"/>
              </w:rPr>
              <w:t>Komisia zároveň upozorňuje predkladateľa, že stanovisko Komisie je nutné uviesť do doložky vybraných vplyvov.</w:t>
            </w:r>
          </w:p>
          <w:p w14:paraId="6DD348AC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D97D2D0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47F57CC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F42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>JUDr. Martin Semanco</w:t>
            </w:r>
            <w:r w:rsidRPr="000F42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</w:t>
            </w:r>
          </w:p>
          <w:p w14:paraId="4457E59B" w14:textId="77777777" w:rsidR="000F4251" w:rsidRPr="000F4251" w:rsidRDefault="000F4251" w:rsidP="000F4251">
            <w:pPr>
              <w:tabs>
                <w:tab w:val="center" w:pos="6379"/>
              </w:tabs>
              <w:suppressAutoHyphens/>
              <w:spacing w:line="100" w:lineRule="atLeast"/>
              <w:ind w:right="-2"/>
              <w:rPr>
                <w:rFonts w:ascii="Times New Roman" w:eastAsia="Times New Roman" w:hAnsi="Times New Roman" w:cs="Times New Roman"/>
                <w:lang w:eastAsia="ar-SA"/>
              </w:rPr>
            </w:pPr>
            <w:r w:rsidRPr="000F4251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  <w:t xml:space="preserve">                      predseda Komisie</w:t>
            </w:r>
          </w:p>
          <w:p w14:paraId="07A549A2" w14:textId="064921DE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194E37" w14:textId="7B07E2AA" w:rsidR="001601E4" w:rsidRPr="00B043B4" w:rsidRDefault="001601E4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C194E3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C194E3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7C194E43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C194E3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7C194E3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C194E3C" w14:textId="11863F01" w:rsidR="001B23B7" w:rsidRPr="00B043B4" w:rsidRDefault="008A1A0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C194E3D" w14:textId="0D0C3A35" w:rsidR="001B23B7" w:rsidRPr="00B043B4" w:rsidRDefault="008A1A0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C194E3E" w14:textId="77777777" w:rsidR="001B23B7" w:rsidRPr="00B043B4" w:rsidRDefault="008A1A0F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C194E40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C194E4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194E4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C194E44" w14:textId="77777777" w:rsidR="00274130" w:rsidRDefault="008A1A0F"/>
    <w:sectPr w:rsidR="00274130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F7B17" w14:textId="77777777" w:rsidR="008A1A0F" w:rsidRDefault="008A1A0F" w:rsidP="001B23B7">
      <w:pPr>
        <w:spacing w:after="0" w:line="240" w:lineRule="auto"/>
      </w:pPr>
      <w:r>
        <w:separator/>
      </w:r>
    </w:p>
  </w:endnote>
  <w:endnote w:type="continuationSeparator" w:id="0">
    <w:p w14:paraId="7C886E39" w14:textId="77777777" w:rsidR="008A1A0F" w:rsidRDefault="008A1A0F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194E4B" w14:textId="6F24B7B6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107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194E4C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C909B" w14:textId="77777777" w:rsidR="008A1A0F" w:rsidRDefault="008A1A0F" w:rsidP="001B23B7">
      <w:pPr>
        <w:spacing w:after="0" w:line="240" w:lineRule="auto"/>
      </w:pPr>
      <w:r>
        <w:separator/>
      </w:r>
    </w:p>
  </w:footnote>
  <w:footnote w:type="continuationSeparator" w:id="0">
    <w:p w14:paraId="5BAB309F" w14:textId="77777777" w:rsidR="008A1A0F" w:rsidRDefault="008A1A0F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4E49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7C194E4A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02E9"/>
    <w:rsid w:val="00043706"/>
    <w:rsid w:val="00073CE3"/>
    <w:rsid w:val="0009363E"/>
    <w:rsid w:val="00097069"/>
    <w:rsid w:val="000D348F"/>
    <w:rsid w:val="000D4C18"/>
    <w:rsid w:val="000F2BE9"/>
    <w:rsid w:val="000F4251"/>
    <w:rsid w:val="00113AE4"/>
    <w:rsid w:val="00136915"/>
    <w:rsid w:val="001601E4"/>
    <w:rsid w:val="00162E79"/>
    <w:rsid w:val="00176389"/>
    <w:rsid w:val="0018643A"/>
    <w:rsid w:val="00187182"/>
    <w:rsid w:val="001B23B7"/>
    <w:rsid w:val="001B7389"/>
    <w:rsid w:val="001E3562"/>
    <w:rsid w:val="001F1818"/>
    <w:rsid w:val="00203EE3"/>
    <w:rsid w:val="002105F6"/>
    <w:rsid w:val="002243BB"/>
    <w:rsid w:val="0023360B"/>
    <w:rsid w:val="00243652"/>
    <w:rsid w:val="00250EDB"/>
    <w:rsid w:val="00257901"/>
    <w:rsid w:val="0026299A"/>
    <w:rsid w:val="0029526C"/>
    <w:rsid w:val="002F34FA"/>
    <w:rsid w:val="003145AE"/>
    <w:rsid w:val="00370953"/>
    <w:rsid w:val="003A057B"/>
    <w:rsid w:val="0040122E"/>
    <w:rsid w:val="00411898"/>
    <w:rsid w:val="004278CA"/>
    <w:rsid w:val="00456B4D"/>
    <w:rsid w:val="00480227"/>
    <w:rsid w:val="0049476D"/>
    <w:rsid w:val="00495DBD"/>
    <w:rsid w:val="004A3DE0"/>
    <w:rsid w:val="004A4383"/>
    <w:rsid w:val="004B1448"/>
    <w:rsid w:val="004C6831"/>
    <w:rsid w:val="00501075"/>
    <w:rsid w:val="00527B83"/>
    <w:rsid w:val="00580BEE"/>
    <w:rsid w:val="00591EC6"/>
    <w:rsid w:val="00591ED3"/>
    <w:rsid w:val="00597A79"/>
    <w:rsid w:val="005B650A"/>
    <w:rsid w:val="005D4069"/>
    <w:rsid w:val="00616256"/>
    <w:rsid w:val="00640D43"/>
    <w:rsid w:val="00644574"/>
    <w:rsid w:val="00651B17"/>
    <w:rsid w:val="006945D2"/>
    <w:rsid w:val="00697D41"/>
    <w:rsid w:val="006B04DB"/>
    <w:rsid w:val="006F11DA"/>
    <w:rsid w:val="006F678E"/>
    <w:rsid w:val="006F6B62"/>
    <w:rsid w:val="00712E2B"/>
    <w:rsid w:val="00720322"/>
    <w:rsid w:val="00720CD7"/>
    <w:rsid w:val="0075197E"/>
    <w:rsid w:val="00761208"/>
    <w:rsid w:val="00767218"/>
    <w:rsid w:val="007713B8"/>
    <w:rsid w:val="007756BE"/>
    <w:rsid w:val="007B40C1"/>
    <w:rsid w:val="007F7941"/>
    <w:rsid w:val="00865E81"/>
    <w:rsid w:val="008703EA"/>
    <w:rsid w:val="008801B5"/>
    <w:rsid w:val="00881E07"/>
    <w:rsid w:val="008912AE"/>
    <w:rsid w:val="00891CFA"/>
    <w:rsid w:val="00892D1B"/>
    <w:rsid w:val="00896F16"/>
    <w:rsid w:val="008A1A0F"/>
    <w:rsid w:val="008B222D"/>
    <w:rsid w:val="008C79B7"/>
    <w:rsid w:val="009431E3"/>
    <w:rsid w:val="009475F5"/>
    <w:rsid w:val="009717F5"/>
    <w:rsid w:val="009B64FC"/>
    <w:rsid w:val="009C239A"/>
    <w:rsid w:val="009C424C"/>
    <w:rsid w:val="009C6AA1"/>
    <w:rsid w:val="009D2388"/>
    <w:rsid w:val="009E09F7"/>
    <w:rsid w:val="009E7C0C"/>
    <w:rsid w:val="009F4832"/>
    <w:rsid w:val="00A067F4"/>
    <w:rsid w:val="00A309D3"/>
    <w:rsid w:val="00A30B90"/>
    <w:rsid w:val="00A33B7B"/>
    <w:rsid w:val="00A340BB"/>
    <w:rsid w:val="00A6756D"/>
    <w:rsid w:val="00A7788F"/>
    <w:rsid w:val="00A81056"/>
    <w:rsid w:val="00AA488D"/>
    <w:rsid w:val="00AA4E99"/>
    <w:rsid w:val="00AB192A"/>
    <w:rsid w:val="00AC30D6"/>
    <w:rsid w:val="00AF22E2"/>
    <w:rsid w:val="00AF5037"/>
    <w:rsid w:val="00B0032A"/>
    <w:rsid w:val="00B2098D"/>
    <w:rsid w:val="00B21C69"/>
    <w:rsid w:val="00B46B7F"/>
    <w:rsid w:val="00B46F90"/>
    <w:rsid w:val="00B547F5"/>
    <w:rsid w:val="00B67EB0"/>
    <w:rsid w:val="00B84F87"/>
    <w:rsid w:val="00B877DA"/>
    <w:rsid w:val="00BA1B3F"/>
    <w:rsid w:val="00BA2BF4"/>
    <w:rsid w:val="00BC489C"/>
    <w:rsid w:val="00BE48AA"/>
    <w:rsid w:val="00BF22DB"/>
    <w:rsid w:val="00C11312"/>
    <w:rsid w:val="00CE6AAE"/>
    <w:rsid w:val="00CF1A25"/>
    <w:rsid w:val="00D2313B"/>
    <w:rsid w:val="00D25562"/>
    <w:rsid w:val="00D42267"/>
    <w:rsid w:val="00D45B60"/>
    <w:rsid w:val="00D50F1E"/>
    <w:rsid w:val="00D527A4"/>
    <w:rsid w:val="00D85C5F"/>
    <w:rsid w:val="00DA0C3C"/>
    <w:rsid w:val="00DA1491"/>
    <w:rsid w:val="00DF1E30"/>
    <w:rsid w:val="00DF357C"/>
    <w:rsid w:val="00DF71B6"/>
    <w:rsid w:val="00EB70EC"/>
    <w:rsid w:val="00ED1AC0"/>
    <w:rsid w:val="00F03CDF"/>
    <w:rsid w:val="00F37A13"/>
    <w:rsid w:val="00F44316"/>
    <w:rsid w:val="00F818A2"/>
    <w:rsid w:val="00F87681"/>
    <w:rsid w:val="00F90DB4"/>
    <w:rsid w:val="00FA02DB"/>
    <w:rsid w:val="00FB3C3F"/>
    <w:rsid w:val="00FB6933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4D34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B21C6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era.minarovychova@employment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in.trnovec@employment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31906FD-E6CC-4A74-BF90-5DA14820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Minarovýchová Viera</cp:lastModifiedBy>
  <cp:revision>2</cp:revision>
  <cp:lastPrinted>2025-04-11T07:19:00Z</cp:lastPrinted>
  <dcterms:created xsi:type="dcterms:W3CDTF">2025-05-22T06:45:00Z</dcterms:created>
  <dcterms:modified xsi:type="dcterms:W3CDTF">2025-05-22T06:45:00Z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